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52"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2"/>
          </w:tcPr>
          <w:p>
            <w:pPr>
              <w:jc w:val="right"/>
              <w:ind w:right="225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40" w:type="dxa"/>
            <w:vAlign w:val="bottom"/>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52"/>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80" w:type="dxa"/>
            <w:vAlign w:val="bottom"/>
            <w:gridSpan w:val="2"/>
          </w:tcPr>
          <w:p>
            <w:pPr>
              <w:jc w:val="right"/>
              <w:ind w:right="2450"/>
              <w:spacing w:after="0"/>
              <w:rPr>
                <w:sz w:val="20"/>
                <w:szCs w:val="20"/>
                <w:color w:val="auto"/>
              </w:rPr>
            </w:pPr>
            <w:r>
              <w:rPr>
                <w:rFonts w:ascii="Arial" w:cs="Arial" w:eastAsia="Arial" w:hAnsi="Arial"/>
                <w:sz w:val="18"/>
                <w:szCs w:val="18"/>
                <w:b w:val="1"/>
                <w:bCs w:val="1"/>
                <w:color w:val="auto"/>
              </w:rPr>
              <w:t>06518</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06" w:right="239" w:bottom="1440" w:gutter="0" w:footer="0" w:header="0"/>
        </w:sectPr>
      </w:pPr>
    </w:p>
    <w:p>
      <w:pPr>
        <w:spacing w:after="0" w:line="216" w:lineRule="exact"/>
        <w:rPr>
          <w:sz w:val="20"/>
          <w:szCs w:val="20"/>
          <w:color w:val="auto"/>
        </w:rPr>
      </w:pPr>
      <w:r>
        <w:rPr>
          <w:rFonts w:ascii="Arial" w:cs="Arial" w:eastAsia="Arial" w:hAnsi="Arial"/>
          <w:sz w:val="18"/>
          <w:szCs w:val="18"/>
          <w:color w:val="auto"/>
        </w:rPr>
        <w:t xml:space="preserve">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(Do not check if a smaller reporting company)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65" w:lineRule="exact"/>
        <w:rPr>
          <w:sz w:val="24"/>
          <w:szCs w:val="24"/>
          <w:color w:val="auto"/>
        </w:rPr>
      </w:pPr>
    </w:p>
    <w:p>
      <w:pPr>
        <w:sectPr>
          <w:pgSz w:w="11900" w:h="16838" w:orient="portrait"/>
          <w:cols w:equalWidth="0" w:num="2">
            <w:col w:w="8500" w:space="100"/>
            <w:col w:w="2820"/>
          </w:cols>
          <w:pgMar w:left="240" w:top="206"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9" w:lineRule="exact"/>
        <w:rPr>
          <w:sz w:val="24"/>
          <w:szCs w:val="24"/>
          <w:color w:val="auto"/>
        </w:rPr>
      </w:pPr>
    </w:p>
    <w:p>
      <w:pPr>
        <w:sectPr>
          <w:pgSz w:w="11900" w:h="16838" w:orient="portrait"/>
          <w:cols w:equalWidth="0" w:num="3">
            <w:col w:w="8500" w:space="120"/>
            <w:col w:w="460" w:space="120"/>
            <w:col w:w="2220"/>
          </w:cols>
          <w:pgMar w:left="240" w:top="206"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As of April 30, 2015, the number of shares outstanding of the Company’s common stock, $0.01 par value, was 7,747,692.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rPr>
              <w:t>TRANSACT TECHNOLOGIES INCORPORATED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5"/>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gridSpan w:val="2"/>
          </w:tcPr>
          <w:p>
            <w:pPr>
              <w:spacing w:after="0"/>
              <w:rPr>
                <w:sz w:val="24"/>
                <w:szCs w:val="24"/>
                <w:color w:val="auto"/>
              </w:rPr>
            </w:pPr>
          </w:p>
        </w:tc>
        <w:tc>
          <w:tcPr>
            <w:tcW w:w="458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80" w:type="dxa"/>
            <w:vAlign w:val="bottom"/>
          </w:tcPr>
          <w:p>
            <w:pPr>
              <w:spacing w:after="0"/>
              <w:rPr>
                <w:sz w:val="2"/>
                <w:szCs w:val="2"/>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380" w:type="dxa"/>
            <w:vAlign w:val="bottom"/>
            <w:gridSpan w:val="10"/>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20" w:type="dxa"/>
            <w:vAlign w:val="bottom"/>
            <w:gridSpan w:val="12"/>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380" w:type="dxa"/>
            <w:vAlign w:val="bottom"/>
            <w:tcBorders>
              <w:bottom w:val="single" w:sz="8" w:color="0000EE"/>
            </w:tcBorders>
            <w:gridSpan w:val="10"/>
            <w:vMerge w:val="continue"/>
          </w:tcPr>
          <w:p>
            <w:pPr>
              <w:spacing w:after="0"/>
              <w:rPr>
                <w:sz w:val="24"/>
                <w:szCs w:val="24"/>
                <w:color w:val="auto"/>
              </w:rPr>
            </w:pPr>
          </w:p>
        </w:tc>
        <w:tc>
          <w:tcPr>
            <w:tcW w:w="7120" w:type="dxa"/>
            <w:vAlign w:val="bottom"/>
            <w:gridSpan w:val="12"/>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2015 and December 31, 2014</w:t>
              </w:r>
            </w:hyperlink>
          </w:p>
        </w:tc>
        <w:tc>
          <w:tcPr>
            <w:tcW w:w="322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for the three months ended March 31, 2015 and 2014</w:t>
              </w:r>
            </w:hyperlink>
          </w:p>
        </w:tc>
        <w:tc>
          <w:tcPr>
            <w:tcW w:w="222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2015 and 2014</w:t>
              </w:r>
            </w:hyperlink>
          </w:p>
        </w:tc>
        <w:tc>
          <w:tcPr>
            <w:tcW w:w="10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2015 and 2014</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580" w:type="dxa"/>
            <w:vAlign w:val="bottom"/>
            <w:tcBorders>
              <w:top w:val="single" w:sz="8" w:color="0000EE"/>
            </w:tcBorders>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92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Quantitative and Qualitative Disclosures About Market Risk</w:t>
              </w:r>
            </w:hyperlink>
          </w:p>
        </w:tc>
        <w:tc>
          <w:tcPr>
            <w:tcW w:w="514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2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4"/>
          </w:tcPr>
          <w:p>
            <w:pPr>
              <w:spacing w:after="0"/>
              <w:rPr>
                <w:sz w:val="24"/>
                <w:szCs w:val="24"/>
                <w:color w:val="auto"/>
              </w:rPr>
            </w:pPr>
          </w:p>
        </w:tc>
        <w:tc>
          <w:tcPr>
            <w:tcW w:w="818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2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24"/>
                <w:szCs w:val="24"/>
                <w:color w:val="auto"/>
              </w:rPr>
            </w:pPr>
          </w:p>
        </w:tc>
        <w:tc>
          <w:tcPr>
            <w:tcW w:w="516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774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Exhibits</w:t>
              </w:r>
            </w:hyperlink>
          </w:p>
        </w:tc>
        <w:tc>
          <w:tcPr>
            <w:tcW w:w="700" w:type="dxa"/>
            <w:vAlign w:val="bottom"/>
            <w:tcBorders>
              <w:top w:val="single" w:sz="8" w:color="0000EE"/>
            </w:tcBorders>
            <w:gridSpan w:val="4"/>
          </w:tcPr>
          <w:p>
            <w:pPr>
              <w:spacing w:after="0"/>
              <w:rPr>
                <w:sz w:val="24"/>
                <w:szCs w:val="24"/>
                <w:color w:val="auto"/>
              </w:rPr>
            </w:pPr>
          </w:p>
        </w:tc>
        <w:tc>
          <w:tcPr>
            <w:tcW w:w="82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SIGNATURES</w:t>
              </w:r>
            </w:hyperlink>
          </w:p>
        </w:tc>
        <w:tc>
          <w:tcPr>
            <w:tcW w:w="9300" w:type="dxa"/>
            <w:vAlign w:val="bottom"/>
            <w:gridSpan w:val="2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871"/>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gridSpan w:val="15"/>
          </w:tcPr>
          <w:p>
            <w:pPr>
              <w:jc w:val="center"/>
              <w:ind w:left="4250"/>
              <w:spacing w:after="0"/>
              <w:rPr>
                <w:sz w:val="20"/>
                <w:szCs w:val="20"/>
                <w:color w:val="auto"/>
              </w:rPr>
            </w:pPr>
            <w:r>
              <w:rPr>
                <w:rFonts w:ascii="Arial" w:cs="Arial" w:eastAsia="Arial" w:hAnsi="Arial"/>
                <w:sz w:val="18"/>
                <w:szCs w:val="18"/>
                <w:color w:val="auto"/>
                <w:w w:val="99"/>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20" w:type="dxa"/>
            <w:vAlign w:val="bottom"/>
          </w:tcPr>
          <w:p>
            <w:pPr>
              <w:jc w:val="center"/>
              <w:ind w:left="1390"/>
              <w:spacing w:after="0"/>
              <w:rPr>
                <w:sz w:val="20"/>
                <w:szCs w:val="20"/>
                <w:color w:val="auto"/>
              </w:rPr>
            </w:pPr>
            <w:r>
              <w:rPr>
                <w:rFonts w:ascii="Arial" w:cs="Arial" w:eastAsia="Arial" w:hAnsi="Arial"/>
                <w:sz w:val="18"/>
                <w:szCs w:val="18"/>
                <w:b w:val="1"/>
                <w:bCs w:val="1"/>
                <w:color w:val="auto"/>
              </w:rPr>
              <w:t>TRANSACT TECHNOLOGIES INCORPORATED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2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20" w:type="dxa"/>
            <w:vAlign w:val="bottom"/>
          </w:tcPr>
          <w:p>
            <w:pPr>
              <w:jc w:val="center"/>
              <w:ind w:left="1390"/>
              <w:spacing w:after="0"/>
              <w:rPr>
                <w:sz w:val="20"/>
                <w:szCs w:val="20"/>
                <w:color w:val="auto"/>
              </w:rPr>
            </w:pPr>
            <w:r>
              <w:rPr>
                <w:rFonts w:ascii="Arial" w:cs="Arial" w:eastAsia="Arial" w:hAnsi="Arial"/>
                <w:sz w:val="18"/>
                <w:szCs w:val="18"/>
                <w:b w:val="1"/>
                <w:bCs w:val="1"/>
                <w:color w:val="auto"/>
                <w:w w:val="91"/>
              </w:rPr>
              <w:t>(unaudited)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8"/>
              </w:rPr>
              <w:t>March 31,</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
              <w:spacing w:after="0" w:line="201" w:lineRule="exact"/>
              <w:rPr>
                <w:sz w:val="20"/>
                <w:szCs w:val="20"/>
                <w:color w:val="auto"/>
              </w:rPr>
            </w:pPr>
            <w:r>
              <w:rPr>
                <w:rFonts w:ascii="Arial" w:cs="Arial" w:eastAsia="Arial" w:hAnsi="Arial"/>
                <w:sz w:val="18"/>
                <w:szCs w:val="18"/>
                <w:i w:val="1"/>
                <w:iCs w:val="1"/>
                <w:color w:val="auto"/>
                <w:w w:val="89"/>
              </w:rPr>
              <w:t>(In thousands,</w:t>
            </w:r>
          </w:p>
        </w:tc>
        <w:tc>
          <w:tcPr>
            <w:tcW w:w="1380" w:type="dxa"/>
            <w:vAlign w:val="bottom"/>
            <w:gridSpan w:val="3"/>
          </w:tcPr>
          <w:p>
            <w:pPr>
              <w:jc w:val="right"/>
              <w:ind w:right="10"/>
              <w:spacing w:after="0" w:line="201" w:lineRule="exact"/>
              <w:rPr>
                <w:sz w:val="20"/>
                <w:szCs w:val="20"/>
                <w:color w:val="auto"/>
              </w:rPr>
            </w:pPr>
            <w:r>
              <w:rPr>
                <w:rFonts w:ascii="Arial" w:cs="Arial" w:eastAsia="Arial" w:hAnsi="Arial"/>
                <w:sz w:val="18"/>
                <w:szCs w:val="18"/>
                <w:i w:val="1"/>
                <w:iCs w:val="1"/>
                <w:color w:val="auto"/>
                <w:w w:val="84"/>
              </w:rPr>
              <w:t>except share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7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10,803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10,766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Prepaid income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tax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678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29,405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Goodwill</w:t>
            </w:r>
          </w:p>
        </w:tc>
        <w:tc>
          <w:tcPr>
            <w:tcW w:w="7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0"/>
              </w:rPr>
              <w:t>Deferred tax assets</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$2,455 and $2,326, respectively</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70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36,728</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Current liabilities:</w:t>
            </w:r>
          </w:p>
        </w:tc>
        <w:tc>
          <w:tcPr>
            <w:tcW w:w="7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Accrued lawsuit settlement expenses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421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ind w:left="80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12,132</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9,636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Other liabilities</w:t>
            </w:r>
          </w:p>
        </w:tc>
        <w:tc>
          <w:tcPr>
            <w:tcW w:w="7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230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447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12,579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gridSpan w:val="2"/>
            <w:shd w:val="clear" w:color="auto" w:fill="CCEEFF"/>
          </w:tcPr>
          <w:p>
            <w:pPr>
              <w:ind w:left="480"/>
              <w:spacing w:after="0" w:line="201" w:lineRule="exact"/>
              <w:rPr>
                <w:sz w:val="20"/>
                <w:szCs w:val="20"/>
                <w:color w:val="auto"/>
              </w:rPr>
            </w:pPr>
            <w:r>
              <w:rPr>
                <w:rFonts w:ascii="Arial" w:cs="Arial" w:eastAsia="Arial" w:hAnsi="Arial"/>
                <w:sz w:val="18"/>
                <w:szCs w:val="18"/>
                <w:color w:val="auto"/>
                <w:w w:val="93"/>
              </w:rPr>
              <w:t>Common stock, $0.01 par value, 20,000,000 shares authorized; 11,136,281 and 11,122,293 shares issued,</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respectively; 7,747,692 and 7,900,257 shares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outstanding, respectively</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28,430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21,870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Treasury stock, at cost, 3,388,589 and 3,222,036 shares respectively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(26,181)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800"/>
              <w:spacing w:after="0"/>
              <w:rPr>
                <w:sz w:val="20"/>
                <w:szCs w:val="20"/>
                <w:color w:val="auto"/>
              </w:rPr>
            </w:pPr>
            <w:r>
              <w:rPr>
                <w:rFonts w:ascii="Arial" w:cs="Arial" w:eastAsia="Arial" w:hAnsi="Arial"/>
                <w:sz w:val="18"/>
                <w:szCs w:val="18"/>
                <w:color w:val="auto"/>
              </w:rPr>
              <w:t>Total shareholders’ equity</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24,149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36,728</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0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i w:val="1"/>
                <w:iCs w:val="1"/>
                <w:color w:val="auto"/>
                <w:w w:val="92"/>
              </w:rPr>
              <w:t>(In thousands,</w:t>
            </w:r>
          </w:p>
        </w:tc>
        <w:tc>
          <w:tcPr>
            <w:tcW w:w="1380" w:type="dxa"/>
            <w:vAlign w:val="bottom"/>
            <w:gridSpan w:val="3"/>
          </w:tcPr>
          <w:p>
            <w:pPr>
              <w:jc w:val="right"/>
              <w:ind w:right="110"/>
              <w:spacing w:after="0" w:line="201" w:lineRule="exact"/>
              <w:rPr>
                <w:sz w:val="20"/>
                <w:szCs w:val="20"/>
                <w:color w:val="auto"/>
              </w:rPr>
            </w:pPr>
            <w:r>
              <w:rPr>
                <w:rFonts w:ascii="Arial" w:cs="Arial" w:eastAsia="Arial" w:hAnsi="Arial"/>
                <w:sz w:val="18"/>
                <w:szCs w:val="18"/>
                <w:i w:val="1"/>
                <w:iCs w:val="1"/>
                <w:color w:val="auto"/>
                <w:w w:val="85"/>
              </w:rPr>
              <w:t>except per-share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right"/>
              <w:ind w:right="265"/>
              <w:spacing w:after="0"/>
              <w:rPr>
                <w:sz w:val="20"/>
                <w:szCs w:val="20"/>
                <w:color w:val="auto"/>
              </w:rPr>
            </w:pPr>
            <w:r>
              <w:rPr>
                <w:rFonts w:ascii="Arial" w:cs="Arial" w:eastAsia="Arial" w:hAnsi="Arial"/>
                <w:sz w:val="18"/>
                <w:szCs w:val="18"/>
                <w:i w:val="1"/>
                <w:iCs w:val="1"/>
                <w:color w:val="auto"/>
              </w:rPr>
              <w:t>data)</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16,164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Cost of sales</w:t>
            </w:r>
          </w:p>
        </w:tc>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Gross profit</w:t>
            </w:r>
          </w:p>
        </w:tc>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6,492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Operating expenses:</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Engineering, design and product development</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868</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Selling and marketing</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Legal fees associated with lawsuit (Note 7)</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1,744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6,275</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Interest and other (expense) income:</w:t>
            </w:r>
          </w:p>
        </w:tc>
        <w:tc>
          <w:tcPr>
            <w:tcW w:w="25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net</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Other, net</w:t>
            </w:r>
          </w:p>
        </w:tc>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225</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Income tax provision</w:t>
            </w:r>
          </w:p>
        </w:tc>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Basic</w:t>
            </w:r>
          </w:p>
        </w:tc>
        <w:tc>
          <w:tcPr>
            <w:tcW w:w="27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0.02</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0.02</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Basic</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7,856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7,876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common share:</w:t>
            </w:r>
          </w:p>
        </w:tc>
        <w:tc>
          <w:tcPr>
            <w:tcW w:w="2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0.08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3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144</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135</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2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144</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Share-based compensation expense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361</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Deferred income tax benefit</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Foreign currency transaction (gains) losses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(1,711)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Inventories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Prepaid income taxes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368</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current and long term 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(186)</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3,633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(1,025)</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top w:val="single" w:sz="8" w:color="CCEEFF"/>
            </w:tcBorders>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2,752</w:t>
            </w:r>
          </w:p>
        </w:tc>
        <w:tc>
          <w:tcPr>
            <w:tcW w:w="220" w:type="dxa"/>
            <w:vAlign w:val="bottom"/>
            <w:tcBorders>
              <w:top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(188)</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Payment of dividends on common stock</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(623)</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(1,020)</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(1,643)</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3,131</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4,049</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and are of a normal recurring nature. The December 31, 2014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2014 included in our Annual Report on Form 10-K.</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in the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months ended March 31, 2015 are not necessarily indicative of the results to be expected for the full year.</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2. Inventories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0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1380" w:type="dxa"/>
            <w:vAlign w:val="bottom"/>
            <w:gridSpan w:val="3"/>
          </w:tcPr>
          <w:p>
            <w:pPr>
              <w:jc w:val="right"/>
              <w:ind w:right="650"/>
              <w:spacing w:after="0"/>
              <w:rPr>
                <w:sz w:val="20"/>
                <w:szCs w:val="20"/>
                <w:color w:val="auto"/>
              </w:rPr>
            </w:pPr>
            <w:r>
              <w:rPr>
                <w:rFonts w:ascii="Arial" w:cs="Arial" w:eastAsia="Arial" w:hAnsi="Arial"/>
                <w:sz w:val="17"/>
                <w:szCs w:val="17"/>
                <w:i w:val="1"/>
                <w:iCs w:val="1"/>
                <w:color w:val="auto"/>
                <w:w w:val="73"/>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10,766</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generally warrant our products for up to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 during the three months ended March 31,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4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i w:val="1"/>
                <w:iCs w:val="1"/>
                <w:color w:val="auto"/>
                <w:w w:val="99"/>
              </w:rPr>
              <w:t>(In thousands)</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Warranties issued</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settlements</w:t>
            </w:r>
          </w:p>
        </w:tc>
        <w:tc>
          <w:tcPr>
            <w:tcW w:w="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Balance, end of period</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Approximately $174,000 of the accrued product warranty liability is classified as current in Accrued liabilities at March 31, 2015 in the Condensed Balance Sheets. The remaining $82,000 of the accrued product warranty liability is classified as long-term in Other liabilities.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i w:val="1"/>
                <w:iCs w:val="1"/>
                <w:color w:val="auto"/>
                <w:w w:val="89"/>
              </w:rPr>
              <w:t>(In thousands,</w:t>
            </w:r>
          </w:p>
        </w:tc>
        <w:tc>
          <w:tcPr>
            <w:tcW w:w="1360" w:type="dxa"/>
            <w:vAlign w:val="bottom"/>
            <w:gridSpan w:val="4"/>
          </w:tcPr>
          <w:p>
            <w:pPr>
              <w:jc w:val="right"/>
              <w:ind w:right="30"/>
              <w:spacing w:after="0" w:line="201" w:lineRule="exact"/>
              <w:rPr>
                <w:sz w:val="20"/>
                <w:szCs w:val="20"/>
                <w:color w:val="auto"/>
              </w:rPr>
            </w:pPr>
            <w:r>
              <w:rPr>
                <w:rFonts w:ascii="Arial" w:cs="Arial" w:eastAsia="Arial" w:hAnsi="Arial"/>
                <w:sz w:val="18"/>
                <w:szCs w:val="18"/>
                <w:i w:val="1"/>
                <w:iCs w:val="1"/>
                <w:color w:val="auto"/>
                <w:w w:val="90"/>
              </w:rPr>
              <w:t>except 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tcPr>
          <w:p>
            <w:pPr>
              <w:jc w:val="center"/>
              <w:ind w:left="610"/>
              <w:spacing w:after="0"/>
              <w:rPr>
                <w:sz w:val="20"/>
                <w:szCs w:val="20"/>
                <w:color w:val="auto"/>
              </w:rPr>
            </w:pPr>
            <w:r>
              <w:rPr>
                <w:rFonts w:ascii="Arial" w:cs="Arial" w:eastAsia="Arial" w:hAnsi="Arial"/>
                <w:sz w:val="18"/>
                <w:szCs w:val="18"/>
                <w:i w:val="1"/>
                <w:iCs w:val="1"/>
                <w:color w:val="auto"/>
                <w:w w:val="92"/>
              </w:rPr>
              <w:t>data)</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Shares:</w:t>
            </w: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Add: Dilutive effect of outstanding options as determined by the treasury stock method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and common equivalent shares outstanding</w:t>
            </w: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7,876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Basic</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0.02</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options, when the average market price of the common stock is lower than the exercise price of the related stock option during the period. These outstanding stock options are not included in the computation of diluted earnings per share because the effect would be anti-dilutive. For the three months ended March 31, 2015 and 2014, there were 853,000 and 174,000, respectively, potentially dilutive shares consisting of stock options that were excluded from the calculation of earnings per diluted share.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5. Shareholders’ equity</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color w:val="auto"/>
              </w:rPr>
              <w:t>Changes in shareholders’ equity for the three months ended March 31, 2015 were as follows (in thousands):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color w:val="auto"/>
              </w:rPr>
              <w:t>Balance at December 31, 2014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25,394</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Issuance of deferred stock units, net of relinquishments</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on common stock</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Purchase of common stock for treasury</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24,149</w:t>
            </w:r>
          </w:p>
        </w:tc>
        <w:tc>
          <w:tcPr>
            <w:tcW w:w="20" w:type="dxa"/>
            <w:vAlign w:val="bottom"/>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portion of the 2014 incentive bonus for the chief executive officer and chief financial officer in the form of deferred stock units. Such deferred stock units were granted in February 2015 and were fully vested at the time of grant.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2015, our Board of Directors declared a quarterly cash dividend of $0.08 per share, totaling approximately $623,000, which was paid in March 2015 to common shareholders of record at the close of business on February 20, 2015. For the three months ended March 31, 2014, dividends declared and paid totaled approximately $583,000, or $0.07 per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an income tax provision for the first quarter of 2015 of $81,000 at an effective tax rate of 36.0%, compared to an income tax provision during the first quarter of 2014 of $215,000 at an effective tax rate of 35.3%.</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U.S. federal income tax as well as income tax of certain state and foreign jurisdictions. We have substantially concluded all U.S. federal income tax, state and local, and foreign tax matters through 2010. During 2013, an examination of our 2010 federal tax return was completed. However, our federal tax returns for the years 2011 through 2013 remain open to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March 31, 2015, we had $124,000 of total gross unrecognized tax benefits that, if recognized, would favorably affect the effective income tax rate in any future periods.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June 8, 2012, Avery Dennison Corporation (“AD”) filed a civil complaint against us and a former employee of ours and of AD, in the Court of Common Pleas (the “Court”) in Lake County, Ohio. The complaint alleged that we and this former employee misappropriated unspecified trade secrets and confidential information from AD related to the design of our food safety terminals. The complaint requested a preliminary and permanent injunction against us from manufacturing and selling our Ithaca® 9700 and 9800 food safety terminals. On July 16, 2012, we filed our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our further sale and marketing of the food safety terminals, pending the Court of Appeals’ decision. On July 29, 2013, we opposed this request. On October 15, 2013, the Eleventh District Court of Appeals affirmed the lower court’s decision in our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we filed our answer, affirmative defenses and counterclaims with respect to the amended complaint, seeking all available damages including legal fees. On January 30, 2015, we filed a motion for summary judgment seeking judgment in our favor all counts as to the Company. On the same day, AD filed two motions for partial summary judgment. On February 17, 2015, we opposed both of AD’s motions, and AD opposed our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we agreed to pay AD $3,600,000 payable on or before April 8, 2015 and also to qualify certain AD labels for use on our food safety terminals at an estimated cost of $25,000. We made the $3,600,000 payment to AD on April 8, 2015 and borrowed $2,500,000 under our revolving credit facility with TD Bank to fund the payment. We recorded the total expense of $3,625,000 in the fourth quarter 2014 as an operating expense included in the line item “Legal fees and settlement expenses associated with lawsuit” on the Consolidated Statement of Operations and as a current liability included in the line item “Accrued lawsuit settlement expenses” on the Consolidated Balance Sheet.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statements.The forward-looking statements speak only as of the date of this report and we assume no duty to update them. As used in this Quarterly Report on Form 10-Q, unless the context otherwise requires, references to “we”, “us”, “our”, the “Company” and “TransAct” refer to TransAct Technologies Incorporated, and its consolidated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TransAct Technologies Incorporated (“TransAct”) designs, develops and sells market-specific solutions, including printers, terminals, software and other products for transaction-based and other industries. These world-class products are sold under the Epic,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Ithaca®, Printrex® and Responder®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focus on the following core markets: food safety, banking and point-of-sale (“POS”), casino and gaming, lottery, and Printrex (which serves the oil and gas, medical and mobile printing markets). We sell our products to original equipment manufacturers (“OEMs”), value-added resellers ("VARs"), selected distributors, as well as directly to end-users. Our product distribution spans across the Americas, Europe, the Middle East, Africa, Asia, Australia, the Caribbean Islands and the South Pacific. TransAct also provides world-class printer service, spare parts, accessories and printing supplies to its growing worldwide installed base of products.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on-line demand for these products. We operate in one reportable segment: the design, development, assembly and marketing of transaction printers and terminals and providing printer-related services, supplies and spare parts.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2014. We have reviewed those policies and determined that they remain our critical accounting policies for the three months ended March 31, 2015.</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March 31, 2015 compared to three months ended March 31, 2014</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March 31, 2015 and 2014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9"/>
              </w:rPr>
              <w:t>Three months ended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w w:val="92"/>
              </w:rPr>
              <w:t>March 31, 2015</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w w:val="93"/>
              </w:rPr>
              <w:t>March 31, 2014</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13.0%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Casino and gaming</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5,581</w:t>
            </w:r>
          </w:p>
        </w:tc>
        <w:tc>
          <w:tcPr>
            <w:tcW w:w="6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34.5%</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6,542</w:t>
            </w:r>
          </w:p>
        </w:tc>
        <w:tc>
          <w:tcPr>
            <w:tcW w:w="7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(961)</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4,031</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24.9%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Printrex</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6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974</w:t>
            </w:r>
          </w:p>
        </w:tc>
        <w:tc>
          <w:tcPr>
            <w:tcW w:w="7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3,513</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16,164</w:t>
            </w:r>
          </w:p>
        </w:tc>
        <w:tc>
          <w:tcPr>
            <w:tcW w:w="6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13,619</w:t>
            </w:r>
          </w:p>
        </w:tc>
        <w:tc>
          <w:tcPr>
            <w:tcW w:w="7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2,545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International *</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4,154</w:t>
            </w:r>
          </w:p>
        </w:tc>
        <w:tc>
          <w:tcPr>
            <w:tcW w:w="6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25.7%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3,413</w:t>
            </w:r>
          </w:p>
        </w:tc>
        <w:tc>
          <w:tcPr>
            <w:tcW w:w="7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25.1%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38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740" w:type="dxa"/>
            <w:vAlign w:val="bottom"/>
            <w:gridSpan w:val="19"/>
          </w:tcPr>
          <w:p>
            <w:pPr>
              <w:jc w:val="right"/>
              <w:ind w:right="250"/>
              <w:spacing w:after="0" w:line="201" w:lineRule="exact"/>
              <w:rPr>
                <w:sz w:val="20"/>
                <w:szCs w:val="20"/>
                <w:color w:val="auto"/>
              </w:rPr>
            </w:pPr>
            <w:r>
              <w:rPr>
                <w:rFonts w:ascii="Arial" w:cs="Arial" w:eastAsia="Arial" w:hAnsi="Arial"/>
                <w:sz w:val="18"/>
                <w:szCs w:val="18"/>
                <w:color w:val="auto"/>
                <w:w w:val="95"/>
              </w:rPr>
              <w:t>*International sales do not include sales of printers made to domestic distributors or other domestic customers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480" w:type="dxa"/>
            <w:vAlign w:val="bottom"/>
            <w:gridSpan w:val="11"/>
          </w:tcPr>
          <w:p>
            <w:pPr>
              <w:ind w:left="560"/>
              <w:spacing w:after="0"/>
              <w:rPr>
                <w:sz w:val="20"/>
                <w:szCs w:val="20"/>
                <w:color w:val="auto"/>
              </w:rPr>
            </w:pPr>
            <w:r>
              <w:rPr>
                <w:rFonts w:ascii="Arial" w:cs="Arial" w:eastAsia="Arial" w:hAnsi="Arial"/>
                <w:sz w:val="18"/>
                <w:szCs w:val="18"/>
                <w:color w:val="auto"/>
                <w:w w:val="96"/>
              </w:rPr>
              <w:t>who may in turn ship those printers to international destinations.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both"/>
        <w:spacing w:after="0" w:line="276" w:lineRule="auto"/>
        <w:rPr>
          <w:sz w:val="20"/>
          <w:szCs w:val="20"/>
          <w:color w:val="auto"/>
        </w:rPr>
      </w:pPr>
      <w:r>
        <w:rPr>
          <w:rFonts w:ascii="Arial" w:cs="Arial" w:eastAsia="Arial" w:hAnsi="Arial"/>
          <w:sz w:val="17"/>
          <w:szCs w:val="17"/>
          <w:color w:val="auto"/>
        </w:rPr>
        <w:t>Net sales for the first quarter of 2015 increased $2,545,000, or 19%, from the same period in 2014. Printer sales volume increased 36% to approximately 48,000 units driven primarily by a 383% increase in unit volume from the lottery market. The increase in the lottery market was partially offset by an 11% decrease in unit volume from the casino and gaming market. The average selling price of our printers declined approximately 9% in the first quarter of 2015 compared to the first quarter of 2014 due to the large volume of lower priced lottery printers. International sales increased $741,000, or 22%, primarily driven by higher international casino and gaming and higher food safety, banking and POS printer sales.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banking and POS: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from the food safety, banking and POS market includes sales of food safety terminals which are hardware devices that consist of a touchscreen and one or two thermal print mechanisms, that print easy-to-read food rotation labels and "enjoy by" date labels to help restaurants effectively manage food spoilage.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In addition, revenue includes sales of printers used by banks, credit unions and other financial institutions to print receipts and/ or validate checks at bank teller stations. A summary of sales of our worldwide food safety, banking and POS products for the three months ended March 31, 2015 and 2014 is as follows (in thousands, except percentages):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2015</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2014</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1,979</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1,722</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increase in both domestic and international food safety, banking and POS product revenue from the first quarter of 2014 was primarily driven by a 335% increase in sales of our food safety terminals as we resumed shipments to our distributor who made a large initial stocking order in 2013 and did not make any purchases in the first quarter of 2014. In addition, sales of our Ithaca® 280 printer increased 54% during the quarter. These increases were partially offset by lower sales of our Ithaca ® 9000 printers to McDonalds. We expect to see an increase in sales of our Ithaca ® 9000 printers beginning in Q2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Revenue from this market also includes royalties related to our patented casino and gaming technology. In addition, casino and gaming market revenue includes sales of our software solution (including annual software maintenance for), the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 that enables casino operators to create promotional coupons and marketing messages and to print them real-time at the slot machine. A summary of sales of our worldwide casino and gaming products for the three months ended March 31, 2015 and 2014 is as follows (in thousands, except percentages):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2015</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2014</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2,079</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3,549</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3,502</w:t>
            </w: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2,993</w:t>
            </w: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509</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5,581</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6,542</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domestic sales of our casino and gaming products resulted primarily from a reduction in the replacement cycle in the domestic casino market in the first quarter of 2015 compared to the first quarter of 2014. Domestic sales of our thermal Epic 950 gaming printer decreased 42% in the first quarter of 2015 compared to the first quarter 2014.</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International casino and gaming printer sales increased due primarily to a 255% increase in sales of our off-premise gaming printers, primarily to our European distributor. Sales of our off-premise gaming printers are largely project-oriented, and we therefore cannot predict the level of future sales. This increase was partially offset by a 4% decrease in sales of our thermal Epic 950 printer.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lottery market includes sales of thermal on-line and other lottery printers to GTECH Corporation (“GTECH”) and its subsidiaries for various lottery applications. A summary of sales of our worldwide lottery printers for the three months ended March 31, 2015 and 2014 is as follows (in thousands, except percentages):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2015</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2014</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3,939</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4,031</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Based on our backlog of orders and customer’s forecast, we expect total lottery printer sales to GTECH for 2015 to be higher than those reported in 2014, especially in the first half of 2015.</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Printrex branded printers are sold into markets that include wide format, desktop and rack mounted and vehicle mounted black/white and color thermal printers used by customers to log and plot oil field, seismic and down hole well drilling data in the oil and gas exploration industry. It also includes high-speed color inkjet desktop printers used to print logs at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and other mobile printing applications. A summary of sales of our worldwide Printrex printers for the three months ended March 31, 2015 and 2014 is as follows (in thousands, except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2015</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2014</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decrease in sales of Printrex printers is primarily due to lower domestic and international sales in the oil and gas market due to the continued negative impact from the decline in worldwide oil prices which we expect will continue to negatively impact our sales during the remainder of 2015.</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from TSG includes sales of consumable products (inkjet cartridges, ribbons, receipt paper, color thermal paper and other printing supplies), replacement parts, maintenance and repair services, testing services, refurbished printers, and shipping and handling charges. A summary of sales in our worldwide TSG market for the three months ended March 31, 2015 and 2014 is as follows (in thousands, except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2015</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2014</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3,376</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3,261</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3,513</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increase in domestic revenue from TSG is primarily due to a 37% increase in services revenue largely from project oriented paper testing services and a 40% increase of consumables sales for our Printrex color printers. These increases were partially offset by decreased sales of spares and accessories and our non-Printrex consumables, largely from the decline of HP inkjet cartridges, as we continue to deemphasize this commoditized consumable product.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Internationally, TSG revenue remained relatively consistent.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6,492</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5,726</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print system. Gross profit increased $766,000, or 13%, and our gross margin declined by 180 basis points as we experienced a less favorable sales mix in the first quarter of 2015 compared to the first quarter of 2014. During the first quarter of 2015, a larger portion of our sales were generated from our lottery printers, which carry lower gross margin than our other printers. We expect our gross margin for the full year 2015 to be higher than in 2014 as we expect to benefit from increased sales of our new value-added products, and expect to recognize the benefits from our cost reduction initiatives that were initiated during the fourth quarter 2014.</w:t>
      </w: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1,230</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decreased $362,000, or 29%, due primarily to the reduction of engineering staff resulting from our 2014 cost reduction initiatives and lower outside testing and pre-production expenses during the first quarter of 2015 compared to the first quarter of 2014 when we were in the process of launching three new products. We expect engineering, design and product development expenses in 2015 to be lower than in 2014 due to staff reductions and lower product development expenses resulting from cost reduction actions we initiated during the fourth quarter of 2014.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1,823</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1,965</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decreased by $142,000, or 7%, in the first quarter of 2015 compared to the first quarter of 2014 primarily due to lower sales commissions related to our casino and gaming markets resulting from lower domestic sales and lower travel and marketing expenses in our Printrex markets as we consciously decided to reduce these expenses in response to the worldwide decline in the oil and gas markets. These decreases were partially offset by the planned investments we made during 2014 in new sales and marketing staff to focus on sales execution of our new products.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1,840</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1,888</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decreased $48,000, or 3%, due primarily to lower salary expenses related to the departure of our VP, Business Development during the fourth quarter of 2014 who has not yet been replaced.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1,744</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14,433.3%</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7 to the Condensed Consolidated Financial Statements, in June 2012, AD filed a civil complaint against the Company, which we settled in March 2015. In connection with this lawsuit, we incurred legal fees of $1,744,000 and $12,000 in the first quarter of 2015 and 2014, respectively. Due to the settlement of the AD lawsuit in March 2015, we do not expect to incur any material amount of additional expenses related to the lawsuit beyond the first quarter of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2015</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631</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(65.6%)</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income declined primarily due to the legal fees incurred in connection with the AD lawsuit. These fees reduced our operating margin by 1,080 and 10 basis points in the first quarter of 2015 and 2014, respectively. Excluding the AD legal fees, our operating income would have increased $1,318,000 or 205% primarily due to the 19% increase in sales in the first quarter of 2015 compared to the first quarter of 2014.</w:t>
      </w:r>
    </w:p>
    <w:p>
      <w:pPr>
        <w:spacing w:after="0" w:line="200" w:lineRule="exact"/>
        <w:rPr>
          <w:sz w:val="20"/>
          <w:szCs w:val="20"/>
          <w:color w:val="auto"/>
        </w:rPr>
      </w:pP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$6,000 in the first quarter of 2015 compared to $14,000 in the first quarter of 2014 due to the lower unused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line fee we are charged upon renewing our credit facility (the “TD Bank Credit Facility”) with TD Bank N.A. (“TD Bank) on November 26, 2014. As of the renewal, we are charged a fee of 0.15% on unused borrowings compared to 0.25% during the first quarter of 2014. See “Liquidity and Capital Resources” below for more information.</w:t>
      </w: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income of $14,000 in the first quarter of 2015 compared to other expense of $8,000 in the first quarter of 2014. The 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due to foreign currency transaction exchange gains recorded by our U.K. subsidiary in the first quarter of 2015 compared transaction exchange losses recorded in the first quarter of 2014.</w:t>
      </w: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first quarter of 2015 of $81,000 at an effective tax rate of 36.0%, compared to an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during the first quarter of 2014 of $215,000 at an effective tax rate of 35.3%. Our effective tax rate for the first quarter 2015 does not include any benefit from the federal R&amp;D credit, as this credit expired at the end of 2014. Our effective rate for the first quarter of 2014 also did not include any benefit from the federal R&amp;D credit, as this credit was not approved until late in 2014. As a result, if this credit is not renewed in 2015, we expect our effective tax rate for the remainder of 2015 to be between 35% and 36%.</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quarter of 2015 of $144,000, or $0.02 per diluted share, compared to $394,000, or $0.05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first quarter of 2014.</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u w:val="single" w:color="auto"/>
          <w:color w:val="auto"/>
        </w:rPr>
        <w:t>Impact of Inflation.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inflation has not had a material impact on our results of operations for the three months ended March 31, 2015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However, there can be no assurance that future inflation would not have an adverse impact upon our future operation results and financial condition.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first three months of 2015, our cash and cash equivalents balance increased $918,000, or 29%, from December 31, 2014 and we ended the first quarter of 2015 with $4,049,000 in cash and cash equivalents and no debt outstanding. However, in April 2015 we borrowed $2,500,000 under our TD Bank Credit Facility to fund the $3,600,000 payment related to the settlement of the AD lawsuit. We expect to repay the this borrowing early in the third quarter of 2015.</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$2,752,000 in the first three months of 2015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cash provided by operating activities of $1,144,000 in the first three months of 2014:</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During the first three months of 2015:</w:t>
      </w:r>
    </w:p>
    <w:p>
      <w:pPr>
        <w:spacing w:after="0" w:line="23" w:lineRule="exact"/>
        <w:rPr>
          <w:sz w:val="20"/>
          <w:szCs w:val="20"/>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reported net income of $144,000.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$503,000.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receivable increased $1,711,000, or 19%, due to the increase and timing of sales during the first quarter of 2015.</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decreased $1,040,000, or 9%, due to the sell through of inventory on hand during 2015 compared to the increased stocking levels of our new food safety and Printrex products in the first quarter of 2014.</w:t>
      </w:r>
    </w:p>
    <w:p>
      <w:pPr>
        <w:ind w:left="114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Prepaid income taxes declined $368,000, or 90%, due to the receipt of a refund during the first quarter of 2015 that resulted from an overpayment of federal income taxes in 2014.</w:t>
      </w:r>
    </w:p>
    <w:p>
      <w:pPr>
        <w:ind w:left="114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current and long-term assets increased, $186,000, or 36%, due largely to advance payments made in the first quarter 2015 for annual ERP software maintenance expenses.</w:t>
      </w:r>
    </w:p>
    <w:p>
      <w:pPr>
        <w:ind w:left="114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payable increased $3,633,000, or 154%, due to unpaid legal fees related to the AD lawsuit as well as increased inventory purchases to support a higher level of sales.</w:t>
      </w:r>
    </w:p>
    <w:p>
      <w:pPr>
        <w:ind w:left="1140" w:right="20" w:hanging="132"/>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$1,025,000 due primarily to the payment of 2014 annual bonuses in March 2015 and lower accruals for uninvoiced legal fees related to the AD lawsuit.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2014:</w:t>
      </w:r>
    </w:p>
    <w:p>
      <w:pPr>
        <w:spacing w:after="0" w:line="23"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reported net income of $394,000.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depreciation, amortization, and share based compensation expense of $505,000.</w:t>
      </w:r>
    </w:p>
    <w:p>
      <w:pPr>
        <w:spacing w:after="0" w:line="9" w:lineRule="exact"/>
        <w:rPr>
          <w:rFonts w:ascii="Arial" w:cs="Arial" w:eastAsia="Arial" w:hAnsi="Arial"/>
          <w:sz w:val="18"/>
          <w:szCs w:val="18"/>
          <w:color w:val="auto"/>
        </w:rPr>
      </w:pPr>
    </w:p>
    <w:p>
      <w:pPr>
        <w:ind w:left="1140" w:right="2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decreased $329,000, or 2%, due to collections made from the high concentration of sales made during the latter portion of the fourth quarter of 2013.</w:t>
      </w: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remained consistent, increasing $41,000, or less than 1%.</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Prepaid income taxes declined $198,000, or 51%, due to the income tax provision recorded for the first quarter 2014.</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current and long-term assets increased, $212,000, or 38%, due largely to advance payments made in the first quarter 2014 for tradeshow and annual ERP software maintenance expenses.</w:t>
      </w: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payable remained consistent, decreasing $27,000, or less than 1%.</w:t>
      </w:r>
    </w:p>
    <w:p>
      <w:pPr>
        <w:spacing w:after="0" w:line="9" w:lineRule="exact"/>
        <w:rPr>
          <w:rFonts w:ascii="Arial" w:cs="Arial" w:eastAsia="Arial" w:hAnsi="Arial"/>
          <w:sz w:val="18"/>
          <w:szCs w:val="18"/>
          <w:color w:val="auto"/>
        </w:rPr>
      </w:pPr>
    </w:p>
    <w:p>
      <w:pPr>
        <w:ind w:left="1140" w:hanging="132"/>
        <w:spacing w:after="0" w:line="290"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$10,000 due primarily to the payment of 2013 annual bonuses in March 2014 largely offset by increases in accrued salaries as well as deferred revenue from new Epicentral maintenance and testing services contracts.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$188,000 and $288,000 in the first three months of 2015 and 2014, respectively. Expenditures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approximately $119,000 of costs incurred for the purchase of a new phone system and the remaining amount primarily for the purchase of new tooling equipment and computer equipment. Expenditures in 2014 included approximately $224,000 for costs incurred for the purchase of new product tooling and the remaining amount primarily for the purchase of new computer equipment.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for 2015 are expected to be approximately $800,000 primarily for new product tooling and tooling enhancements for our existing products.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$1,643,000 of cash from financing activities during the first three months of 2015 to pay dividends of $623,000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and to purchase $1,020,000 of common stock for treasury. During the first three months of 2014, we used $582,000 of cash from financing activities to pay dividends to common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working capital decreased 6% to $17,273,000 at March 31, 2015 from $18,361,000 at December 31, 2014. Our current ratio of current assets to current liabilities declined to 2.4 as of March 31, 2015 compared to 2.9 at December 31, 2014. The decrease in both our working capital and current ratio was due to increased accounts payable and liquidation of our inventory balances, somewhat offset by higher accounts receivable.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TD Bank Credit Facility provides for a $20,000,000 revolving credit line. On November 26, 2014, we signed an amendment to renew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The amendment increases the amount of revolving credit loans we may use to fund future cash dividend payments or treasury share buybacks to $10,000,000 from $5,000,000. The amendment also modified the definition of EBITDA to exclude certain non-recurring expenses, including without limitation, non-recurring litigation and acquisition expenses (including the $3,625,000 expense we incurred in the fourth quarter of 2014 related to the settlement of the AD lawsuit); and modified the definition of Operating Cash Flow to exclude unfinanced capital expenditures for the quarters ending December 31, 2014, March 31, 2015 and June 30, 2015.</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jc w:val="both"/>
        <w:ind w:right="20"/>
        <w:spacing w:after="0" w:line="264"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March 31, 2015. The following table lists the financial covenants and the performance measurements at March 31, 2015:</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Financial Covenant</w:t>
            </w:r>
          </w:p>
        </w:tc>
        <w:tc>
          <w:tcPr>
            <w:tcW w:w="32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Requirement/Restriction</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Calculation at March 31, 2015</w:t>
            </w:r>
          </w:p>
        </w:tc>
      </w:tr>
      <w:tr>
        <w:trPr>
          <w:trHeight w:val="216"/>
        </w:trPr>
        <w:tc>
          <w:tcPr>
            <w:tcW w:w="46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Operating cash flow / Total debt service</w:t>
            </w:r>
          </w:p>
        </w:tc>
        <w:tc>
          <w:tcPr>
            <w:tcW w:w="3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Minimum of 1.25 times</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41.6 times</w:t>
            </w:r>
          </w:p>
        </w:tc>
      </w:tr>
      <w:tr>
        <w:trPr>
          <w:trHeight w:val="230"/>
        </w:trPr>
        <w:tc>
          <w:tcPr>
            <w:tcW w:w="4600" w:type="dxa"/>
            <w:vAlign w:val="bottom"/>
          </w:tcPr>
          <w:p>
            <w:pPr>
              <w:jc w:val="center"/>
              <w:ind w:left="110"/>
              <w:spacing w:after="0"/>
              <w:rPr>
                <w:sz w:val="20"/>
                <w:szCs w:val="20"/>
                <w:color w:val="auto"/>
              </w:rPr>
            </w:pPr>
            <w:r>
              <w:rPr>
                <w:rFonts w:ascii="Arial" w:cs="Arial" w:eastAsia="Arial" w:hAnsi="Arial"/>
                <w:sz w:val="18"/>
                <w:szCs w:val="18"/>
                <w:color w:val="auto"/>
                <w:w w:val="93"/>
              </w:rPr>
              <w:t>Funded Debt / EBITDA</w:t>
            </w:r>
          </w:p>
        </w:tc>
        <w:tc>
          <w:tcPr>
            <w:tcW w:w="3220" w:type="dxa"/>
            <w:vAlign w:val="bottom"/>
          </w:tcPr>
          <w:p>
            <w:pPr>
              <w:jc w:val="center"/>
              <w:ind w:left="30"/>
              <w:spacing w:after="0"/>
              <w:rPr>
                <w:sz w:val="20"/>
                <w:szCs w:val="20"/>
                <w:color w:val="auto"/>
              </w:rPr>
            </w:pPr>
            <w:r>
              <w:rPr>
                <w:rFonts w:ascii="Arial" w:cs="Arial" w:eastAsia="Arial" w:hAnsi="Arial"/>
                <w:sz w:val="18"/>
                <w:szCs w:val="18"/>
                <w:color w:val="auto"/>
                <w:w w:val="94"/>
              </w:rPr>
              <w:t>Maximum of 3.0 times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2015, undrawn commitments under the TD Bank Credit facility were $20,000,000. However, in April 2015 we borrowed $2,500,000 to fund the $3,600,000 payment related to the settlement of the AD lawsuit.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10, 2012, we announced that our Board of Directors approved the initiation of a quarterly cash dividend program which is subject to the Board’s approval each quarter. On May 6, 2014, our Board of Directors declared an increase to the quarterly cash dividend from $0.07 per share to $0.08 per share. For the three months ended March 31, 2015, our Board of Directors declared a quarterly cash dividend of $0.08 per share, totaling approximately $623,000, which was paid in March 2015 to common shareholders of record at the close of business on February 20, 2015. We expect to pay approximately $2,500,000 in cash dividends to our common shareholders during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11, 2014, our Board of Directors approved a stock repurchase program (the “Stock Repurchase Program”). Under the Stock Repurchase Program, we are authorized to repurchase up to $7,500,000 of our outstanding shares of common stock from time to time in the open market through July 31, 2015, depending on market conditions, share price and other factors. On November 3, 2014, our Board of Directors modified the Stock Repurchase Program to include the repurchase of up to $4,000,000 of the Company’s outstanding shares through April 30, 2015 pursuant to a Rule 10b5-1 trading plan (the “10b5-1 Plan) though our Board ended this trading plan effective March 31, 2015. During the three months ended March 31, 2015 we purchased 166,553 shares of our common stock for approximately $1,020,000 at an average price per share of $6.12 under the Stock Repurchase Program. As of March 31, 2015, approximately $3,846,000 remains authorized for future repurchases under the Stock Repurchase Program.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our cash and cash equivalents on hand, cash flows generated from operating activities and borrowings available under our TD Bank Credit Facility will provide sufficient resources to meet our working capital needs, fund $3,625,000 of accrued settlement expenses related to the settlement of the AD lawsuit, finance our capital expenditures, treasury stock repurchases, dividend payments and meet our liquidity requirements through at least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2014.</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8, 2015, we extended our five-year agreement with GTECH Corporation (“GTECH”) to provide thermal lottery printers to GTECH for various lottery applications through May 29, 2015. As part of the extension, we received a $7.3 million non-cancelable order from GTECH for printers for delivery during calendar year 2016. We are currently in negotiations with GTECH to further extend this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On March 25, 2015 we executed a confidential settlement agreement on the AD lawsuit as disclosed in Item 1 “Legal Proceedings”.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items mentioned above, there have been no other material changes in our contractual obligations outside the ordinary course of business since December 31, 2014. We have no material off-balance sheet arrangements as defined in Item 303(a)(4)(ii) of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2014. There has been no material change in our exposure to market risk during the three months ended March 31,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recognized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2015, our Chief Executive Officer and Chief Financial Officer concluded that, as of such date, our disclosure controls and procedures were effective at the reasonable assurance level.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302" w:gutter="0" w:footer="0" w:header="0"/>
        </w:sectPr>
      </w:pPr>
    </w:p>
    <w:bookmarkStart w:id="16" w:name="page17"/>
    <w:bookmarkEnd w:id="16"/>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March 31, 2015 that has materially affected, or is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June 8, 2012, Avery Dennison Corporation (“AD”) filed a civil complaint against us and a former employee of ours and of AD, in the Court of Common Pleas (the “Court”) in Lake County, Ohio. The complaint alleged that we and this former employee misappropriated unspecified trade secrets and confidential information from AD related to the design of our food safety terminals. The complaint requested a preliminary and permanent injunction against us from manufacturing and selling our Ithaca® 9700 and 9800 food safety terminals. On July 16, 2012, we filed our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our further sale and marketing of the food safety terminals, pending the Court of Appeals’ decision. On July 29, 2013, we opposed this request. On October 15, 2013, the Eleventh District Court of Appeals affirmed the lower court’s decision in our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we filed our answer, affirmative defenses and counterclaims with respect to the amended complaint, seeking all available damages including legal fees. On January 30, 2015, we filed a motion for summary judgment seeking judgment in our favor all counts as to the Company. On the same day, AD filed two motions for partial summary judgment. On February 17, 2015, we opposed both of AD’s motions, and AD opposed our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we agreed to pay AD $3,600,000 payable on or before April 8, 2015 and also to qualify certain AD labels for use on our food safety terminals at an estimated cost of $25,000. We made the $3,600,000 payment to AD on April 8, 2015 and borrowed $2,500,000 under our revolving credit facility with TD Bank to fund the payment. We recorded the total expense of $3,625,000 in the fourth quarter 2014 as an operating expense included in the line item “Legal fees and settlement expenses associated with lawsuit” on the Consolidated Statement of Operations and as a current liability included in the line item “Accrued lawsuit settlement expenses” on the Consolidated Balance Sheet.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2014.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August 11, 2014, our Board of Directors approved the Stock Repurchase Program. Under the Stock Repurchase Program, we are authorized to repurchase up to $7,500,000 of our outstanding shares of common stock from time to time in the open market through July 31, 2015, depending on market conditions, share price and other factors. On November 3, 2014, our Board of Directors modified the Stock Repurchase Program to include the repurchase of up to $4,000,000 of the Company’s outstanding shares through April 30, 2015 pursuant to the Rule 10b5-1 Plan, though our Board ended this trading plan effective March 31, 2015. During the three months ended March 31, 2015, we purchased 166,553 shares of our common stock for approximately $1,020,000 at an average price per share of $6.12 under the Stock Repurchase Program. As of March 31, 2015, approximately $3,846,000 remains authorized for future repurchases under the Stock Repurchase Program. The following table summarizes the repurchase of our common stock in the three months ended March 31, 2015:</w:t>
      </w: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 Number of Shares</w:t>
            </w:r>
          </w:p>
        </w:tc>
        <w:tc>
          <w:tcPr>
            <w:tcW w:w="1900" w:type="dxa"/>
            <w:vAlign w:val="bottom"/>
            <w:gridSpan w:val="3"/>
          </w:tcPr>
          <w:p>
            <w:pPr>
              <w:jc w:val="center"/>
              <w:spacing w:after="0"/>
              <w:rPr>
                <w:sz w:val="20"/>
                <w:szCs w:val="20"/>
                <w:color w:val="auto"/>
              </w:rPr>
            </w:pPr>
            <w:r>
              <w:rPr>
                <w:rFonts w:ascii="Arial" w:cs="Arial" w:eastAsia="Arial" w:hAnsi="Arial"/>
                <w:sz w:val="18"/>
                <w:szCs w:val="18"/>
                <w:color w:val="auto"/>
                <w:w w:val="90"/>
              </w:rPr>
              <w:t>Value of 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Purchased as Part of</w:t>
            </w:r>
          </w:p>
        </w:tc>
        <w:tc>
          <w:tcPr>
            <w:tcW w:w="190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Yet Be 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 Number of Shares</w:t>
            </w:r>
          </w:p>
        </w:tc>
        <w:tc>
          <w:tcPr>
            <w:tcW w:w="8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Average Price Paid per</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Publicly Announced</w:t>
            </w:r>
          </w:p>
        </w:tc>
        <w:tc>
          <w:tcPr>
            <w:tcW w:w="12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the Stock Repurchase</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Purchased</w:t>
            </w:r>
          </w:p>
        </w:tc>
        <w:tc>
          <w:tcPr>
            <w:tcW w:w="80" w:type="dxa"/>
            <w:vAlign w:val="bottom"/>
          </w:tcPr>
          <w:p>
            <w:pPr>
              <w:spacing w:after="0"/>
              <w:rPr>
                <w:sz w:val="20"/>
                <w:szCs w:val="20"/>
                <w:color w:val="auto"/>
              </w:rPr>
            </w:pP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Share</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Plans or Programs</w:t>
            </w:r>
          </w:p>
        </w:tc>
        <w:tc>
          <w:tcPr>
            <w:tcW w:w="12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Program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 January 31, 2015</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February 1, 2015 – February 28, 2015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37,953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37,953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4,171,000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March 1, 2015 – March 31, 2015</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166,553</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6.12</w:t>
            </w:r>
          </w:p>
        </w:tc>
        <w:tc>
          <w:tcPr>
            <w:tcW w:w="20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166,553</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Exhibit 31.1</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31.2</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32.1</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51"/>
        </w:trPr>
        <w:tc>
          <w:tcPr>
            <w:tcW w:w="126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18</w:t>
            </w:r>
          </w:p>
        </w:tc>
      </w:tr>
      <w:tr>
        <w:trPr>
          <w:trHeight w:val="118"/>
        </w:trPr>
        <w:tc>
          <w:tcPr>
            <w:tcW w:w="1260" w:type="dxa"/>
            <w:vAlign w:val="bottom"/>
            <w:tcBorders>
              <w:bottom w:val="single" w:sz="8" w:color="808080"/>
            </w:tcBorders>
          </w:tcPr>
          <w:p>
            <w:pPr>
              <w:spacing w:after="0"/>
              <w:rPr>
                <w:sz w:val="10"/>
                <w:szCs w:val="10"/>
                <w:color w:val="auto"/>
              </w:rPr>
            </w:pPr>
          </w:p>
        </w:tc>
        <w:tc>
          <w:tcPr>
            <w:tcW w:w="10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8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 TECHNOLOGIES INCORPORATED</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1"/>
        </w:trPr>
        <w:tc>
          <w:tcPr>
            <w:tcW w:w="5580" w:type="dxa"/>
            <w:vAlign w:val="bottom"/>
          </w:tcPr>
          <w:p>
            <w:pPr>
              <w:spacing w:after="0"/>
              <w:rPr>
                <w:sz w:val="24"/>
                <w:szCs w:val="24"/>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May 8, 2015</w:t>
            </w:r>
          </w:p>
        </w:tc>
        <w:tc>
          <w:tcPr>
            <w:tcW w:w="5840" w:type="dxa"/>
            <w:vAlign w:val="bottom"/>
          </w:tcPr>
          <w:p>
            <w:pPr>
              <w:spacing w:after="0" w:line="201" w:lineRule="exact"/>
              <w:rPr>
                <w:sz w:val="20"/>
                <w:szCs w:val="20"/>
                <w:color w:val="auto"/>
              </w:rPr>
            </w:pPr>
            <w:r>
              <w:rPr>
                <w:rFonts w:ascii="Arial" w:cs="Arial" w:eastAsia="Arial" w:hAnsi="Arial"/>
                <w:sz w:val="18"/>
                <w:szCs w:val="18"/>
                <w:color w:val="auto"/>
              </w:rPr>
              <w:t>Steven A. DeMartino</w:t>
            </w:r>
          </w:p>
        </w:tc>
      </w:tr>
      <w:tr>
        <w:trPr>
          <w:trHeight w:val="216"/>
        </w:trPr>
        <w:tc>
          <w:tcPr>
            <w:tcW w:w="5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President, Chief Financial Officer, Treasurer and Secretary</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08"/>
        </w:trPr>
        <w:tc>
          <w:tcPr>
            <w:tcW w:w="558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19</w:t>
            </w:r>
          </w:p>
        </w:tc>
      </w:tr>
      <w:tr>
        <w:trPr>
          <w:trHeight w:val="118"/>
        </w:trPr>
        <w:tc>
          <w:tcPr>
            <w:tcW w:w="5580" w:type="dxa"/>
            <w:vAlign w:val="bottom"/>
            <w:tcBorders>
              <w:bottom w:val="single" w:sz="8" w:color="808080"/>
            </w:tcBorders>
          </w:tcPr>
          <w:p>
            <w:pPr>
              <w:spacing w:after="0"/>
              <w:rPr>
                <w:sz w:val="10"/>
                <w:szCs w:val="10"/>
                <w:color w:val="auto"/>
              </w:rPr>
            </w:pPr>
          </w:p>
        </w:tc>
        <w:tc>
          <w:tcPr>
            <w:tcW w:w="5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10480" w:type="dxa"/>
            <w:vAlign w:val="bottom"/>
          </w:tcPr>
          <w:p>
            <w:pPr>
              <w:ind w:left="4200"/>
              <w:spacing w:after="0"/>
              <w:rPr>
                <w:sz w:val="20"/>
                <w:szCs w:val="20"/>
                <w:color w:val="auto"/>
              </w:rPr>
            </w:pPr>
            <w:r>
              <w:rPr>
                <w:rFonts w:ascii="Arial" w:cs="Arial" w:eastAsia="Arial" w:hAnsi="Arial"/>
                <w:sz w:val="18"/>
                <w:szCs w:val="18"/>
                <w:color w:val="auto"/>
              </w:rPr>
              <w:t>EXHIBIT LIST</w:t>
            </w:r>
          </w:p>
        </w:tc>
      </w:tr>
      <w:tr>
        <w:trPr>
          <w:trHeight w:val="459"/>
        </w:trPr>
        <w:tc>
          <w:tcPr>
            <w:tcW w:w="1142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048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1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51"/>
        </w:trPr>
        <w:tc>
          <w:tcPr>
            <w:tcW w:w="940" w:type="dxa"/>
            <w:vAlign w:val="bottom"/>
          </w:tcPr>
          <w:p>
            <w:pPr>
              <w:spacing w:after="0"/>
              <w:rPr>
                <w:sz w:val="24"/>
                <w:szCs w:val="24"/>
                <w:color w:val="auto"/>
              </w:rPr>
            </w:pPr>
          </w:p>
        </w:tc>
        <w:tc>
          <w:tcPr>
            <w:tcW w:w="10480" w:type="dxa"/>
            <w:vAlign w:val="bottom"/>
          </w:tcPr>
          <w:p>
            <w:pPr>
              <w:ind w:left="4680"/>
              <w:spacing w:after="0"/>
              <w:rPr>
                <w:sz w:val="20"/>
                <w:szCs w:val="20"/>
                <w:color w:val="auto"/>
              </w:rPr>
            </w:pPr>
            <w:r>
              <w:rPr>
                <w:rFonts w:ascii="Arial" w:cs="Arial" w:eastAsia="Arial" w:hAnsi="Arial"/>
                <w:sz w:val="18"/>
                <w:szCs w:val="18"/>
                <w:color w:val="auto"/>
              </w:rPr>
              <w:t>20</w:t>
            </w:r>
          </w:p>
        </w:tc>
      </w:tr>
      <w:tr>
        <w:trPr>
          <w:trHeight w:val="118"/>
        </w:trPr>
        <w:tc>
          <w:tcPr>
            <w:tcW w:w="940" w:type="dxa"/>
            <w:vAlign w:val="bottom"/>
            <w:tcBorders>
              <w:bottom w:val="single" w:sz="8" w:color="808080"/>
            </w:tcBorders>
          </w:tcPr>
          <w:p>
            <w:pPr>
              <w:spacing w:after="0"/>
              <w:rPr>
                <w:sz w:val="10"/>
                <w:szCs w:val="10"/>
                <w:color w:val="auto"/>
              </w:rPr>
            </w:pPr>
          </w:p>
        </w:tc>
        <w:tc>
          <w:tcPr>
            <w:tcW w:w="10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March 31, 2015,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93" w:lineRule="exact"/>
        <w:rPr>
          <w:sz w:val="20"/>
          <w:szCs w:val="20"/>
          <w:color w:val="auto"/>
        </w:rPr>
      </w:pPr>
    </w:p>
    <w:p>
      <w:pPr>
        <w:ind w:left="820" w:hanging="30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2019-12-29T15:58:03Z</dcterms:created>
  <dcterms:modified xsi:type="dcterms:W3CDTF">2019-12-29T15:58:03Z</dcterms:modified>
</cp:coreProperties>
</file>