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4"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 (d) OF THE SECURITIES EXCHANGE ACT OF 1934</w:t>
      </w:r>
    </w:p>
    <w:p>
      <w:pPr>
        <w:spacing w:after="0" w:line="252" w:lineRule="exact"/>
        <w:rPr>
          <w:sz w:val="24"/>
          <w:szCs w:val="24"/>
          <w:color w:val="auto"/>
        </w:rPr>
      </w:pPr>
    </w:p>
    <w:p>
      <w:pPr>
        <w:ind w:left="660"/>
        <w:spacing w:after="0"/>
        <w:tabs>
          <w:tab w:leader="none" w:pos="3900" w:val="left"/>
          <w:tab w:leader="none" w:pos="4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spacing w:after="0" w:line="27"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142875</wp:posOffset>
            </wp:positionV>
            <wp:extent cx="369633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96335"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880" w:type="dxa"/>
            <w:vAlign w:val="bottom"/>
            <w:gridSpan w:val="3"/>
          </w:tcPr>
          <w:p>
            <w:pPr>
              <w:jc w:val="right"/>
              <w:ind w:right="2250"/>
              <w:spacing w:after="0"/>
              <w:rPr>
                <w:sz w:val="20"/>
                <w:szCs w:val="20"/>
                <w:color w:val="auto"/>
              </w:rPr>
            </w:pPr>
            <w:r>
              <w:rPr>
                <w:rFonts w:ascii="Arial" w:cs="Arial" w:eastAsia="Arial" w:hAnsi="Arial"/>
                <w:sz w:val="18"/>
                <w:szCs w:val="18"/>
                <w:b w:val="1"/>
                <w:bCs w:val="1"/>
                <w:color w:val="auto"/>
              </w:rPr>
              <w:t>06-1456680</w:t>
            </w:r>
          </w:p>
        </w:tc>
      </w:tr>
      <w:tr>
        <w:trPr>
          <w:trHeight w:val="230"/>
        </w:trPr>
        <w:tc>
          <w:tcPr>
            <w:tcW w:w="55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460" w:type="dxa"/>
            <w:vAlign w:val="bottom"/>
            <w:tcBorders>
              <w:top w:val="single" w:sz="8" w:color="auto"/>
            </w:tcBorders>
          </w:tcPr>
          <w:p>
            <w:pPr>
              <w:jc w:val="right"/>
              <w:ind w:right="1370"/>
              <w:spacing w:after="0"/>
              <w:rPr>
                <w:sz w:val="20"/>
                <w:szCs w:val="20"/>
                <w:color w:val="auto"/>
              </w:rPr>
            </w:pPr>
            <w:r>
              <w:rPr>
                <w:rFonts w:ascii="Arial" w:cs="Arial" w:eastAsia="Arial" w:hAnsi="Arial"/>
                <w:sz w:val="18"/>
                <w:szCs w:val="18"/>
                <w:color w:val="auto"/>
              </w:rPr>
              <w:t>(I.R.S. Employer Identification No.)</w:t>
            </w:r>
          </w:p>
        </w:tc>
      </w:tr>
      <w:tr>
        <w:trPr>
          <w:trHeight w:val="452"/>
        </w:trPr>
        <w:tc>
          <w:tcPr>
            <w:tcW w:w="55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880" w:type="dxa"/>
            <w:vAlign w:val="bottom"/>
            <w:gridSpan w:val="3"/>
          </w:tcPr>
          <w:p>
            <w:pPr>
              <w:jc w:val="right"/>
              <w:ind w:right="2410"/>
              <w:spacing w:after="0"/>
              <w:rPr>
                <w:sz w:val="20"/>
                <w:szCs w:val="20"/>
                <w:color w:val="auto"/>
              </w:rPr>
            </w:pPr>
            <w:r>
              <w:rPr>
                <w:rFonts w:ascii="Arial" w:cs="Arial" w:eastAsia="Arial" w:hAnsi="Arial"/>
                <w:sz w:val="18"/>
                <w:szCs w:val="18"/>
                <w:b w:val="1"/>
                <w:bCs w:val="1"/>
                <w:color w:val="auto"/>
              </w:rPr>
              <w:t>06518</w:t>
            </w:r>
          </w:p>
        </w:tc>
      </w:tr>
      <w:tr>
        <w:trPr>
          <w:trHeight w:val="230"/>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60" w:type="dxa"/>
            <w:vAlign w:val="bottom"/>
            <w:tcBorders>
              <w:top w:val="single" w:sz="8" w:color="auto"/>
            </w:tcBorders>
          </w:tcPr>
          <w:p>
            <w:pPr>
              <w:jc w:val="right"/>
              <w:ind w:right="2250"/>
              <w:spacing w:after="0"/>
              <w:rPr>
                <w:sz w:val="20"/>
                <w:szCs w:val="20"/>
                <w:color w:val="auto"/>
              </w:rPr>
            </w:pPr>
            <w:r>
              <w:rPr>
                <w:rFonts w:ascii="Arial" w:cs="Arial" w:eastAsia="Arial" w:hAnsi="Arial"/>
                <w:sz w:val="18"/>
                <w:szCs w:val="18"/>
                <w:color w:val="auto"/>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693" w:right="239" w:bottom="1440" w:gutter="0" w:footer="0" w:header="0"/>
        </w:sectPr>
      </w:pPr>
    </w:p>
    <w:p>
      <w:pPr>
        <w:spacing w:after="0" w:line="216" w:lineRule="exact"/>
        <w:rPr>
          <w:sz w:val="20"/>
          <w:szCs w:val="20"/>
          <w:color w:val="auto"/>
        </w:rPr>
      </w:pPr>
      <w:r>
        <w:rPr>
          <w:rFonts w:ascii="Arial" w:cs="Arial" w:eastAsia="Arial" w:hAnsi="Arial"/>
          <w:sz w:val="18"/>
          <w:szCs w:val="18"/>
          <w:color w:val="auto"/>
        </w:rPr>
        <w:t xml:space="preserve">Large accelerated filer o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o (Do not check if a smaller reporting company) Smaller reporting company</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65" w:lineRule="exact"/>
        <w:rPr>
          <w:sz w:val="24"/>
          <w:szCs w:val="24"/>
          <w:color w:val="auto"/>
        </w:rPr>
      </w:pPr>
    </w:p>
    <w:p>
      <w:pPr>
        <w:sectPr>
          <w:pgSz w:w="11900" w:h="16838" w:orient="portrait"/>
          <w:cols w:equalWidth="0" w:num="2">
            <w:col w:w="8500" w:space="100"/>
            <w:col w:w="2820"/>
          </w:cols>
          <w:pgMar w:left="240" w:top="693"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  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9" w:lineRule="exact"/>
        <w:rPr>
          <w:sz w:val="24"/>
          <w:szCs w:val="24"/>
          <w:color w:val="auto"/>
        </w:rPr>
      </w:pPr>
    </w:p>
    <w:p>
      <w:pPr>
        <w:sectPr>
          <w:pgSz w:w="11900" w:h="16838" w:orient="portrait"/>
          <w:cols w:equalWidth="0" w:num="3">
            <w:col w:w="8500" w:space="120"/>
            <w:col w:w="460" w:space="120"/>
            <w:col w:w="2220"/>
          </w:cols>
          <w:pgMar w:left="240" w:top="693" w:right="23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As of July 31, 2014, the number of shares outstanding of the Company’s common stock, $0.01 par value, was 8,329,255.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80" w:type="dxa"/>
            <w:vAlign w:val="bottom"/>
            <w:gridSpan w:val="11"/>
          </w:tcPr>
          <w:p>
            <w:pPr>
              <w:jc w:val="center"/>
              <w:ind w:right="2860"/>
              <w:spacing w:after="0"/>
              <w:rPr>
                <w:sz w:val="20"/>
                <w:szCs w:val="20"/>
                <w:color w:val="auto"/>
              </w:rPr>
            </w:pPr>
            <w:r>
              <w:rPr>
                <w:rFonts w:ascii="Arial" w:cs="Arial" w:eastAsia="Arial" w:hAnsi="Arial"/>
                <w:sz w:val="18"/>
                <w:szCs w:val="18"/>
                <w:b w:val="1"/>
                <w:bCs w:val="1"/>
                <w:color w:val="auto"/>
              </w:rPr>
              <w:t>TRANSACT TECHNOLOGIES INCORPORATED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5"/>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286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4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580" w:type="dxa"/>
            <w:vAlign w:val="bottom"/>
            <w:tcBorders>
              <w:top w:val="single" w:sz="8" w:color="auto"/>
            </w:tcBorders>
            <w:gridSpan w:val="2"/>
          </w:tcPr>
          <w:p>
            <w:pPr>
              <w:spacing w:after="0"/>
              <w:rPr>
                <w:sz w:val="24"/>
                <w:szCs w:val="24"/>
                <w:color w:val="auto"/>
              </w:rPr>
            </w:pPr>
          </w:p>
        </w:tc>
        <w:tc>
          <w:tcPr>
            <w:tcW w:w="458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180" w:type="dxa"/>
            <w:vAlign w:val="bottom"/>
          </w:tcPr>
          <w:p>
            <w:pPr>
              <w:spacing w:after="0"/>
              <w:rPr>
                <w:sz w:val="2"/>
                <w:szCs w:val="2"/>
                <w:color w:val="auto"/>
              </w:rPr>
            </w:pPr>
          </w:p>
        </w:tc>
        <w:tc>
          <w:tcPr>
            <w:tcW w:w="90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2380" w:type="dxa"/>
            <w:vAlign w:val="bottom"/>
            <w:gridSpan w:val="10"/>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120" w:type="dxa"/>
            <w:vAlign w:val="bottom"/>
            <w:gridSpan w:val="12"/>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7"/>
        </w:trPr>
        <w:tc>
          <w:tcPr>
            <w:tcW w:w="1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2380" w:type="dxa"/>
            <w:vAlign w:val="bottom"/>
            <w:tcBorders>
              <w:bottom w:val="single" w:sz="8" w:color="0000EE"/>
            </w:tcBorders>
            <w:gridSpan w:val="10"/>
            <w:vMerge w:val="continue"/>
          </w:tcPr>
          <w:p>
            <w:pPr>
              <w:spacing w:after="0"/>
              <w:rPr>
                <w:sz w:val="24"/>
                <w:szCs w:val="24"/>
                <w:color w:val="auto"/>
              </w:rPr>
            </w:pPr>
          </w:p>
        </w:tc>
        <w:tc>
          <w:tcPr>
            <w:tcW w:w="7120" w:type="dxa"/>
            <w:vAlign w:val="bottom"/>
            <w:gridSpan w:val="12"/>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1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2014 and December 31, 2013</w:t>
              </w:r>
            </w:hyperlink>
          </w:p>
        </w:tc>
        <w:tc>
          <w:tcPr>
            <w:tcW w:w="3360" w:type="dxa"/>
            <w:vAlign w:val="bottom"/>
            <w:gridSpan w:val="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70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 for the three and six months ended June 30, 2014 and 2013</w:t>
              </w:r>
            </w:hyperlink>
          </w:p>
        </w:tc>
        <w:tc>
          <w:tcPr>
            <w:tcW w:w="180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8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six months ended June 30, 2014 and 2013</w:t>
              </w:r>
            </w:hyperlink>
          </w:p>
        </w:tc>
        <w:tc>
          <w:tcPr>
            <w:tcW w:w="6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for the six months ended June 30, 2014 and 2013</w:t>
              </w:r>
            </w:hyperlink>
          </w:p>
        </w:tc>
        <w:tc>
          <w:tcPr>
            <w:tcW w:w="220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500" w:type="dxa"/>
            <w:vAlign w:val="bottom"/>
            <w:gridSpan w:val="2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Management's Discussion and Analysis of Financial Condition and Results of Operations</w:t>
              </w:r>
            </w:hyperlink>
          </w:p>
        </w:tc>
        <w:tc>
          <w:tcPr>
            <w:tcW w:w="306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Quantitative and Qualitative Disclosures About Market Risk</w:t>
              </w:r>
            </w:hyperlink>
          </w:p>
        </w:tc>
        <w:tc>
          <w:tcPr>
            <w:tcW w:w="514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2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80" w:type="dxa"/>
            <w:vAlign w:val="bottom"/>
            <w:gridSpan w:val="2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PART II - Other Information:</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Risk Factors</w:t>
              </w:r>
            </w:hyperlink>
          </w:p>
        </w:tc>
        <w:tc>
          <w:tcPr>
            <w:tcW w:w="420" w:type="dxa"/>
            <w:vAlign w:val="bottom"/>
            <w:tcBorders>
              <w:top w:val="single" w:sz="8" w:color="0000EE"/>
            </w:tcBorders>
            <w:gridSpan w:val="4"/>
          </w:tcPr>
          <w:p>
            <w:pPr>
              <w:spacing w:after="0"/>
              <w:rPr>
                <w:sz w:val="24"/>
                <w:szCs w:val="24"/>
                <w:color w:val="auto"/>
              </w:rPr>
            </w:pPr>
          </w:p>
        </w:tc>
        <w:tc>
          <w:tcPr>
            <w:tcW w:w="8180" w:type="dxa"/>
            <w:vAlign w:val="bottom"/>
            <w:gridSpan w:val="1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4"/>
          </w:tcPr>
          <w:p>
            <w:pPr>
              <w:spacing w:after="0"/>
              <w:rPr>
                <w:sz w:val="24"/>
                <w:szCs w:val="24"/>
                <w:color w:val="auto"/>
              </w:rPr>
            </w:pPr>
          </w:p>
        </w:tc>
        <w:tc>
          <w:tcPr>
            <w:tcW w:w="516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7740" w:type="dxa"/>
            <w:vAlign w:val="bottom"/>
            <w:gridSpan w:val="1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Exhibits</w:t>
              </w:r>
            </w:hyperlink>
          </w:p>
        </w:tc>
        <w:tc>
          <w:tcPr>
            <w:tcW w:w="700" w:type="dxa"/>
            <w:vAlign w:val="bottom"/>
            <w:tcBorders>
              <w:top w:val="single" w:sz="8" w:color="0000EE"/>
            </w:tcBorders>
            <w:gridSpan w:val="4"/>
          </w:tcPr>
          <w:p>
            <w:pPr>
              <w:spacing w:after="0"/>
              <w:rPr>
                <w:sz w:val="24"/>
                <w:szCs w:val="24"/>
                <w:color w:val="auto"/>
              </w:rPr>
            </w:pPr>
          </w:p>
        </w:tc>
        <w:tc>
          <w:tcPr>
            <w:tcW w:w="820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SIGNATURES</w:t>
              </w:r>
            </w:hyperlink>
          </w:p>
        </w:tc>
        <w:tc>
          <w:tcPr>
            <w:tcW w:w="9300" w:type="dxa"/>
            <w:vAlign w:val="bottom"/>
            <w:gridSpan w:val="2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871"/>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20" w:type="dxa"/>
            <w:vAlign w:val="bottom"/>
            <w:gridSpan w:val="15"/>
          </w:tcPr>
          <w:p>
            <w:pPr>
              <w:jc w:val="center"/>
              <w:ind w:left="4250"/>
              <w:spacing w:after="0"/>
              <w:rPr>
                <w:sz w:val="20"/>
                <w:szCs w:val="20"/>
                <w:color w:val="auto"/>
              </w:rPr>
            </w:pPr>
            <w:r>
              <w:rPr>
                <w:rFonts w:ascii="Arial" w:cs="Arial" w:eastAsia="Arial" w:hAnsi="Arial"/>
                <w:sz w:val="18"/>
                <w:szCs w:val="18"/>
                <w:color w:val="auto"/>
                <w:w w:val="99"/>
              </w:rPr>
              <w:t>2</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02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20" w:type="dxa"/>
            <w:vAlign w:val="bottom"/>
          </w:tcPr>
          <w:p>
            <w:pPr>
              <w:jc w:val="center"/>
              <w:ind w:left="1390"/>
              <w:spacing w:after="0"/>
              <w:rPr>
                <w:sz w:val="20"/>
                <w:szCs w:val="20"/>
                <w:color w:val="auto"/>
              </w:rPr>
            </w:pPr>
            <w:r>
              <w:rPr>
                <w:rFonts w:ascii="Arial" w:cs="Arial" w:eastAsia="Arial" w:hAnsi="Arial"/>
                <w:sz w:val="18"/>
                <w:szCs w:val="18"/>
                <w:b w:val="1"/>
                <w:bCs w:val="1"/>
                <w:color w:val="auto"/>
              </w:rPr>
              <w:t>TRANSACT TECHNOLOGIES INCORPORATED</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20" w:type="dxa"/>
            <w:vAlign w:val="bottom"/>
          </w:tcPr>
          <w:p>
            <w:pPr>
              <w:jc w:val="center"/>
              <w:ind w:left="13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020" w:type="dxa"/>
            <w:vAlign w:val="bottom"/>
          </w:tcPr>
          <w:p>
            <w:pPr>
              <w:jc w:val="center"/>
              <w:ind w:left="1390"/>
              <w:spacing w:after="0"/>
              <w:rPr>
                <w:sz w:val="20"/>
                <w:szCs w:val="20"/>
                <w:color w:val="auto"/>
              </w:rPr>
            </w:pPr>
            <w:r>
              <w:rPr>
                <w:rFonts w:ascii="Arial" w:cs="Arial" w:eastAsia="Arial" w:hAnsi="Arial"/>
                <w:sz w:val="18"/>
                <w:szCs w:val="18"/>
                <w:b w:val="1"/>
                <w:bCs w:val="1"/>
                <w:color w:val="auto"/>
                <w:w w:val="91"/>
              </w:rPr>
              <w:t>(unaudited)</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7"/>
              </w:rPr>
              <w:t>June 30,</w:t>
            </w:r>
          </w:p>
        </w:tc>
        <w:tc>
          <w:tcPr>
            <w:tcW w:w="1180" w:type="dxa"/>
            <w:vAlign w:val="bottom"/>
            <w:gridSpan w:val="3"/>
          </w:tcPr>
          <w:p>
            <w:pPr>
              <w:ind w:left="8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7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right"/>
              <w:ind w:right="10"/>
              <w:spacing w:after="0" w:line="201" w:lineRule="exact"/>
              <w:rPr>
                <w:sz w:val="20"/>
                <w:szCs w:val="20"/>
                <w:color w:val="auto"/>
              </w:rPr>
            </w:pPr>
            <w:r>
              <w:rPr>
                <w:rFonts w:ascii="Arial" w:cs="Arial" w:eastAsia="Arial" w:hAnsi="Arial"/>
                <w:sz w:val="18"/>
                <w:szCs w:val="18"/>
                <w:i w:val="1"/>
                <w:iCs w:val="1"/>
                <w:color w:val="auto"/>
                <w:w w:val="89"/>
              </w:rPr>
              <w:t>(In thousands,</w:t>
            </w:r>
          </w:p>
        </w:tc>
        <w:tc>
          <w:tcPr>
            <w:tcW w:w="1380" w:type="dxa"/>
            <w:vAlign w:val="bottom"/>
            <w:gridSpan w:val="3"/>
          </w:tcPr>
          <w:p>
            <w:pPr>
              <w:jc w:val="right"/>
              <w:ind w:right="10"/>
              <w:spacing w:after="0" w:line="201" w:lineRule="exact"/>
              <w:rPr>
                <w:sz w:val="20"/>
                <w:szCs w:val="20"/>
                <w:color w:val="auto"/>
              </w:rPr>
            </w:pPr>
            <w:r>
              <w:rPr>
                <w:rFonts w:ascii="Arial" w:cs="Arial" w:eastAsia="Arial" w:hAnsi="Arial"/>
                <w:sz w:val="18"/>
                <w:szCs w:val="18"/>
                <w:i w:val="1"/>
                <w:iCs w:val="1"/>
                <w:color w:val="auto"/>
                <w:w w:val="84"/>
              </w:rPr>
              <w:t>except share data)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7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Accounts receivable, net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11,802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7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14,008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Prepaid income taxes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Deferred tax assets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545</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33,174</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7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Goodwill</w:t>
            </w:r>
          </w:p>
        </w:tc>
        <w:tc>
          <w:tcPr>
            <w:tcW w:w="7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w w:val="90"/>
              </w:rPr>
              <w:t>Deferred tax assets</w:t>
            </w:r>
          </w:p>
        </w:tc>
        <w:tc>
          <w:tcPr>
            <w:tcW w:w="7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895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Intangible assets, net of accumulated amortization of $2,069 and $1,811, respectively</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1,597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70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7,869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0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41,043</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Borders>
              <w:top w:val="single" w:sz="8" w:color="CCEEFF"/>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Current liabilities:</w:t>
            </w:r>
          </w:p>
        </w:tc>
        <w:tc>
          <w:tcPr>
            <w:tcW w:w="7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Accrued liabilities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Income taxes payable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Accrued contingent consideration (Note 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543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Borders>
              <w:top w:val="single" w:sz="8" w:color="CCEEFF"/>
            </w:tcBorders>
            <w:gridSpan w:val="2"/>
          </w:tcPr>
          <w:p>
            <w:pPr>
              <w:ind w:left="80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8,327</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Deferred revenue, net of current portion</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Other liabilities</w:t>
            </w:r>
          </w:p>
        </w:tc>
        <w:tc>
          <w:tcPr>
            <w:tcW w:w="7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220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504</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Borders>
              <w:top w:val="single" w:sz="8" w:color="CCEEFF"/>
            </w:tcBorders>
            <w:gridSpan w:val="2"/>
          </w:tcPr>
          <w:p>
            <w:pPr>
              <w:ind w:left="480"/>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8,831</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gridSpan w:val="2"/>
            <w:shd w:val="clear" w:color="auto" w:fill="CCEEFF"/>
          </w:tcPr>
          <w:p>
            <w:pPr>
              <w:ind w:left="480"/>
              <w:spacing w:after="0" w:line="201" w:lineRule="exact"/>
              <w:rPr>
                <w:sz w:val="20"/>
                <w:szCs w:val="20"/>
                <w:color w:val="auto"/>
              </w:rPr>
            </w:pPr>
            <w:r>
              <w:rPr>
                <w:rFonts w:ascii="Arial" w:cs="Arial" w:eastAsia="Arial" w:hAnsi="Arial"/>
                <w:sz w:val="18"/>
                <w:szCs w:val="18"/>
                <w:color w:val="auto"/>
                <w:w w:val="93"/>
              </w:rPr>
              <w:t>Common stock, $0.01 par value, 20,000,000 shares authorized; 11,116,293 and 11,106,354 shares issued,</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respectively; 8,329,255 and 8,319,316 shares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outstanding, respectively</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28,039</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Retained earnings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26,647</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Accumulated other comprehensive loss, net of tax</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Treasury stock, at cost, 2,787,038 shares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(22,527)</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7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800"/>
              <w:spacing w:after="0"/>
              <w:rPr>
                <w:sz w:val="20"/>
                <w:szCs w:val="20"/>
                <w:color w:val="auto"/>
              </w:rPr>
            </w:pPr>
            <w:r>
              <w:rPr>
                <w:rFonts w:ascii="Arial" w:cs="Arial" w:eastAsia="Arial" w:hAnsi="Arial"/>
                <w:sz w:val="18"/>
                <w:szCs w:val="18"/>
                <w:color w:val="auto"/>
              </w:rPr>
              <w:t>Total shareholders’ equity</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32,212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41,043</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70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20" w:type="dxa"/>
            <w:vAlign w:val="bottom"/>
            <w:gridSpan w:val="8"/>
          </w:tcPr>
          <w:p>
            <w:pPr>
              <w:jc w:val="right"/>
              <w:ind w:right="100"/>
              <w:spacing w:after="0"/>
              <w:rPr>
                <w:sz w:val="20"/>
                <w:szCs w:val="20"/>
                <w:color w:val="auto"/>
              </w:rPr>
            </w:pPr>
            <w:r>
              <w:rPr>
                <w:rFonts w:ascii="Arial" w:cs="Arial" w:eastAsia="Arial" w:hAnsi="Arial"/>
                <w:sz w:val="18"/>
                <w:szCs w:val="18"/>
                <w:i w:val="1"/>
                <w:iCs w:val="1"/>
                <w:color w:val="auto"/>
                <w:w w:val="90"/>
              </w:rPr>
              <w:t>(In thousands, except per share data)</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13,804</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27,423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Cost of sales</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8,016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9,336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15,909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Gross profit</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5,788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11,514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12,885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Engineering, design and product development</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1,151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Selling and marketing</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2,257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4,222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2,000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3,888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Legal fees associated with lawsuit (Note 8)</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5,443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10,538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Interest and other income (expense):</w:t>
            </w: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net</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Income tax provision</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146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175</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569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Basic</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0.02</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0.02</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Basic</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8,376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8,728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8,374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8,520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8,538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per common share:</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0.08</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TRANSACT TECHNOLOGIES INCORPORATED CONDENSED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20" w:type="dxa"/>
            <w:vAlign w:val="bottom"/>
            <w:gridSpan w:val="7"/>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gridSpan w:val="6"/>
          </w:tcPr>
          <w:p>
            <w:pPr>
              <w:ind w:left="1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i w:val="1"/>
                <w:iCs w:val="1"/>
                <w:color w:val="auto"/>
              </w:rPr>
              <w:t>(In</w:t>
            </w:r>
          </w:p>
        </w:tc>
        <w:tc>
          <w:tcPr>
            <w:tcW w:w="600" w:type="dxa"/>
            <w:vAlign w:val="bottom"/>
            <w:gridSpan w:val="3"/>
          </w:tcPr>
          <w:p>
            <w:pPr>
              <w:jc w:val="right"/>
              <w:ind w:right="20"/>
              <w:spacing w:after="0"/>
              <w:rPr>
                <w:sz w:val="20"/>
                <w:szCs w:val="20"/>
                <w:color w:val="auto"/>
              </w:rPr>
            </w:pPr>
            <w:r>
              <w:rPr>
                <w:rFonts w:ascii="Arial" w:cs="Arial" w:eastAsia="Arial" w:hAnsi="Arial"/>
                <w:sz w:val="16"/>
                <w:szCs w:val="16"/>
                <w:i w:val="1"/>
                <w:iCs w:val="1"/>
                <w:color w:val="auto"/>
                <w:w w:val="70"/>
              </w:rPr>
              <w:t>thousands)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175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Foreign currency translation adjustment, net of tax</w:t>
            </w: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179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1,216</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574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85"/>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i w:val="1"/>
                <w:i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i w:val="1"/>
                <w:iCs w:val="1"/>
                <w:color w:val="auto"/>
                <w:w w:val="73"/>
              </w:rPr>
              <w:t>thousands)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620" w:type="dxa"/>
            <w:vAlign w:val="bottom"/>
            <w:gridSpan w:val="2"/>
            <w:vMerge w:val="continue"/>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569</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Share-based compensation expense</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309</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Incremental tax benefits from stock options exercised</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727</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Deferred income tax provision</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Foreign currency transaction (gains) losses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Accounts receivable</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440"/>
              <w:spacing w:after="0"/>
              <w:rPr>
                <w:sz w:val="20"/>
                <w:szCs w:val="20"/>
                <w:color w:val="auto"/>
              </w:rPr>
            </w:pPr>
            <w:r>
              <w:rPr>
                <w:rFonts w:ascii="Arial" w:cs="Arial" w:eastAsia="Arial" w:hAnsi="Arial"/>
                <w:sz w:val="18"/>
                <w:szCs w:val="18"/>
                <w:color w:val="auto"/>
              </w:rPr>
              <w:t>Inventories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(499)</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Prepaid income taxes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314</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440"/>
              <w:spacing w:after="0"/>
              <w:rPr>
                <w:sz w:val="20"/>
                <w:szCs w:val="20"/>
                <w:color w:val="auto"/>
              </w:rPr>
            </w:pPr>
            <w:r>
              <w:rPr>
                <w:rFonts w:ascii="Arial" w:cs="Arial" w:eastAsia="Arial" w:hAnsi="Arial"/>
                <w:sz w:val="18"/>
                <w:szCs w:val="18"/>
                <w:color w:val="auto"/>
              </w:rPr>
              <w:t>Other current and long term assets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Accounts payable</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658</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1440"/>
              <w:spacing w:after="0"/>
              <w:rPr>
                <w:sz w:val="20"/>
                <w:szCs w:val="20"/>
                <w:color w:val="auto"/>
              </w:rPr>
            </w:pPr>
            <w:r>
              <w:rPr>
                <w:rFonts w:ascii="Arial" w:cs="Arial" w:eastAsia="Arial" w:hAnsi="Arial"/>
                <w:sz w:val="18"/>
                <w:szCs w:val="18"/>
                <w:color w:val="auto"/>
              </w:rPr>
              <w:t>Accrued liabilities and other liabilities</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340</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3,848</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Capital expenditures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(440)</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Additions to capitalized software</w:t>
            </w:r>
          </w:p>
        </w:tc>
        <w:tc>
          <w:tcPr>
            <w:tcW w:w="1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(440)</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stock option exercises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Payment of dividends on common stock</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(1,248)</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Purchases of common stock for treasury</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Incremental tax benefits from stock options exercised</w:t>
            </w:r>
          </w:p>
        </w:tc>
        <w:tc>
          <w:tcPr>
            <w:tcW w:w="1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financing activities</w:t>
            </w: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(1,248)</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2,936</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5,088</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 w:name="page7"/>
    <w:bookmarkEnd w:id="6"/>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financial statements of TransAct Technologies Incorporated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to be included in full year financial statements. In the opinion of management, all adjustments considered necessary for a fair statement of the results for the periods presented have been included and are of a normal recurring nature. The December 31, 2013 Condensed Consolidated Balance Sheet data was derived from audited financial statements, but does not include all disclosures required by accounting principles generally accepted in the United States of America. These interim financial statements should be read in conjunction with the audited financial statements for the year ended December 31, 2013 included in our Annual Report on Form 10-K.</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financial position and results of operations of our U.K. subsidiary are measured using local currency as the functional currency. Assets and liabilities of such subsidiary have been translated at the end of period exchange rates, and related revenues and expenses have been translated at the weighted average exchange rates with the resulting translation gain or loss recorded in accumulated other comprehensive income (loss) in the Condensed Consolidated Balance Sheets. Transaction gains and losses are included in other income in the Condensed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for the three and six months ended June 30, 2014 are not necessarily indicative of the results to be expected for the full year.</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2. Inventories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900" w:type="dxa"/>
            <w:vAlign w:val="bottom"/>
            <w:gridSpan w:val="2"/>
          </w:tcPr>
          <w:p>
            <w:pPr>
              <w:spacing w:after="0"/>
              <w:rPr>
                <w:sz w:val="20"/>
                <w:szCs w:val="20"/>
                <w:color w:val="auto"/>
              </w:rPr>
            </w:pPr>
            <w:r>
              <w:rPr>
                <w:rFonts w:ascii="Arial" w:cs="Arial" w:eastAsia="Arial" w:hAnsi="Arial"/>
                <w:sz w:val="18"/>
                <w:szCs w:val="18"/>
                <w:color w:val="auto"/>
              </w:rPr>
              <w:t>The components of inventories are:</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180" w:type="dxa"/>
            <w:vAlign w:val="bottom"/>
            <w:gridSpan w:val="3"/>
          </w:tcPr>
          <w:p>
            <w:pPr>
              <w:ind w:left="8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(In</w:t>
            </w:r>
          </w:p>
        </w:tc>
        <w:tc>
          <w:tcPr>
            <w:tcW w:w="1380" w:type="dxa"/>
            <w:vAlign w:val="bottom"/>
            <w:gridSpan w:val="3"/>
          </w:tcPr>
          <w:p>
            <w:pPr>
              <w:jc w:val="right"/>
              <w:ind w:right="650"/>
              <w:spacing w:after="0"/>
              <w:rPr>
                <w:sz w:val="20"/>
                <w:szCs w:val="20"/>
                <w:color w:val="auto"/>
              </w:rPr>
            </w:pPr>
            <w:r>
              <w:rPr>
                <w:rFonts w:ascii="Arial" w:cs="Arial" w:eastAsia="Arial" w:hAnsi="Arial"/>
                <w:sz w:val="17"/>
                <w:szCs w:val="17"/>
                <w:i w:val="1"/>
                <w:iCs w:val="1"/>
                <w:color w:val="auto"/>
                <w:w w:val="73"/>
              </w:rPr>
              <w:t>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component parts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14,008</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product warranty liability</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generally warrant our products for up to 36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recorded in the accrued product warranty liability during the six months ended June 30, 2014: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ind w:left="240"/>
              <w:spacing w:after="0"/>
              <w:rPr>
                <w:sz w:val="20"/>
                <w:szCs w:val="20"/>
                <w:color w:val="auto"/>
              </w:rPr>
            </w:pPr>
            <w:r>
              <w:rPr>
                <w:rFonts w:ascii="Arial" w:cs="Arial" w:eastAsia="Arial" w:hAnsi="Arial"/>
                <w:sz w:val="18"/>
                <w:szCs w:val="18"/>
                <w:i w:val="1"/>
                <w:iCs w:val="1"/>
                <w:color w:val="auto"/>
                <w:w w:val="97"/>
              </w:rPr>
              <w:t>(In thousands)</w:t>
            </w: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Warranties issued</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Warranty settlements</w:t>
            </w: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Balance, end of period</w:t>
            </w: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0" w:type="dxa"/>
            <w:vAlign w:val="bottom"/>
            <w:tcBorders>
              <w:bottom w:val="single" w:sz="8" w:color="auto"/>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$234,000 of the accrued product warranty liability is classified as current in Accrued liabilities at June 30, 2014 in the Condensed Balance Sheets. The remaining $109,000 of the accrued product warranty liability is classified as long-term in Other liabilities.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 w:name="page8"/>
    <w:bookmarkEnd w:id="7"/>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contingent consideration</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acquisition of substantially all of the assets of Printrex, Inc. (“Printrex”) on August 19, 2011, we entered into a contingent consideration arrangement for 30% of the gross profit for a three-year period related to certain new products under development, less certain other adjustments, beginning on January 1, 2012 which was the earlier of (1) January 1, 2012 or (2) the date of first commercial introduction of the new products under development. The undiscounted fair value related to the contingent liability could range from approximately $0 to $150,000. The fair value of the contingent consideration arrangement was $40,000 and $60,000 at June 30, 2014 and December 31, 2013, respectively, which was estimated by applying the income approach. That measure is based on significant inputs that are not observable in the market, which fair value measurement guidance refers to as Level 3 inputs. During the second quarter of 2014 and 2013, the fair value of the contingent consideration decreased by $20,000 and $200,000, respectively, and this credit is included in the general and administrative expenses on the Condensed Consolidated Statement of Income. No payments were made under the arrangement during the six months ended June 30, 2014 as the underlying conditions of the contingent consideration arrangement were not satisfied. Refer to Note 3, Business acquisitions, of the Company’s Consolidated Financial Statements included in the Company’s 2013 Annual Report on Form 10-K for the year ended December 31, 2013 for additional information regarding this contingent consideration arrangement.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weighted average shares outstanding and diluted weighted average shares outstanding: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20" w:type="dxa"/>
            <w:vAlign w:val="bottom"/>
            <w:gridSpan w:val="8"/>
          </w:tcPr>
          <w:p>
            <w:pPr>
              <w:jc w:val="right"/>
              <w:ind w:right="100"/>
              <w:spacing w:after="0"/>
              <w:rPr>
                <w:sz w:val="20"/>
                <w:szCs w:val="20"/>
                <w:color w:val="auto"/>
              </w:rPr>
            </w:pPr>
            <w:r>
              <w:rPr>
                <w:rFonts w:ascii="Arial" w:cs="Arial" w:eastAsia="Arial" w:hAnsi="Arial"/>
                <w:sz w:val="18"/>
                <w:szCs w:val="18"/>
                <w:i w:val="1"/>
                <w:iCs w:val="1"/>
                <w:color w:val="auto"/>
                <w:w w:val="90"/>
              </w:rPr>
              <w:t>(In thousands, except per share data)</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569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8,376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8,728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8,374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Dilutive effect of outstanding options as determined by the</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method</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tcBorders>
              <w:right w:val="single" w:sz="8" w:color="CCEEFF"/>
            </w:tcBorders>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w w:val="92"/>
              </w:rPr>
              <w:t>Diluted: Weighted average common and common equivalent shares outstanding</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8,520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8,802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8,538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ind w:left="480"/>
              <w:spacing w:after="0"/>
              <w:rPr>
                <w:sz w:val="20"/>
                <w:szCs w:val="20"/>
                <w:color w:val="auto"/>
              </w:rPr>
            </w:pPr>
            <w:r>
              <w:rPr>
                <w:rFonts w:ascii="Arial" w:cs="Arial" w:eastAsia="Arial" w:hAnsi="Arial"/>
                <w:sz w:val="18"/>
                <w:szCs w:val="18"/>
                <w:color w:val="auto"/>
              </w:rPr>
              <w:t>Diluted</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June 30, 2014 and 2013, there were 207,000 and 565,000, respectively, potentially dilutive shares consisting of stock options that were excluded from the calculation of earnings per diluted share. For the six months ended June 30, 2014 and 2013, there were 207,000 and 636,000, respectively, potentially dilutive shares consisting of stock options that were excluded from the calculation of earnings per diluted share.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Changes in shareholders’ equity for the six months ended June 30, 2014 were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5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5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5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Issuance of deferred stock units, net of relinquishments</w:t>
            </w:r>
          </w:p>
        </w:tc>
        <w:tc>
          <w:tcPr>
            <w:tcW w:w="5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5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Dividends declared and paid on common stock</w:t>
            </w:r>
          </w:p>
        </w:tc>
        <w:tc>
          <w:tcPr>
            <w:tcW w:w="54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2014</w:t>
            </w:r>
          </w:p>
        </w:tc>
        <w:tc>
          <w:tcPr>
            <w:tcW w:w="5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32,212</w:t>
            </w:r>
          </w:p>
        </w:tc>
        <w:tc>
          <w:tcPr>
            <w:tcW w:w="20" w:type="dxa"/>
            <w:vAlign w:val="bottom"/>
          </w:tcPr>
          <w:p>
            <w:pPr>
              <w:spacing w:after="0"/>
              <w:rPr>
                <w:sz w:val="22"/>
                <w:szCs w:val="22"/>
                <w:color w:val="auto"/>
              </w:rPr>
            </w:pPr>
          </w:p>
        </w:tc>
      </w:tr>
      <w:tr>
        <w:trPr>
          <w:trHeight w:val="844"/>
        </w:trPr>
        <w:tc>
          <w:tcPr>
            <w:tcW w:w="20" w:type="dxa"/>
            <w:vAlign w:val="bottom"/>
          </w:tcPr>
          <w:p>
            <w:pPr>
              <w:spacing w:after="0"/>
              <w:rPr>
                <w:sz w:val="24"/>
                <w:szCs w:val="24"/>
                <w:color w:val="auto"/>
              </w:rPr>
            </w:pPr>
          </w:p>
        </w:tc>
        <w:tc>
          <w:tcPr>
            <w:tcW w:w="4800" w:type="dxa"/>
            <w:vAlign w:val="bottom"/>
            <w:tcBorders>
              <w:top w:val="single" w:sz="8" w:color="CCEEFF"/>
            </w:tcBorders>
          </w:tcPr>
          <w:p>
            <w:pPr>
              <w:spacing w:after="0"/>
              <w:rPr>
                <w:sz w:val="24"/>
                <w:szCs w:val="24"/>
                <w:color w:val="auto"/>
              </w:rPr>
            </w:pPr>
          </w:p>
        </w:tc>
        <w:tc>
          <w:tcPr>
            <w:tcW w:w="5440" w:type="dxa"/>
            <w:vAlign w:val="bottom"/>
            <w:tcBorders>
              <w:top w:val="single" w:sz="8" w:color="CCEEFF"/>
            </w:tcBorders>
          </w:tcPr>
          <w:p>
            <w:pPr>
              <w:jc w:val="right"/>
              <w:ind w:right="4410"/>
              <w:spacing w:after="0"/>
              <w:rPr>
                <w:sz w:val="20"/>
                <w:szCs w:val="20"/>
                <w:color w:val="auto"/>
              </w:rPr>
            </w:pPr>
            <w:r>
              <w:rPr>
                <w:rFonts w:ascii="Arial" w:cs="Arial" w:eastAsia="Arial" w:hAnsi="Arial"/>
                <w:sz w:val="18"/>
                <w:szCs w:val="18"/>
                <w:color w:val="auto"/>
              </w:rPr>
              <w:t>8</w:t>
            </w:r>
          </w:p>
        </w:tc>
        <w:tc>
          <w:tcPr>
            <w:tcW w:w="3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800" w:type="dxa"/>
            <w:vAlign w:val="bottom"/>
            <w:tcBorders>
              <w:bottom w:val="single" w:sz="8" w:color="808080"/>
            </w:tcBorders>
          </w:tcPr>
          <w:p>
            <w:pPr>
              <w:spacing w:after="0"/>
              <w:rPr>
                <w:sz w:val="10"/>
                <w:szCs w:val="10"/>
                <w:color w:val="auto"/>
              </w:rPr>
            </w:pPr>
          </w:p>
        </w:tc>
        <w:tc>
          <w:tcPr>
            <w:tcW w:w="54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 w:name="page9"/>
    <w:bookmarkEnd w:id="8"/>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a portion of the 2013 incentive bonus for the chief executive officer and chief financial officer in the form of deferred stock units. Such deferred stock units were granted in February 2014 and were fully vested at the time of grant.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June 30, 2014, our Board of Directors declared a quarterly cash dividend of $0.08 per share, totaling approximately $666,000, which was paid in June 2014 to common shareholders of record at the close of business on May 20, 2014. For the three months ended June 30, 2013, dividends declared and paid totaled approximately $608,000, or $0.07 per share. For the six months ended June 30, 2014 and 2013, dividends declared and paid totaled $1,248,000, or $0.15 per share and $1,127,000, or $0.13 per share, respectively.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an income tax provision for the second quarter of 2014 of $146,000 at an effective tax rate of 45.5%, compared to an income tax provision during the second quarter of 2013 of $588,000 at an effective tax rate of 32.6%. For the six months ended June 30, 2014, we recorded an income tax provision of $361,000 at an effective tax rate of 38.8%, compared to an income tax provision during the six months ended June 30, 2013 of $866,000 at an effective tax rate of 26.7%. Our effective tax rate for the first six months of 2013 is unusually low because it includes the benefit from both the 2012 and 2013 federal research and development (“R&amp;D”) credit as this credit was not renewed until January 2, 2013 as a component of the American Taxpayer Relief Act of 2012 (the “Act”). The effective tax rate for both the three and six months period ended June 30, 2014 does not include any benefit from the 2014 R&amp;D credit as this credit expired at the end of 2013.</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U.S. federal income tax as well as income tax of certain state and foreign jurisdictions. We have substantially concluded all U.S. federal income tax, state and local, and foreign tax matters through 2009. During 2008, a limited scope examination of our 2005 and 2006 federal tax returns was completed and during 2013, an examination of our 2010 federal return was completed. However, our federal tax returns for the years 2010 through 2013 remain open to examination. Various state and foreign tax jurisdiction tax years remain open to examination as well, though we believe that any additional assessment would be immaterial to the Condensed Consolidated Financial Statements. No state or foreign tax jurisdiction income tax returns are currently under examination. As of June 30, 2014, we had $111,000 of total gross unrecognized tax benefits that, if recognized, would favorably affect the effective income tax rate in any future periods.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8, 2012, Avery Dennison Corporation (“AD”) filed a civil complaint against the Company and a former employee of the Company and of AD, in the Court of Common Pleas (the “Court”) in Lake County, Ohio. The complaint alleges that this former employee and the Company misappropriated unspecified trade secrets and confidential information related to the design of our food safety terminals from AD. The complaint requests a preliminary and permanent injunction against the Company from manufacturing and selling our Ithaca® 9700 and 9800 food safety terminals. On July 16, 2012, the Company filed its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the Company’s further sale and marketing of the food safety terminals, pending the appeals court's decision. On July 29, 2013, TransAct opposed this request. On October 15, 2013, the Eleventh District Court of Appeals affirmed the lower court’s decision in the Company’s favor and denied AD’s further request of an injunction pending the Court of Appeal’s decision. On October 24, 2013, AD filed a motion seeking that the Court of Appeals reconsider its decision. On April 16, 2014, the Court of Appeals denied AD’s motion to reconsider its decision. On July 28, 2014, AD filed a motion requesting leave from the Court to file an amended complaint and indicating that it has elected to pursue only its claim for damages, dropping its claim for injunctive relief. A trial is scheduled to begin on April 21, 2015.</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most recently filed Annual Report on Form 10-K. Actual results may differ materially from those discussed in, or implied by, the forward-looking statements. The forward-looking statements speak only as of the date of this report and we assume no duty to update them. As used in this Quarterly Report on Form 10-Q, unless the context otherwise requires, references to “we,” “us,” “our,” the “Company” and “TransAct” refer to the consolidated operations of TransAct Technologies Incorporated, and its consolidated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TransAct Technologies Incorporated (“TransAct”) designs, develops and sells market-specific solutions, including printers, terminals, software and other products for transaction-based and other industries. These world-class products are sold under the Epic,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Ithaca®, Printrex® and Responder brand names. Known and respected worldwide for innovative designs and real-world service reliability, our thermal, inkjet and impact printers and terminals generate top-quality labels and transaction records such as receipts, tickets, coupons, register journals and other documents as well as printed logging and plotting of data. We focus on the following core markets: food safety, banking and point-of-sale (“POS”), casino and gaming, lottery, and Printrex (which serves the oil and gas, medical and emergency vehicle markets). We sell our products to original equipment manufacturers (“OEMs”), value-added resellers ("VARs"), selected distributors, as well as directly to end-users. Our product distribution spans across the Americas, Europe, the Middle East, Africa, Asia, Australia, the Caribbean Islands and the South Pacific. TransAct also provides world-class printer service, spare parts, accessories and printing supplies to its growing worldwide installed base of products. Through our TransAct Services Group (“TSG”) we provide a complete range of supplies and consumables used in the printing and scanning activities of customers in the hospitality, banking, retail, casino and gaming, government and oil and gas exploration markets. Through our webstore, </w:t>
      </w:r>
      <w:r>
        <w:rPr>
          <w:rFonts w:ascii="Arial" w:cs="Arial" w:eastAsia="Arial" w:hAnsi="Arial"/>
          <w:sz w:val="17"/>
          <w:szCs w:val="17"/>
          <w:u w:val="single" w:color="auto"/>
          <w:color w:val="auto"/>
        </w:rPr>
        <w:t>www.transactsupplies.com</w:t>
      </w:r>
      <w:r>
        <w:rPr>
          <w:rFonts w:ascii="Arial" w:cs="Arial" w:eastAsia="Arial" w:hAnsi="Arial"/>
          <w:sz w:val="17"/>
          <w:szCs w:val="17"/>
          <w:color w:val="auto"/>
        </w:rPr>
        <w:t>, and our direct selling team, we address the on-line demand for these products. We operate in one reportable segment: the design, development, assembly and marketing of transaction printers and terminals and providing printer-related services, supplies and spare parts.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 complete description of our accounting policies, see Item 7 - Management’s Discussion and Analysis of Financial Condition and Results of Operations, “Critical Accounting Policies and Estimates,” included in our Annual Report on Form 10-K for the year ended December 31, 2013. We have reviewed those policies and determined that they remain our critical accounting policies for the six months ended June 30, 2014.</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Three months ended June 30, 2014 compared to three months ended June 30, 2013</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three months ended June 30, 2014 and 2013 were as follows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9"/>
              </w:rPr>
              <w:t>Three months ended</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b w:val="1"/>
                <w:bCs w:val="1"/>
                <w:color w:val="auto"/>
                <w:w w:val="88"/>
              </w:rPr>
              <w:t>June 30, 2014</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8"/>
              </w:rPr>
              <w:t>June 30, 2013</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Food safety, banking and POS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2,747</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19.9%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3,453</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Casino and gaming</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6,124</w:t>
            </w:r>
          </w:p>
        </w:tc>
        <w:tc>
          <w:tcPr>
            <w:tcW w:w="6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44.3%</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7,322</w:t>
            </w:r>
          </w:p>
        </w:tc>
        <w:tc>
          <w:tcPr>
            <w:tcW w:w="5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Printrex</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996</w:t>
            </w:r>
          </w:p>
        </w:tc>
        <w:tc>
          <w:tcPr>
            <w:tcW w:w="6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1,050</w:t>
            </w:r>
          </w:p>
        </w:tc>
        <w:tc>
          <w:tcPr>
            <w:tcW w:w="5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3,088</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22.4%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3,464</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13,804</w:t>
            </w:r>
          </w:p>
        </w:tc>
        <w:tc>
          <w:tcPr>
            <w:tcW w:w="6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15,788</w:t>
            </w:r>
          </w:p>
        </w:tc>
        <w:tc>
          <w:tcPr>
            <w:tcW w:w="5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(1,984)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 *</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4,097</w:t>
            </w:r>
          </w:p>
        </w:tc>
        <w:tc>
          <w:tcPr>
            <w:tcW w:w="6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29.7%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4,052</w:t>
            </w:r>
          </w:p>
        </w:tc>
        <w:tc>
          <w:tcPr>
            <w:tcW w:w="5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80" w:type="dxa"/>
            <w:vAlign w:val="bottom"/>
          </w:tcPr>
          <w:p>
            <w:pPr>
              <w:spacing w:after="0"/>
              <w:rPr>
                <w:sz w:val="17"/>
                <w:szCs w:val="17"/>
                <w:color w:val="auto"/>
              </w:rPr>
            </w:pPr>
          </w:p>
        </w:tc>
        <w:tc>
          <w:tcPr>
            <w:tcW w:w="9740" w:type="dxa"/>
            <w:vAlign w:val="bottom"/>
          </w:tcPr>
          <w:p>
            <w:pPr>
              <w:ind w:left="1560"/>
              <w:spacing w:after="0" w:line="201" w:lineRule="exact"/>
              <w:rPr>
                <w:sz w:val="20"/>
                <w:szCs w:val="20"/>
                <w:color w:val="auto"/>
              </w:rPr>
            </w:pPr>
            <w:r>
              <w:rPr>
                <w:rFonts w:ascii="Arial" w:cs="Arial" w:eastAsia="Arial" w:hAnsi="Arial"/>
                <w:sz w:val="18"/>
                <w:szCs w:val="18"/>
                <w:color w:val="auto"/>
                <w:w w:val="94"/>
              </w:rPr>
              <w:t>International sales do not include sales of printers made to domestic distributors or other domestic customers</w:t>
            </w:r>
          </w:p>
        </w:tc>
      </w:tr>
      <w:tr>
        <w:trPr>
          <w:trHeight w:val="230"/>
        </w:trPr>
        <w:tc>
          <w:tcPr>
            <w:tcW w:w="1680" w:type="dxa"/>
            <w:vAlign w:val="bottom"/>
          </w:tcPr>
          <w:p>
            <w:pPr>
              <w:jc w:val="right"/>
              <w:ind w:right="1490"/>
              <w:spacing w:after="0"/>
              <w:rPr>
                <w:sz w:val="20"/>
                <w:szCs w:val="20"/>
                <w:color w:val="auto"/>
              </w:rPr>
            </w:pPr>
            <w:r>
              <w:rPr>
                <w:rFonts w:ascii="Arial" w:cs="Arial" w:eastAsia="Arial" w:hAnsi="Arial"/>
                <w:sz w:val="18"/>
                <w:szCs w:val="18"/>
                <w:color w:val="auto"/>
              </w:rPr>
              <w:t>*</w:t>
            </w:r>
          </w:p>
        </w:tc>
        <w:tc>
          <w:tcPr>
            <w:tcW w:w="9740" w:type="dxa"/>
            <w:vAlign w:val="bottom"/>
          </w:tcPr>
          <w:p>
            <w:pPr>
              <w:ind w:left="1560"/>
              <w:spacing w:after="0"/>
              <w:rPr>
                <w:sz w:val="20"/>
                <w:szCs w:val="20"/>
                <w:color w:val="auto"/>
              </w:rPr>
            </w:pPr>
            <w:r>
              <w:rPr>
                <w:rFonts w:ascii="Arial" w:cs="Arial" w:eastAsia="Arial" w:hAnsi="Arial"/>
                <w:sz w:val="18"/>
                <w:szCs w:val="18"/>
                <w:color w:val="auto"/>
              </w:rPr>
              <w:t>who may in turn ship those printers to international destinations.</w:t>
            </w:r>
          </w:p>
        </w:tc>
      </w:tr>
      <w:tr>
        <w:trPr>
          <w:trHeight w:val="797"/>
        </w:trPr>
        <w:tc>
          <w:tcPr>
            <w:tcW w:w="1680" w:type="dxa"/>
            <w:vAlign w:val="bottom"/>
          </w:tcPr>
          <w:p>
            <w:pPr>
              <w:spacing w:after="0"/>
              <w:rPr>
                <w:sz w:val="24"/>
                <w:szCs w:val="24"/>
                <w:color w:val="auto"/>
              </w:rPr>
            </w:pPr>
          </w:p>
        </w:tc>
        <w:tc>
          <w:tcPr>
            <w:tcW w:w="9740" w:type="dxa"/>
            <w:vAlign w:val="bottom"/>
          </w:tcPr>
          <w:p>
            <w:pPr>
              <w:jc w:val="right"/>
              <w:ind w:right="5530"/>
              <w:spacing w:after="0"/>
              <w:rPr>
                <w:sz w:val="20"/>
                <w:szCs w:val="20"/>
                <w:color w:val="auto"/>
              </w:rPr>
            </w:pPr>
            <w:r>
              <w:rPr>
                <w:rFonts w:ascii="Arial" w:cs="Arial" w:eastAsia="Arial" w:hAnsi="Arial"/>
                <w:sz w:val="18"/>
                <w:szCs w:val="18"/>
                <w:color w:val="auto"/>
              </w:rPr>
              <w:t>10</w:t>
            </w:r>
          </w:p>
        </w:tc>
      </w:tr>
      <w:tr>
        <w:trPr>
          <w:trHeight w:val="118"/>
        </w:trPr>
        <w:tc>
          <w:tcPr>
            <w:tcW w:w="1680" w:type="dxa"/>
            <w:vAlign w:val="bottom"/>
            <w:tcBorders>
              <w:bottom w:val="single" w:sz="8" w:color="808080"/>
            </w:tcBorders>
          </w:tcPr>
          <w:p>
            <w:pPr>
              <w:spacing w:after="0"/>
              <w:rPr>
                <w:sz w:val="10"/>
                <w:szCs w:val="10"/>
                <w:color w:val="auto"/>
              </w:rPr>
            </w:pPr>
          </w:p>
        </w:tc>
        <w:tc>
          <w:tcPr>
            <w:tcW w:w="97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 w:name="page11"/>
    <w:bookmarkEnd w:id="10"/>
    <w:p>
      <w:pPr>
        <w:jc w:val="both"/>
        <w:spacing w:after="0" w:line="293" w:lineRule="auto"/>
        <w:rPr>
          <w:sz w:val="20"/>
          <w:szCs w:val="20"/>
          <w:color w:val="auto"/>
        </w:rPr>
      </w:pPr>
      <w:r>
        <w:rPr>
          <w:rFonts w:ascii="Arial" w:cs="Arial" w:eastAsia="Arial" w:hAnsi="Arial"/>
          <w:sz w:val="16"/>
          <w:szCs w:val="16"/>
          <w:color w:val="auto"/>
        </w:rPr>
        <w:t>Net sales for the second quarter of 2014 decreased $1,984,000, or 13%, from the same period in 2013. Printer sales volume decreased 10% to approximately 34,000 units driven primarily by a 23% decrease in unit volume from the casino and gaming market and to a lesser extent, a 17% decrease in unit volume from the Printrex branded printers. These decreases were partially offset by an increase in unit volume of 73% from the lottery market. The average selling price of our printers decreased approximately 8% in the second quarter of 2014 compared to the second quarter of 2013 primarily due to lower sales contributions of our Ithaca ® 9700 food safety terminal. Overall, international sales were relatively consistent from the prior year, increasing $45,000, or 1%, due to increases in the international TSG and Printrex markets that were largely offset by declines in casino and gaming.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safety, banking and POS: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 from the food safety, banking and POS market includes sales of food safety terminals which are hardware devices that consist of a touchscreen and one or two thermal print mechanisms that print easy-to-read expiration and "enjoy by" date labels to help restaurants effectively manage food spoilage. Revenue from this market also includes sales of inkjet, thermal and impact printers used primarily by retailers in the restaurant (including fine dining, casual dining and fast food), hospitality, and specialty retail industries to print receipts for consumers, validate checks, or print on linerless labels or other inserted media. In addition, revenue includes sales of printers used by banks, credit unions and other financial institutions to print receipts and/or validate checks at bank teller stations. A summary of sales of our worldwide food safety, banking and POS products for the three months ended June 30, 2014 and 2013 is as follows (in thousands, except percentages):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88"/>
              </w:rPr>
              <w:t>June 30, 2014</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8"/>
              </w:rPr>
              <w:t>June 30, 2013</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2,661</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3,344</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2,747</w:t>
            </w:r>
          </w:p>
        </w:tc>
        <w:tc>
          <w:tcPr>
            <w:tcW w:w="5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3,453</w:t>
            </w:r>
          </w:p>
        </w:tc>
        <w:tc>
          <w:tcPr>
            <w:tcW w:w="5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decrease in domestic food safety, banking and POS product revenue from the second quarter of 2013 was primarily driven by lower sales of our new Ithaca ® 9700 food safety terminal as sales in the prior year quarter included an initial stocking order to a distributor that did not repeat in the second quarter 2014. The decrease was partially offset by higher sales of our Ithaca® 9000 printers as McDonald’s accelerated its rollout of these printers for a new initiative. We expect sales of food safety terminals, for the remainder of 2014 to be relatively consistent with the reported sales for the second quarter 2014, and to begin to increase in 2015 when we expect customers who are currently trialing the product to begin to make purchase decisions.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Revenue from the casino and gaming market includes sales of printers used in slot machines, video lottery terminals (“VLTs”), and other gaming machines that print tickets or receipts instead of issuing coins (“ticket-in, ticket-out” or “TITO”) at casinos and racetracks (“racinos”) and other gaming venues worldwide. Revenue from this market also includes sales of printers used in the international off-premise gaming market in gaming machines such as Amusement with Prizes (“AWP”), Skills with Prizes (“SWP”) and Fixed Odds Betting Terminals (“FOBT”) at non-casino gaming establishments. Revenue from this market also includes royalties related to our patented casino and gaming technology. In addition, casino and gaming market revenue includes sales of our software solution (including annual software maintenance) for, the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print system that enables casino operators to create promotional coupons and marketing messages and to print them real-time at the slot machine. A summary of sales of our worldwide casino and gaming products for the three months ended June 30, 2014 and 2013 is as follows (in thousands, except percentages):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3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3"/>
              </w:rPr>
              <w:t>June 30, 2014</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5"/>
              </w:rPr>
              <w:t>June 30, 2013</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2,914</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3,658</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3,210</w:t>
            </w:r>
          </w:p>
        </w:tc>
        <w:tc>
          <w:tcPr>
            <w:tcW w:w="5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3,664</w:t>
            </w:r>
          </w:p>
        </w:tc>
        <w:tc>
          <w:tcPr>
            <w:tcW w:w="5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(454)</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6,124</w:t>
            </w:r>
          </w:p>
        </w:tc>
        <w:tc>
          <w:tcPr>
            <w:tcW w:w="5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7,322</w:t>
            </w:r>
          </w:p>
        </w:tc>
        <w:tc>
          <w:tcPr>
            <w:tcW w:w="5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decrease in domestic sales of our casino and gaming products is primarily due to a 15% decrease in sales of our thermal casino printers in addition to a 73% decrease in EPICENTRAL</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software sales due to no installations occurring in the domestic market during the second quarter of 2014. Due to the project-oriented nature of sales of EPCENTRAL™ software, we cannot predict the level of future sales and such sales may fluctuate significantly quarter-to-quarter. We believe that our lower casino printer sales during the second quarter of 2014 resulted primarily from general weakness in the replacement cycle in the domestic casino market.</w:t>
      </w:r>
    </w:p>
    <w:p>
      <w:pPr>
        <w:spacing w:after="0" w:line="2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International casino and gaming printer sales decreased due primarily to a 27% decrease in sales of our thermal casino printers. Additionally, we experienced a 36% decrease in sales of our off-premise thermal gaming printers mainly from a 99% and 12% decrease in sales to customers in Australia and Asia, and our European distributor, respectively. Sales of our off-premise gaming printers are largely project-oriented and we therefore cannot predict the level of future sales. These decreases were partially offset by EPICENTRAL™ software sales for an installation at multiple casino properties for a customer in South America.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the lottery market includes sales of thermal on-line and other lottery printers to GTECH Corporation (“GTECH”) and its subsidiaries for various lottery applications. A summary of sales of our worldwide lottery printers for the three months ended June 30, 2014 and 2013 is as follows (in thousands, except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88"/>
              </w:rPr>
              <w:t>June 30, 2014</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8"/>
              </w:rPr>
              <w:t>June 30, 2013</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w:t>
            </w:r>
          </w:p>
        </w:tc>
        <w:tc>
          <w:tcPr>
            <w:tcW w:w="5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w:t>
            </w:r>
          </w:p>
        </w:tc>
        <w:tc>
          <w:tcPr>
            <w:tcW w:w="5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sales to GTECH are directly dependent on the timing and number of new and upgraded lottery terminal installations GTECH performs, and as a result, may fluctuate significantly quarter-to-quarter and year-to-year and are not indicative of GTECH’s overall business or revenue. Based on our backlog of orders and customer’s forecast, we expect total sales to GTECH for 2014 to be approximately $4 to $5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Printrex branded printers are sold into markets that include wide format, rack mounted and vehicle mounted black/white and color thermal printers used by customers to log and plot oil field and down hole well drilling data in the oil and gas exploration industry. It also includes high-speed color inkjet desktop printers used to print logs at data centers of the oil and gas field service companies. Revenue in this market also includes sales of wide format printers used to print test results in ophthalmology devices in the medical industry, as well as vehicle mounted printers used to print schematics and certain other critical information in emergency services vehicles. A summary of sales of our worldwide Printrex printers for the three months ended June 30, 2014 and 2013 is as follows (in thousands, except percentages):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88"/>
              </w:rPr>
              <w:t>June 30, 2014</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8"/>
              </w:rPr>
              <w:t>June 30, 2013</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5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996</w:t>
            </w:r>
          </w:p>
        </w:tc>
        <w:tc>
          <w:tcPr>
            <w:tcW w:w="5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w:t>
            </w:r>
          </w:p>
        </w:tc>
        <w:tc>
          <w:tcPr>
            <w:tcW w:w="5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sales of Printrex printers is primarily due to 22% and 24% lower domestic sales in the oil and gas and medical markets, respectively, partially offset by higher international sales in the oil and gas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 from TSG includes sales of consumable products (inkjet cartridges, ribbons, receipt paper, color thermal paper and other printing supplies), replacement parts, maintenance and repair services, testing services, refurbished printers, and shipping and handling charges. A summary of sales in our worldwide TSG market for the three months ended June 30, 2014 and 2013 is as follows (in thousands, except percentages):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88"/>
              </w:rPr>
              <w:t>June 30, 2014</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8"/>
              </w:rPr>
              <w:t>June 30, 2013</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2,549</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3,264</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539</w:t>
            </w:r>
          </w:p>
        </w:tc>
        <w:tc>
          <w:tcPr>
            <w:tcW w:w="5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5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339</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3,088</w:t>
            </w:r>
          </w:p>
        </w:tc>
        <w:tc>
          <w:tcPr>
            <w:tcW w:w="5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3,464</w:t>
            </w:r>
          </w:p>
        </w:tc>
        <w:tc>
          <w:tcPr>
            <w:tcW w:w="5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domestic revenue from TSG is primarily due to a 33% decrease in sales of replacement parts and a 19% decrease in sales of non-Printrex consumable products, largely HP inkjet cartridges, as we continue to deemphasize this commoditized consumable product as well as lower revenue from project-oriented testing service contracts as compared to the second quarter of 2014. These decreases were partially offset by increased revenue contributions from consumables for our new Printrex color printers. Internationally, TSG revenue increased primarily due to a 305% increase in sales of replacement parts as compared to the second quarter of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2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b w:val="1"/>
                <w:bCs w:val="1"/>
                <w:color w:val="auto"/>
              </w:rPr>
              <w:t>Percent</w:t>
            </w: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5,788</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6,452</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w:t>
            </w:r>
          </w:p>
        </w:tc>
        <w:tc>
          <w:tcPr>
            <w:tcW w:w="2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41.9%</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and maintenance of our EPICENTRAL® print system. Gross profit decreased $664,000, or 10%, on 13% lower sales volume. However, gross margin improved by 100 basis points as we continued to transition our business towards a more favorable sales mix of value-added products. During the second quarter of 2014, our gross margin primarily benefited from higher sales of our higher margin EPICENTRAL® software and Printrex color consumable sales.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2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40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Percent of</w:t>
            </w:r>
          </w:p>
        </w:tc>
        <w:tc>
          <w:tcPr>
            <w:tcW w:w="18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2014</w:t>
            </w:r>
          </w:p>
        </w:tc>
        <w:tc>
          <w:tcPr>
            <w:tcW w:w="6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46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1,151</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995</w:t>
            </w:r>
          </w:p>
        </w:tc>
        <w:tc>
          <w:tcPr>
            <w:tcW w:w="2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15.7%</w:t>
            </w:r>
          </w:p>
        </w:tc>
        <w:tc>
          <w:tcPr>
            <w:tcW w:w="2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Engineering, design and product development expenses primarily include salary and payroll related expenses for our engineering staff, depreciation and design expenses (including prototype printer expenses, outside design and testing services, and supplies). Such expenses increased $156,000, or 16%, due primarily to additional engineering staff and higher prototyping expense related to new product launches.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0" w:type="dxa"/>
            <w:vAlign w:val="bottom"/>
            <w:gridSpan w:val="3"/>
          </w:tcPr>
          <w:p>
            <w:pPr>
              <w:jc w:val="right"/>
              <w:ind w:right="25"/>
              <w:spacing w:after="0"/>
              <w:rPr>
                <w:sz w:val="20"/>
                <w:szCs w:val="20"/>
                <w:color w:val="auto"/>
              </w:rPr>
            </w:pPr>
            <w:r>
              <w:rPr>
                <w:rFonts w:ascii="Arial" w:cs="Arial" w:eastAsia="Arial" w:hAnsi="Arial"/>
                <w:sz w:val="18"/>
                <w:szCs w:val="18"/>
                <w:b w:val="1"/>
                <w:bCs w:val="1"/>
                <w:color w:val="auto"/>
                <w:w w:val="94"/>
              </w:rPr>
              <w:t>Three months ended</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05"/>
              <w:spacing w:after="0"/>
              <w:rPr>
                <w:sz w:val="20"/>
                <w:szCs w:val="20"/>
                <w:color w:val="auto"/>
              </w:rPr>
            </w:pPr>
            <w:r>
              <w:rPr>
                <w:rFonts w:ascii="Arial" w:cs="Arial" w:eastAsia="Arial" w:hAnsi="Arial"/>
                <w:sz w:val="18"/>
                <w:szCs w:val="18"/>
                <w:b w:val="1"/>
                <w:bCs w:val="1"/>
                <w:color w:val="auto"/>
              </w:rPr>
              <w:t>June 30,</w:t>
            </w:r>
          </w:p>
        </w:tc>
        <w:tc>
          <w:tcPr>
            <w:tcW w:w="12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40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Percent of</w:t>
            </w:r>
          </w:p>
        </w:tc>
        <w:tc>
          <w:tcPr>
            <w:tcW w:w="18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2014</w:t>
            </w:r>
          </w:p>
        </w:tc>
        <w:tc>
          <w:tcPr>
            <w:tcW w:w="6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46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2,257</w:t>
            </w:r>
          </w:p>
        </w:tc>
        <w:tc>
          <w:tcPr>
            <w:tcW w:w="66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1,857</w:t>
            </w:r>
          </w:p>
        </w:tc>
        <w:tc>
          <w:tcPr>
            <w:tcW w:w="2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21.5%</w:t>
            </w:r>
          </w:p>
        </w:tc>
        <w:tc>
          <w:tcPr>
            <w:tcW w:w="2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increased by $400,000, or 22%, in the second quarter of 2014 compared to the second quarter of 2013 primarily due to higher expenses associated with sales commissions to our new casino and gaming distributor added in late 2013, Suzo-Happ, and the planned investment in new sales and marketing staff and increased trade show expenses as we further focus our selling and marketing efforts on our value-added food safety and Printrex color products in 2014.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0" w:type="dxa"/>
            <w:vAlign w:val="bottom"/>
            <w:gridSpan w:val="3"/>
          </w:tcPr>
          <w:p>
            <w:pPr>
              <w:jc w:val="right"/>
              <w:ind w:right="25"/>
              <w:spacing w:after="0"/>
              <w:rPr>
                <w:sz w:val="20"/>
                <w:szCs w:val="20"/>
                <w:color w:val="auto"/>
              </w:rPr>
            </w:pPr>
            <w:r>
              <w:rPr>
                <w:rFonts w:ascii="Arial" w:cs="Arial" w:eastAsia="Arial" w:hAnsi="Arial"/>
                <w:sz w:val="18"/>
                <w:szCs w:val="18"/>
                <w:b w:val="1"/>
                <w:bCs w:val="1"/>
                <w:color w:val="auto"/>
                <w:w w:val="94"/>
              </w:rPr>
              <w:t>Three months ended</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05"/>
              <w:spacing w:after="0"/>
              <w:rPr>
                <w:sz w:val="20"/>
                <w:szCs w:val="20"/>
                <w:color w:val="auto"/>
              </w:rPr>
            </w:pPr>
            <w:r>
              <w:rPr>
                <w:rFonts w:ascii="Arial" w:cs="Arial" w:eastAsia="Arial" w:hAnsi="Arial"/>
                <w:sz w:val="18"/>
                <w:szCs w:val="18"/>
                <w:b w:val="1"/>
                <w:bCs w:val="1"/>
                <w:color w:val="auto"/>
              </w:rPr>
              <w:t>June 30,</w:t>
            </w:r>
          </w:p>
        </w:tc>
        <w:tc>
          <w:tcPr>
            <w:tcW w:w="12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40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Percent of</w:t>
            </w:r>
          </w:p>
        </w:tc>
        <w:tc>
          <w:tcPr>
            <w:tcW w:w="18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2014</w:t>
            </w:r>
          </w:p>
        </w:tc>
        <w:tc>
          <w:tcPr>
            <w:tcW w:w="6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46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2,000</w:t>
            </w:r>
          </w:p>
        </w:tc>
        <w:tc>
          <w:tcPr>
            <w:tcW w:w="66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1,736</w:t>
            </w:r>
          </w:p>
        </w:tc>
        <w:tc>
          <w:tcPr>
            <w:tcW w:w="2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15.2%</w:t>
            </w:r>
          </w:p>
        </w:tc>
        <w:tc>
          <w:tcPr>
            <w:tcW w:w="2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14.5%</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 and administrative expenses primarily include salaries and payroll related expenses for our executive, accounting, human resource, business development and information technology staff, expenses for our corporate headquarters, professional and legal expenses, telecommunication expenses, and other expenses related to being a publicly-traded company. General and administrative expenses increased $264,000, or 15%, in the second quarter of 2014 compared to the second quarter of 2013. General and administrative expenses included a reduction in expense of $20,000 and $200,000 related to adjustments to the Printrex contingent consideration accrual in the second quarter of 2014 and 2013, respectively. Excluding the Printrex contingent consideration adjustments made in both periods, general and administrative expenses would have increased $84,000 or 4% due primarily to higher professional expenses incurred in the second quarter of 2014. See Note 4 to the Condensed Consolidated Financial Statements for further details on the Printrex contingent consideration accrual.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Fees Associated with Lawsuit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fee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0" w:type="dxa"/>
            <w:vAlign w:val="bottom"/>
            <w:gridSpan w:val="3"/>
          </w:tcPr>
          <w:p>
            <w:pPr>
              <w:jc w:val="right"/>
              <w:ind w:right="25"/>
              <w:spacing w:after="0"/>
              <w:rPr>
                <w:sz w:val="20"/>
                <w:szCs w:val="20"/>
                <w:color w:val="auto"/>
              </w:rPr>
            </w:pPr>
            <w:r>
              <w:rPr>
                <w:rFonts w:ascii="Arial" w:cs="Arial" w:eastAsia="Arial" w:hAnsi="Arial"/>
                <w:sz w:val="18"/>
                <w:szCs w:val="18"/>
                <w:b w:val="1"/>
                <w:bCs w:val="1"/>
                <w:color w:val="auto"/>
                <w:w w:val="94"/>
              </w:rPr>
              <w:t>Three months ended</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0" w:type="dxa"/>
            <w:vAlign w:val="bottom"/>
            <w:gridSpan w:val="3"/>
          </w:tcPr>
          <w:p>
            <w:pPr>
              <w:jc w:val="right"/>
              <w:ind w:right="505"/>
              <w:spacing w:after="0"/>
              <w:rPr>
                <w:sz w:val="20"/>
                <w:szCs w:val="20"/>
                <w:color w:val="auto"/>
              </w:rPr>
            </w:pPr>
            <w:r>
              <w:rPr>
                <w:rFonts w:ascii="Arial" w:cs="Arial" w:eastAsia="Arial" w:hAnsi="Arial"/>
                <w:sz w:val="18"/>
                <w:szCs w:val="18"/>
                <w:b w:val="1"/>
                <w:bCs w:val="1"/>
                <w:color w:val="auto"/>
              </w:rPr>
              <w:t>June 30,</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Percent of</w:t>
            </w:r>
          </w:p>
        </w:tc>
        <w:tc>
          <w:tcPr>
            <w:tcW w:w="18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41"/>
        </w:trPr>
        <w:tc>
          <w:tcPr>
            <w:tcW w:w="20" w:type="dxa"/>
            <w:vAlign w:val="bottom"/>
          </w:tcPr>
          <w:p>
            <w:pPr>
              <w:spacing w:after="0"/>
              <w:rPr>
                <w:sz w:val="20"/>
                <w:szCs w:val="20"/>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2014</w:t>
            </w:r>
          </w:p>
        </w:tc>
        <w:tc>
          <w:tcPr>
            <w:tcW w:w="6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20"/>
                <w:szCs w:val="20"/>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46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66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w:t>
            </w:r>
          </w:p>
        </w:tc>
        <w:tc>
          <w:tcPr>
            <w:tcW w:w="2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(38.6%)</w:t>
            </w:r>
          </w:p>
        </w:tc>
        <w:tc>
          <w:tcPr>
            <w:tcW w:w="2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Note 8 to the Condensed Consolidated Financial Statements, in June 2012, Avery Dennison Corporation filed a civil complaint against the Company. In connection with this lawsuit, we incurred legal fees and other related expenses of $35,000 and $57,000, respectively, in the second quarter of 2014 and 2013. We may incur additional legal fees related to this lawsuit for the remainder of 2014 and beyond, although we cannot predict the timing and extent of such legal fees.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0" w:type="dxa"/>
            <w:vAlign w:val="bottom"/>
            <w:gridSpan w:val="3"/>
          </w:tcPr>
          <w:p>
            <w:pPr>
              <w:jc w:val="right"/>
              <w:ind w:right="25"/>
              <w:spacing w:after="0"/>
              <w:rPr>
                <w:sz w:val="20"/>
                <w:szCs w:val="20"/>
                <w:color w:val="auto"/>
              </w:rPr>
            </w:pPr>
            <w:r>
              <w:rPr>
                <w:rFonts w:ascii="Arial" w:cs="Arial" w:eastAsia="Arial" w:hAnsi="Arial"/>
                <w:sz w:val="18"/>
                <w:szCs w:val="18"/>
                <w:b w:val="1"/>
                <w:bCs w:val="1"/>
                <w:color w:val="auto"/>
                <w:w w:val="94"/>
              </w:rPr>
              <w:t>Three months ended</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05"/>
              <w:spacing w:after="0"/>
              <w:rPr>
                <w:sz w:val="20"/>
                <w:szCs w:val="20"/>
                <w:color w:val="auto"/>
              </w:rPr>
            </w:pPr>
            <w:r>
              <w:rPr>
                <w:rFonts w:ascii="Arial" w:cs="Arial" w:eastAsia="Arial" w:hAnsi="Arial"/>
                <w:sz w:val="18"/>
                <w:szCs w:val="18"/>
                <w:b w:val="1"/>
                <w:bCs w:val="1"/>
                <w:color w:val="auto"/>
              </w:rPr>
              <w:t>June 30,</w:t>
            </w:r>
          </w:p>
        </w:tc>
        <w:tc>
          <w:tcPr>
            <w:tcW w:w="12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40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Percent of</w:t>
            </w:r>
          </w:p>
        </w:tc>
        <w:tc>
          <w:tcPr>
            <w:tcW w:w="18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2014</w:t>
            </w:r>
          </w:p>
        </w:tc>
        <w:tc>
          <w:tcPr>
            <w:tcW w:w="6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46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345</w:t>
            </w:r>
          </w:p>
        </w:tc>
        <w:tc>
          <w:tcPr>
            <w:tcW w:w="66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1,807</w:t>
            </w:r>
          </w:p>
        </w:tc>
        <w:tc>
          <w:tcPr>
            <w:tcW w:w="2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(80.9%)</w:t>
            </w:r>
          </w:p>
        </w:tc>
        <w:tc>
          <w:tcPr>
            <w:tcW w:w="2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operating income declined primarily due to 13% lower sales in the second quarter of 2014 as compared to the second quarter of 2013. In addition, both our operating profit and operating margin for the second quarter of 2013 were favorably impacted by the $200,000 Printrex contingent consideration adjustment, which increased our operating margin by 120 basis points.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$12,000 in the second quarter of 2014 compared to $0 in the second quarter of 2013 as we earned less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on a lower average cash balance in the second quarter 2014 as compared to the second quarter 2013. Interest expense related to the unused revolving credit line fee and amortization of deferred financing costs on our revolving credit facility with TD Bank remained relatively consistent at approximately $15,000 in the second quarter of 2014 compared to $16,000 in the second quarter of 2013. See “Liquidity and Capital Resources” below for more information.</w:t>
      </w:r>
    </w:p>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Other, net. </w:t>
      </w:r>
      <w:r>
        <w:rPr>
          <w:rFonts w:ascii="Arial" w:cs="Arial" w:eastAsia="Arial" w:hAnsi="Arial"/>
          <w:sz w:val="16"/>
          <w:szCs w:val="16"/>
          <w:color w:val="auto"/>
        </w:rPr>
        <w:t>We recorded other expenses of $12,000 in the second quarter of 2014 compared to of $4,000 in the second quarter of 2013. The change was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higher foreign currency transaction exchange losses recorded by our U.K. subsidiary in the second quarter of 2014 compared to the second quarter of 2013.</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second quarter of 2014 of $146,000 at an effective tax rate of 45.5%, compared to an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during the second quarter of 2013 of $588,000 at an effective tax rate of 32.6%. Our effective tax rate for the second quarter of 2013 was lower because it included the benefit from the federal research and development (“R&amp;D”) credit. Our effective rate for the second quarter 2014 does not include any benefit from the federal R&amp;D credit, as this credit expired at the end of 2013. As a result, if this credit is not renewed, we expect our effective tax rate for the remainder of 2014 to be approximately 34%.</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second quarter of 2014 of $175,000, or $0.02 per diluted share, compared to $1,215,000, or $0.14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for the second quarter of 2013.</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Six months ended June 30, 2014 compared to six months ended June 30, 2013</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six months ended June 30, 2014 and 2013 were as follows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87"/>
              </w:rPr>
              <w:t>Six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87"/>
              </w:rPr>
              <w:t>Six months ended</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b w:val="1"/>
                <w:bCs w:val="1"/>
                <w:color w:val="auto"/>
                <w:w w:val="88"/>
              </w:rPr>
              <w:t>June 30, 2014</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b w:val="1"/>
                <w:bCs w:val="1"/>
                <w:color w:val="auto"/>
                <w:w w:val="88"/>
              </w:rPr>
              <w:t>June 30, 2013</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Food safety, banking and POS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4,516</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5,437</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Casino and gaming</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12,666</w:t>
            </w:r>
          </w:p>
        </w:tc>
        <w:tc>
          <w:tcPr>
            <w:tcW w:w="5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14,062</w:t>
            </w:r>
          </w:p>
        </w:tc>
        <w:tc>
          <w:tcPr>
            <w:tcW w:w="5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45.6%</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1,670</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1,864</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Printrex</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1,970</w:t>
            </w:r>
          </w:p>
        </w:tc>
        <w:tc>
          <w:tcPr>
            <w:tcW w:w="5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2,375</w:t>
            </w:r>
          </w:p>
        </w:tc>
        <w:tc>
          <w:tcPr>
            <w:tcW w:w="5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7,107</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27,423</w:t>
            </w:r>
          </w:p>
        </w:tc>
        <w:tc>
          <w:tcPr>
            <w:tcW w:w="5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100.0%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30,845</w:t>
            </w:r>
          </w:p>
        </w:tc>
        <w:tc>
          <w:tcPr>
            <w:tcW w:w="5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100.0%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(3,422)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International *</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7,510</w:t>
            </w:r>
          </w:p>
        </w:tc>
        <w:tc>
          <w:tcPr>
            <w:tcW w:w="5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7,328</w:t>
            </w:r>
          </w:p>
        </w:tc>
        <w:tc>
          <w:tcPr>
            <w:tcW w:w="5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23.8%</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380" w:type="dxa"/>
            <w:vAlign w:val="bottom"/>
            <w:gridSpan w:val="3"/>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700" w:type="dxa"/>
            <w:vAlign w:val="bottom"/>
            <w:gridSpan w:val="19"/>
          </w:tcPr>
          <w:p>
            <w:pPr>
              <w:ind w:left="520"/>
              <w:spacing w:after="0" w:line="201" w:lineRule="exact"/>
              <w:rPr>
                <w:sz w:val="20"/>
                <w:szCs w:val="20"/>
                <w:color w:val="auto"/>
              </w:rPr>
            </w:pPr>
            <w:r>
              <w:rPr>
                <w:rFonts w:ascii="Arial" w:cs="Arial" w:eastAsia="Arial" w:hAnsi="Arial"/>
                <w:sz w:val="18"/>
                <w:szCs w:val="18"/>
                <w:color w:val="auto"/>
                <w:w w:val="94"/>
              </w:rPr>
              <w:t>International sales do not include sales of printers made to domestic distributors or other domestic customers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w:t>
            </w:r>
          </w:p>
        </w:tc>
        <w:tc>
          <w:tcPr>
            <w:tcW w:w="5340" w:type="dxa"/>
            <w:vAlign w:val="bottom"/>
            <w:gridSpan w:val="12"/>
          </w:tcPr>
          <w:p>
            <w:pPr>
              <w:ind w:left="520"/>
              <w:spacing w:after="0"/>
              <w:rPr>
                <w:sz w:val="20"/>
                <w:szCs w:val="20"/>
                <w:color w:val="auto"/>
              </w:rPr>
            </w:pPr>
            <w:r>
              <w:rPr>
                <w:rFonts w:ascii="Arial" w:cs="Arial" w:eastAsia="Arial" w:hAnsi="Arial"/>
                <w:sz w:val="18"/>
                <w:szCs w:val="18"/>
                <w:color w:val="auto"/>
                <w:w w:val="94"/>
              </w:rPr>
              <w:t>who may in turn ship those printers to international destinations.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for the first half of 2014 decreased $3,422,000, or 11%, from the same period in 2013. Printer sales volume decreased 7% to approximately 69,000 units driven primarily by unit volume decreases of 9%, 5% and 3% from the casino and gaming, lottery and food safety, banking and POS markets, respectively. The average selling price of our printers decreased approximately 5% compared to the first half of 2013 primarily due to lower sales of our new Ithaca ® 9700 food safety. Overall, international sales increased $182,000, or 3%, primarily driven by higher international sales in the TSG and Printrex markets which were partially offset by declines in casino and gaming.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Food safety, banking and POS: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sales of our worldwide food safety, banking and POS products for the six months ended June 30, 2014 and 2013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2014</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2013</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4,383</w:t>
            </w: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5,302</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(919)</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5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4,516</w:t>
            </w:r>
          </w:p>
        </w:tc>
        <w:tc>
          <w:tcPr>
            <w:tcW w:w="5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5,437</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domestic food safety, banking and POS printer revenue as compared to the first half of 2013 was primarily driven by lower sales of our new Ithaca ® 9700 food safety terminal during the first half of 2014 as sales in the prior year period included an initial stocking order to a distributor that did not repeat in the first half of 2014. This decrease was partially offset by higher sales of our Ithaca ® 9000 printers as McDonald’s accelerated its rollout of these printers for a new initiative.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 summary of sales of our worldwide casino and gaming products for the six months ended June 30, 2014 and 2013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2014</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2013</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6,463</w:t>
            </w: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7,560</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6,203</w:t>
            </w:r>
          </w:p>
        </w:tc>
        <w:tc>
          <w:tcPr>
            <w:tcW w:w="5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49.0%</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6,502</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(299)</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12,666</w:t>
            </w:r>
          </w:p>
        </w:tc>
        <w:tc>
          <w:tcPr>
            <w:tcW w:w="5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14,062</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decrease in domestic sales of our casino and gaming products is primarily due to 81% lower EPICENTRAL</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software sales due to one new installation that occurred in the first half of 2014 compared to three new installations in the first half of 2013. Additionally, sales of our thermal casino printers decreased 3% when compared to first half of 2013.</w:t>
      </w:r>
    </w:p>
    <w:p>
      <w:pPr>
        <w:spacing w:after="0" w:line="2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International casino and gaming printer sales decreased in the first half of 2014 due primarily to a 41% decrease in sales of our off-premise thermal gaming printers due to a 96% and 24% decrease from our Australian and Asian customers, and our European distributor, respectively. Sales of our off-premise gaming printers are largely project-oriented and we therefore cannot predict the level of future sales. Additionally, sales of our thermal casino printers decreased 8% when compared to the first half of 2013. These decreases were partially offset by the sale of an EPICENTRAL™ software installation in South America.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 summary of sales of our worldwide lottery printers for the six months ended June 30, 2014 and 2013 is as follows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2014</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2013</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1,646</w:t>
            </w: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1,833</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w:t>
            </w:r>
          </w:p>
        </w:tc>
        <w:tc>
          <w:tcPr>
            <w:tcW w:w="5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1,864</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sales to GTECH are directly dependent on the timing and number of new and upgraded lottery terminal installations GTECH performs, and as a result, may fluctuate significantly quarter-to-quarter and year-to-year and are not indicative of GTECH’s overall business or 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summary of sales of our worldwide Printrex printers for the six months ended June 30, 2014 and 2013 is as follows (in thousands, except percentages):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2014</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2013</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1,611</w:t>
            </w: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2,126</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359</w:t>
            </w:r>
          </w:p>
        </w:tc>
        <w:tc>
          <w:tcPr>
            <w:tcW w:w="5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1,970</w:t>
            </w:r>
          </w:p>
        </w:tc>
        <w:tc>
          <w:tcPr>
            <w:tcW w:w="5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2,375</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Printrex printers is primarily due to 28% and 14% lower domestic sales in the oil and gas and medical and mobile markets, respectively, partially offset by higher international sales in the oil and gas market.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 summary of sales in our worldwide TSG market for the six months ended June 30, 2014 and 2013 is as follows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Six months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2014</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8"/>
              </w:rPr>
              <w:t>June 30, 2013</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5,810</w:t>
            </w: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6,696</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(886)</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791</w:t>
            </w:r>
          </w:p>
        </w:tc>
        <w:tc>
          <w:tcPr>
            <w:tcW w:w="5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411</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380</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6,601</w:t>
            </w:r>
          </w:p>
        </w:tc>
        <w:tc>
          <w:tcPr>
            <w:tcW w:w="5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7,107</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domestic revenue from TSG is primarily due to a 21% decrease in sales of non-Printrex consumable products, largely HP inkjet cartridges, as well as lower revenue from project-oriented paper testing service contracts and repair services compared to the first half of 2013. These decreases were partially offset by 13% higher sales of replacement parts and increased revenue contributions from consumables for our new Printrex color printers. Internationally, TSG revenue increased primarily due to a 134% increase in sales of replacement parts and accessories, largely to GTECH for legacy lottery printers, as compared to the first half of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0" w:type="dxa"/>
            <w:vAlign w:val="bottom"/>
            <w:gridSpan w:val="3"/>
          </w:tcPr>
          <w:p>
            <w:pPr>
              <w:jc w:val="right"/>
              <w:ind w:right="105"/>
              <w:spacing w:after="0"/>
              <w:rPr>
                <w:sz w:val="20"/>
                <w:szCs w:val="20"/>
                <w:color w:val="auto"/>
              </w:rPr>
            </w:pPr>
            <w:r>
              <w:rPr>
                <w:rFonts w:ascii="Arial" w:cs="Arial" w:eastAsia="Arial" w:hAnsi="Arial"/>
                <w:sz w:val="18"/>
                <w:szCs w:val="18"/>
                <w:b w:val="1"/>
                <w:bCs w:val="1"/>
                <w:color w:val="auto"/>
              </w:rPr>
              <w:t>Six months ended</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ind w:right="465"/>
              <w:spacing w:after="0"/>
              <w:rPr>
                <w:sz w:val="20"/>
                <w:szCs w:val="20"/>
                <w:color w:val="auto"/>
              </w:rPr>
            </w:pPr>
            <w:r>
              <w:rPr>
                <w:rFonts w:ascii="Arial" w:cs="Arial" w:eastAsia="Arial" w:hAnsi="Arial"/>
                <w:sz w:val="18"/>
                <w:szCs w:val="18"/>
                <w:b w:val="1"/>
                <w:bCs w:val="1"/>
                <w:color w:val="auto"/>
              </w:rPr>
              <w:t>June 30,</w:t>
            </w:r>
          </w:p>
        </w:tc>
        <w:tc>
          <w:tcPr>
            <w:tcW w:w="13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40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Percent of</w:t>
            </w:r>
          </w:p>
        </w:tc>
        <w:tc>
          <w:tcPr>
            <w:tcW w:w="18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46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11,514</w:t>
            </w:r>
          </w:p>
        </w:tc>
        <w:tc>
          <w:tcPr>
            <w:tcW w:w="620" w:type="dxa"/>
            <w:vAlign w:val="bottom"/>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12,885</w:t>
            </w:r>
          </w:p>
        </w:tc>
        <w:tc>
          <w:tcPr>
            <w:tcW w:w="2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w:t>
            </w:r>
          </w:p>
        </w:tc>
        <w:tc>
          <w:tcPr>
            <w:tcW w:w="2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42.0%</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gross profit decreased $1,371,000, or 11%, on 11% lower sales volume, our gross margin improved slightly by 20 basis points as we continued to transition our business towards a proportionately more favorable sales mix of value-added products.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00" w:type="dxa"/>
            <w:vAlign w:val="bottom"/>
            <w:gridSpan w:val="3"/>
          </w:tcPr>
          <w:p>
            <w:pPr>
              <w:jc w:val="right"/>
              <w:ind w:right="105"/>
              <w:spacing w:after="0"/>
              <w:rPr>
                <w:sz w:val="20"/>
                <w:szCs w:val="20"/>
                <w:color w:val="auto"/>
              </w:rPr>
            </w:pPr>
            <w:r>
              <w:rPr>
                <w:rFonts w:ascii="Arial" w:cs="Arial" w:eastAsia="Arial" w:hAnsi="Arial"/>
                <w:sz w:val="18"/>
                <w:szCs w:val="18"/>
                <w:b w:val="1"/>
                <w:bCs w:val="1"/>
                <w:color w:val="auto"/>
                <w:w w:val="96"/>
              </w:rPr>
              <w:t>Six months ended</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65"/>
              <w:spacing w:after="0"/>
              <w:rPr>
                <w:sz w:val="20"/>
                <w:szCs w:val="20"/>
                <w:color w:val="auto"/>
              </w:rPr>
            </w:pPr>
            <w:r>
              <w:rPr>
                <w:rFonts w:ascii="Arial" w:cs="Arial" w:eastAsia="Arial" w:hAnsi="Arial"/>
                <w:sz w:val="18"/>
                <w:szCs w:val="18"/>
                <w:b w:val="1"/>
                <w:bCs w:val="1"/>
                <w:color w:val="auto"/>
              </w:rPr>
              <w:t>June 30,</w:t>
            </w:r>
          </w:p>
        </w:tc>
        <w:tc>
          <w:tcPr>
            <w:tcW w:w="13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40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Percent of</w:t>
            </w:r>
          </w:p>
        </w:tc>
        <w:tc>
          <w:tcPr>
            <w:tcW w:w="18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32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2014</w:t>
            </w:r>
          </w:p>
        </w:tc>
        <w:tc>
          <w:tcPr>
            <w:tcW w:w="6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46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right"/>
              <w:ind w:right="115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2,381</w:t>
            </w:r>
          </w:p>
        </w:tc>
        <w:tc>
          <w:tcPr>
            <w:tcW w:w="620" w:type="dxa"/>
            <w:vAlign w:val="bottom"/>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2,007</w:t>
            </w:r>
          </w:p>
        </w:tc>
        <w:tc>
          <w:tcPr>
            <w:tcW w:w="2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18.6%</w:t>
            </w:r>
          </w:p>
        </w:tc>
        <w:tc>
          <w:tcPr>
            <w:tcW w:w="2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Such expenses increased $374,000, or 19%, which was due primarily to additional engineering staff and higher outside testing, pre-production and prototype expenses related to the new products that were launched in. We expect engineering, design and product development expenses in 2014 to be higher than in 2013 as we plan to launch three new products during 2014.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00" w:type="dxa"/>
            <w:vAlign w:val="bottom"/>
            <w:gridSpan w:val="3"/>
          </w:tcPr>
          <w:p>
            <w:pPr>
              <w:jc w:val="right"/>
              <w:ind w:right="105"/>
              <w:spacing w:after="0"/>
              <w:rPr>
                <w:sz w:val="20"/>
                <w:szCs w:val="20"/>
                <w:color w:val="auto"/>
              </w:rPr>
            </w:pPr>
            <w:r>
              <w:rPr>
                <w:rFonts w:ascii="Arial" w:cs="Arial" w:eastAsia="Arial" w:hAnsi="Arial"/>
                <w:sz w:val="18"/>
                <w:szCs w:val="18"/>
                <w:b w:val="1"/>
                <w:bCs w:val="1"/>
                <w:color w:val="auto"/>
                <w:w w:val="96"/>
              </w:rPr>
              <w:t>Six months ended</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65"/>
              <w:spacing w:after="0"/>
              <w:rPr>
                <w:sz w:val="20"/>
                <w:szCs w:val="20"/>
                <w:color w:val="auto"/>
              </w:rPr>
            </w:pPr>
            <w:r>
              <w:rPr>
                <w:rFonts w:ascii="Arial" w:cs="Arial" w:eastAsia="Arial" w:hAnsi="Arial"/>
                <w:sz w:val="18"/>
                <w:szCs w:val="18"/>
                <w:b w:val="1"/>
                <w:bCs w:val="1"/>
                <w:color w:val="auto"/>
              </w:rPr>
              <w:t>June 30,</w:t>
            </w:r>
          </w:p>
        </w:tc>
        <w:tc>
          <w:tcPr>
            <w:tcW w:w="13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40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Percent of</w:t>
            </w:r>
          </w:p>
        </w:tc>
        <w:tc>
          <w:tcPr>
            <w:tcW w:w="18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32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2014</w:t>
            </w:r>
          </w:p>
        </w:tc>
        <w:tc>
          <w:tcPr>
            <w:tcW w:w="6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46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right"/>
              <w:ind w:right="115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4,222</w:t>
            </w:r>
          </w:p>
        </w:tc>
        <w:tc>
          <w:tcPr>
            <w:tcW w:w="620" w:type="dxa"/>
            <w:vAlign w:val="bottom"/>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3,643</w:t>
            </w:r>
          </w:p>
        </w:tc>
        <w:tc>
          <w:tcPr>
            <w:tcW w:w="2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15.9%</w:t>
            </w:r>
          </w:p>
        </w:tc>
        <w:tc>
          <w:tcPr>
            <w:tcW w:w="2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Such expenses increased by $579,000, or 16%, in the first half of 2014 compared to the first half of 2013 primarily due to the planned investment in new sales and marketing staff, higher commissions to our new casino and gaming distributor added in late 2013, Suzo-Happ and increased marketing spend to support our newly launched products in 2014. We expect selling and marketing expenses to be higher in 2014 than in 2013 as we continue these efforts.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00" w:type="dxa"/>
            <w:vAlign w:val="bottom"/>
            <w:gridSpan w:val="3"/>
          </w:tcPr>
          <w:p>
            <w:pPr>
              <w:jc w:val="right"/>
              <w:ind w:right="105"/>
              <w:spacing w:after="0"/>
              <w:rPr>
                <w:sz w:val="20"/>
                <w:szCs w:val="20"/>
                <w:color w:val="auto"/>
              </w:rPr>
            </w:pPr>
            <w:r>
              <w:rPr>
                <w:rFonts w:ascii="Arial" w:cs="Arial" w:eastAsia="Arial" w:hAnsi="Arial"/>
                <w:sz w:val="18"/>
                <w:szCs w:val="18"/>
                <w:b w:val="1"/>
                <w:bCs w:val="1"/>
                <w:color w:val="auto"/>
                <w:w w:val="96"/>
              </w:rPr>
              <w:t>Six months ended</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65"/>
              <w:spacing w:after="0"/>
              <w:rPr>
                <w:sz w:val="20"/>
                <w:szCs w:val="20"/>
                <w:color w:val="auto"/>
              </w:rPr>
            </w:pPr>
            <w:r>
              <w:rPr>
                <w:rFonts w:ascii="Arial" w:cs="Arial" w:eastAsia="Arial" w:hAnsi="Arial"/>
                <w:sz w:val="18"/>
                <w:szCs w:val="18"/>
                <w:b w:val="1"/>
                <w:bCs w:val="1"/>
                <w:color w:val="auto"/>
              </w:rPr>
              <w:t>June 30,</w:t>
            </w:r>
          </w:p>
        </w:tc>
        <w:tc>
          <w:tcPr>
            <w:tcW w:w="13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40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Percent of</w:t>
            </w:r>
          </w:p>
        </w:tc>
        <w:tc>
          <w:tcPr>
            <w:tcW w:w="18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32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2014</w:t>
            </w:r>
          </w:p>
        </w:tc>
        <w:tc>
          <w:tcPr>
            <w:tcW w:w="6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46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right"/>
              <w:ind w:right="115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3,888</w:t>
            </w:r>
          </w:p>
        </w:tc>
        <w:tc>
          <w:tcPr>
            <w:tcW w:w="620" w:type="dxa"/>
            <w:vAlign w:val="bottom"/>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3,770</w:t>
            </w:r>
          </w:p>
        </w:tc>
        <w:tc>
          <w:tcPr>
            <w:tcW w:w="2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w:t>
            </w:r>
          </w:p>
        </w:tc>
        <w:tc>
          <w:tcPr>
            <w:tcW w:w="2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14.2%</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expenses increased $118,000, or 3%, due primarily to a $200,000 reduction in expense recorded in the second quarter of 2013 related to accrued contingent consideration liability to be paid in connection with the acquisition of Printrex as discussed in Note 4 to the Condensed Consolidated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Legal Fees Associated with Lawsuit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fee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00" w:type="dxa"/>
            <w:vAlign w:val="bottom"/>
            <w:gridSpan w:val="3"/>
          </w:tcPr>
          <w:p>
            <w:pPr>
              <w:jc w:val="right"/>
              <w:ind w:right="105"/>
              <w:spacing w:after="0"/>
              <w:rPr>
                <w:sz w:val="20"/>
                <w:szCs w:val="20"/>
                <w:color w:val="auto"/>
              </w:rPr>
            </w:pPr>
            <w:r>
              <w:rPr>
                <w:rFonts w:ascii="Arial" w:cs="Arial" w:eastAsia="Arial" w:hAnsi="Arial"/>
                <w:sz w:val="18"/>
                <w:szCs w:val="18"/>
                <w:b w:val="1"/>
                <w:bCs w:val="1"/>
                <w:color w:val="auto"/>
                <w:w w:val="96"/>
              </w:rPr>
              <w:t>Six months ended</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65"/>
              <w:spacing w:after="0"/>
              <w:rPr>
                <w:sz w:val="20"/>
                <w:szCs w:val="20"/>
                <w:color w:val="auto"/>
              </w:rPr>
            </w:pPr>
            <w:r>
              <w:rPr>
                <w:rFonts w:ascii="Arial" w:cs="Arial" w:eastAsia="Arial" w:hAnsi="Arial"/>
                <w:sz w:val="18"/>
                <w:szCs w:val="18"/>
                <w:b w:val="1"/>
                <w:bCs w:val="1"/>
                <w:color w:val="auto"/>
              </w:rPr>
              <w:t>June 30,</w:t>
            </w:r>
          </w:p>
        </w:tc>
        <w:tc>
          <w:tcPr>
            <w:tcW w:w="13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40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Percent of</w:t>
            </w:r>
          </w:p>
        </w:tc>
        <w:tc>
          <w:tcPr>
            <w:tcW w:w="18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32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2014</w:t>
            </w:r>
          </w:p>
        </w:tc>
        <w:tc>
          <w:tcPr>
            <w:tcW w:w="6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46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right"/>
              <w:ind w:right="115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w:t>
            </w:r>
          </w:p>
        </w:tc>
        <w:tc>
          <w:tcPr>
            <w:tcW w:w="620" w:type="dxa"/>
            <w:vAlign w:val="bottom"/>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256</w:t>
            </w:r>
          </w:p>
        </w:tc>
        <w:tc>
          <w:tcPr>
            <w:tcW w:w="2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(81.6%)</w:t>
            </w:r>
          </w:p>
        </w:tc>
        <w:tc>
          <w:tcPr>
            <w:tcW w:w="2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Note 8 to the Condensed Consolidated Financial Statements, in June 2012, Avery Dennison Corporation filed a civil complaint against the Company. In connection with this lawsuit, we incurred legal fees and other related expenses of $47,000 and $256,000, respectively, in the first six months of 2014 and 2013. We may incur additional legal fees related to this lawsuit for the remainder of 2014 and beyond, although we cannot predict the timing and extent of such legal fees.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00" w:type="dxa"/>
            <w:vAlign w:val="bottom"/>
            <w:gridSpan w:val="3"/>
          </w:tcPr>
          <w:p>
            <w:pPr>
              <w:jc w:val="right"/>
              <w:ind w:right="105"/>
              <w:spacing w:after="0"/>
              <w:rPr>
                <w:sz w:val="20"/>
                <w:szCs w:val="20"/>
                <w:color w:val="auto"/>
              </w:rPr>
            </w:pPr>
            <w:r>
              <w:rPr>
                <w:rFonts w:ascii="Arial" w:cs="Arial" w:eastAsia="Arial" w:hAnsi="Arial"/>
                <w:sz w:val="18"/>
                <w:szCs w:val="18"/>
                <w:b w:val="1"/>
                <w:bCs w:val="1"/>
                <w:color w:val="auto"/>
                <w:w w:val="96"/>
              </w:rPr>
              <w:t>Six months ended</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65"/>
              <w:spacing w:after="0"/>
              <w:rPr>
                <w:sz w:val="20"/>
                <w:szCs w:val="20"/>
                <w:color w:val="auto"/>
              </w:rPr>
            </w:pPr>
            <w:r>
              <w:rPr>
                <w:rFonts w:ascii="Arial" w:cs="Arial" w:eastAsia="Arial" w:hAnsi="Arial"/>
                <w:sz w:val="18"/>
                <w:szCs w:val="18"/>
                <w:b w:val="1"/>
                <w:bCs w:val="1"/>
                <w:color w:val="auto"/>
              </w:rPr>
              <w:t>June 30,</w:t>
            </w:r>
          </w:p>
        </w:tc>
        <w:tc>
          <w:tcPr>
            <w:tcW w:w="13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40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Percent of</w:t>
            </w:r>
          </w:p>
        </w:tc>
        <w:tc>
          <w:tcPr>
            <w:tcW w:w="18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32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2014</w:t>
            </w:r>
          </w:p>
        </w:tc>
        <w:tc>
          <w:tcPr>
            <w:tcW w:w="6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46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right"/>
              <w:ind w:right="115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976</w:t>
            </w:r>
          </w:p>
        </w:tc>
        <w:tc>
          <w:tcPr>
            <w:tcW w:w="620" w:type="dxa"/>
            <w:vAlign w:val="bottom"/>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3,209</w:t>
            </w:r>
          </w:p>
        </w:tc>
        <w:tc>
          <w:tcPr>
            <w:tcW w:w="2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(70.0%)</w:t>
            </w:r>
          </w:p>
        </w:tc>
        <w:tc>
          <w:tcPr>
            <w:tcW w:w="2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Both our operating income and operating margin decreased primarily due to the 11% decrease in sales in the first half of 2014 as compared to the first half of 2013. Additionally, operating income and margin has declined due to higher engineering and selling and marketing expenses to support our newly launched products in 2014.</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We recorded net interest expense of $26,000 in the first half of 2014 compared to net interest expense of $1,000 in the first half of 2013 as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earned less interest income on a lower average cash balance in the six months of 2014 compared to the first six months in 2013. Interest expense related to the unused revolving credit line fee and amortization of deferred financing costs on our revolving credit facility with TD Bank remained relatively consistent in the first half of 2014 compared to the first half of 2013. See “Liquidity and Capital Resources” below for more information.</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expense of $20,000 in the first half of 2014 compared to other income of $33,000 in the first half of 2013. The change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foreign currency transaction exchange losses recorded by our U.K. subsidiary in the first half of 2014 compared to gains recorded in the first half of 2013.</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recorded an income tax provision for the first six months of 2014 of $361,000 at an effective tax rate of 38.8%, compared to an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 provision during the first six months of 2013 of $866,000 at an effective tax rate of 26.7%. Our effective tax rate for the first six months of 2013 was unusually low because it included the full-year benefit from the 2012 federal research and development (“R&amp;D”) as well as the 2013 R&amp;D tax credit. In addition, our effective tax rate for the first half of 2014 is unusually high as it does not include any benefit from the federal R&amp;D tax credit, as this credit expired at the end of 2013. If this credit is not renewed in 2014, we expect our effective tax rate to be approximately 34%.</w:t>
      </w:r>
    </w:p>
    <w:p>
      <w:pPr>
        <w:spacing w:after="0" w:line="19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first six months of 2014 of $569,000, or $0.07 per diluted share, compared to $2,375,000, or $0.27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share, for the first six months of 2013.</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first six months of 2014, our cash and cash equivalents balance increased $2,152,000 or 73%, from December 31, 2013 and we ended the second quarter of 2014 with $5,088,000 in cash and cash equivalents and no debt outstanding even after returning $1,248,000 to shareholders in the form of cash dividends paid on common stock during the first six months of 2014.</w:t>
      </w:r>
    </w:p>
    <w:p>
      <w:pPr>
        <w:spacing w:after="0" w:line="2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affected our cash provided by operating activities of $3,848,000 in the first six months of 2014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our cash provided by operating activities of $3,307,000 in the first six months of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six months of 2014:</w:t>
      </w:r>
    </w:p>
    <w:p>
      <w:pPr>
        <w:spacing w:after="0" w:line="23" w:lineRule="exact"/>
        <w:rPr>
          <w:sz w:val="20"/>
          <w:szCs w:val="20"/>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reported net income of $569,000.</w:t>
      </w:r>
    </w:p>
    <w:p>
      <w:pPr>
        <w:spacing w:after="0" w:line="9" w:lineRule="exact"/>
        <w:rPr>
          <w:rFonts w:ascii="Arial" w:cs="Arial" w:eastAsia="Arial" w:hAnsi="Arial"/>
          <w:sz w:val="18"/>
          <w:szCs w:val="18"/>
          <w:color w:val="auto"/>
        </w:rPr>
      </w:pPr>
    </w:p>
    <w:p>
      <w:pPr>
        <w:ind w:left="1140" w:hanging="132"/>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recorded depreciation, amortization, and share-based compensation expense of $1,036,000, including $156,000 of amortization related to intangible assets acquired from Printrex.</w:t>
      </w:r>
    </w:p>
    <w:p>
      <w:pPr>
        <w:ind w:left="1140" w:right="20" w:hanging="132"/>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Accounts receivable decreased $1,432,000 due primarily to collections made from the high concentration of sales made during the latter portion of the fourth quarter of 2013.</w:t>
      </w: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Inventories increased $499,000 due to increased stocking levels of our newly launched food safety and Printrex products.</w:t>
      </w:r>
    </w:p>
    <w:p>
      <w:pPr>
        <w:spacing w:after="0" w:line="9" w:lineRule="exact"/>
        <w:rPr>
          <w:rFonts w:ascii="Arial" w:cs="Arial" w:eastAsia="Arial" w:hAnsi="Arial"/>
          <w:sz w:val="18"/>
          <w:szCs w:val="18"/>
          <w:color w:val="auto"/>
        </w:rPr>
      </w:pPr>
    </w:p>
    <w:p>
      <w:pPr>
        <w:ind w:left="1140" w:right="20" w:hanging="132"/>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Accounts payable increased $658,000 due primarily to increased inventory purchases and the timing of payments during the latter portion of the second quarter.</w:t>
      </w:r>
    </w:p>
    <w:p>
      <w:pPr>
        <w:ind w:left="1140" w:hanging="132"/>
        <w:spacing w:after="0" w:line="26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$340,000 due primarily to higher levels of advanced payments received for EPICENTRAL™ software maintenance.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During the first six months of 2013:</w:t>
      </w:r>
    </w:p>
    <w:p>
      <w:pPr>
        <w:spacing w:after="0" w:line="23" w:lineRule="exact"/>
        <w:rPr>
          <w:sz w:val="20"/>
          <w:szCs w:val="20"/>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reported net income of $2,375,000.</w:t>
      </w:r>
    </w:p>
    <w:p>
      <w:pPr>
        <w:spacing w:after="0" w:line="9" w:lineRule="exact"/>
        <w:rPr>
          <w:rFonts w:ascii="Arial" w:cs="Arial" w:eastAsia="Arial" w:hAnsi="Arial"/>
          <w:sz w:val="18"/>
          <w:szCs w:val="18"/>
          <w:color w:val="auto"/>
        </w:rPr>
      </w:pP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depreciation, amortization, and share-based compensation expense of $1,162,000, including $156,000 of amortization related to intangible assets acquired from Printrex.</w:t>
      </w:r>
    </w:p>
    <w:p>
      <w:pPr>
        <w:ind w:left="1140" w:right="2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receivable decreased $4,277,000 due primarily to collections made from the high concentration of sales made during the latter portion of the fourth quarter of 2012.</w:t>
      </w: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Inventories increased $2,467,000 as we increased stocking levels of our new food safety and Printrex products in anticipation of higher expected sales volume.</w:t>
      </w: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payable decreased $818,000 due primarily to higher payments during the period from inventory purchased in the first six months of 2013 to support the higher expected sales volume of our new products for the remainder of the year.</w:t>
      </w: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Accrued liabilities and other liabilities decreased $990,000 due primarily to the payment of 2012 annual bonuses in March 2013.</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Our capital expenditures were $440,000 and $426,000 in the first six months of 2014 and 2013, respectively. Expenditures in 2014</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approximately $264,000 of cost incurred for the purchase of new product tooling, $30,000 for costs incurred in connection with an enhancement to the Company’s ERP software and the remaining amount primarily for the purchase of manufacturing equipment and computer equipment. Expenditures in 2013 included $89,000 for costs incurred in connection with an upgrade to the Company’s ERP software and the remaining amount primarily for the purchase of new product tooling and computer equipment. Additionally, our capitalized software development costs were $0 and $42,000 in the first six months of 2014 and 2013, respectively, all of which was related to our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print system.</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including capitalized software development costs, for 2014 are expected to be approximately $1,000,000 primarily for new product tooling and tooling enhancements for our existing products.</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We used $1,248,000 of cash from financing activities during the first six months of 2014 to pay cash dividends to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During the first six months of 2013, we used $1,535,000 of cash from financing activities to pay cash dividends of $1,127,000 to common shareholders and purchase $887,000 of common stock for treasury, partially offset by proceeds and tax benefits from stock option exercises of $479,000.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working capital remained consistent, decreasing by less than 1% to $24,847,000 at June 30, 2014 from $24,871,000 at December 31, 2013. Our current ratio of current assets to current liabilities decreased to 4.0 as of June 30, 2014 compared to 4.4 at December 31,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a credit facility (the “TD Bank Credit Facility”) with TD Bank which provides for a $20,000,000 revolving credit line that expires on November 28, 2014. Borrowings under the TD Bank Credit Facility bear a floating rate of interest at the prime rate minus one percent and are secured by a lien on all of our assets. We also pay a fee of 0.25% on unused borrowings under the TD Bank Credit Facility. We expect to renew our credit facility with TD Bank or replace it with a similar credit facility from another institution prior to its expiration on November 28, 2014.</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7, 2012, we signed an amendment to the TD Bank Credit Facility that allows us to declare and pay cash dividends to holders of our outstanding common shares subject to approval by our Board of Directors and provided that no default or event of default has occurred and is continuing under the credit facility on the date of the dividend payment. The amendment also allows us to use up to $5,000,000 in revolving credit loans to fund future cash dividend payments or treasury share buybacks as well as requires cash dividend payments to be treated as distributions for purposes of quarterly debt covenant calculations.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June 30, 2014. The following table lists the financial covenants and the performance measurements at June 30, 2014: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Financial Covenant</w:t>
            </w:r>
          </w:p>
        </w:tc>
        <w:tc>
          <w:tcPr>
            <w:tcW w:w="3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2"/>
              </w:rPr>
              <w:t>Requirement/Restriction</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Calculation at June 30, 2014</w:t>
            </w:r>
          </w:p>
        </w:tc>
      </w:tr>
      <w:tr>
        <w:trPr>
          <w:trHeight w:val="216"/>
        </w:trPr>
        <w:tc>
          <w:tcPr>
            <w:tcW w:w="4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1"/>
              </w:rPr>
              <w:t>Operating cash flow / Total debt service</w:t>
            </w:r>
          </w:p>
        </w:tc>
        <w:tc>
          <w:tcPr>
            <w:tcW w:w="33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3"/>
              </w:rPr>
              <w:t>Minimum of 1.25 times</w:t>
            </w: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42.6 times</w:t>
            </w:r>
          </w:p>
        </w:tc>
      </w:tr>
      <w:tr>
        <w:trPr>
          <w:trHeight w:val="230"/>
        </w:trPr>
        <w:tc>
          <w:tcPr>
            <w:tcW w:w="4180" w:type="dxa"/>
            <w:vAlign w:val="bottom"/>
          </w:tcPr>
          <w:p>
            <w:pPr>
              <w:jc w:val="center"/>
              <w:ind w:right="30"/>
              <w:spacing w:after="0"/>
              <w:rPr>
                <w:sz w:val="20"/>
                <w:szCs w:val="20"/>
                <w:color w:val="auto"/>
              </w:rPr>
            </w:pPr>
            <w:r>
              <w:rPr>
                <w:rFonts w:ascii="Arial" w:cs="Arial" w:eastAsia="Arial" w:hAnsi="Arial"/>
                <w:sz w:val="18"/>
                <w:szCs w:val="18"/>
                <w:color w:val="auto"/>
                <w:w w:val="94"/>
              </w:rPr>
              <w:t>Funded Debt / EBITDA</w:t>
            </w:r>
          </w:p>
        </w:tc>
        <w:tc>
          <w:tcPr>
            <w:tcW w:w="3360" w:type="dxa"/>
            <w:vAlign w:val="bottom"/>
          </w:tcPr>
          <w:p>
            <w:pPr>
              <w:jc w:val="center"/>
              <w:ind w:right="90"/>
              <w:spacing w:after="0"/>
              <w:rPr>
                <w:sz w:val="20"/>
                <w:szCs w:val="20"/>
                <w:color w:val="auto"/>
              </w:rPr>
            </w:pPr>
            <w:r>
              <w:rPr>
                <w:rFonts w:ascii="Arial" w:cs="Arial" w:eastAsia="Arial" w:hAnsi="Arial"/>
                <w:sz w:val="18"/>
                <w:szCs w:val="18"/>
                <w:color w:val="auto"/>
                <w:w w:val="94"/>
              </w:rPr>
              <w:t>Maximum of 3.0 times</w:t>
            </w:r>
          </w:p>
        </w:tc>
        <w:tc>
          <w:tcPr>
            <w:tcW w:w="3880" w:type="dxa"/>
            <w:vAlign w:val="bottom"/>
          </w:tcPr>
          <w:p>
            <w:pPr>
              <w:jc w:val="center"/>
              <w:spacing w:after="0"/>
              <w:rPr>
                <w:sz w:val="20"/>
                <w:szCs w:val="20"/>
                <w:color w:val="auto"/>
              </w:rPr>
            </w:pPr>
            <w:r>
              <w:rPr>
                <w:rFonts w:ascii="Arial" w:cs="Arial" w:eastAsia="Arial" w:hAnsi="Arial"/>
                <w:sz w:val="18"/>
                <w:szCs w:val="18"/>
                <w:color w:val="auto"/>
                <w:w w:val="89"/>
              </w:rPr>
              <w:t>0 times</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2014, undrawn commitments under the TD Bank Credit facility were $20,000,000.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Shareholder Dividend Payments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10, 2012, we announced that our Board of Directors approved the initiation of a quarterly cash dividend program which is subject to the Board’s approval each quarter. On May 6, 2014, our Board of Directors declared an increase to the quarterly cash dividend from $0.07 per share to $0.08 per share. For the three months ended June 30, 2014, our Board of Directors declared a quarterly cash dividend of $0.08 per share, totaling approximately $666,000, which was paid in June 2014 to common shareholders of record at the close of business on May 20, 2014. For the six months ended June 30, 2014, dividends declared and paid totaled $1,248,000, or $0.15 per share. We expect to pay approximately $2,600,000 in cash dividends to our common shareholders during 2014.</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Prior to its expiration on May 27, 2013, we maintained a stock repurchase program (the “Stock Repurchase Program”) whereby we were authorized to repurchase up to $15,000,000, as increased from $10,000,000 in March 2012, of our outstanding shares of common stock from time to time in the open market, depending on market conditions, share price and other factors. The Stock Repurchase Program expired on May 27, 2013 and was not renewed. During the six months ended June 30, 2013, we repurchased 114,161 shares of our common stock for approximately $887,000 at an average price per share of $7.77 under the Stock Repurchase Program. As of June 30, 2014, no additional shares are authorized for future repurchases due to the expiration of the Stock Repurchase Program.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We believe that our cash and cash equivalents on hand and cash flows generated from operating activities will provide sufficient resources to meet our working capital needs, finance our capital expenditures and dividend payments and meet our liquidity requirements through at least the next twelve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inflation has not had a material impact on our results of operations for the fiscal years ended December 31, 2013, 2012 or 2011 or for the six months ended June 30, 2014. However, there can be no assurance that future inflation would not have an adverse impact upon our future operation results and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 Off-Balance Sheet Arrangements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disclosure of payments we have committed to make under our contractual obligations is set forth under the heading "Management's Discussion and Analysis of Financial Condition and Results of Operations—Contractual Obligations" in our Annual Report on Form 10-K for the fiscal year ended December 31, 2013. There have been no material changes in our contractual obligations outside the ordinary course of business since December 31, 2013. We have no material off-balance sheet arrangements as defined in Item 303(a)(4)(ii) of Regulation S-K.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disclosure of our exposure to market risk is set forth under the heading “Quantitative and Qualitative Disclosures about Market Risk” in our Annual Report on Form 10-K for the fiscal year ended December 31, 2013. There has been no material change in our exposure to market risk during the six months ended June 30,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2014, our Chief Executive Officer and Chief Financial Officer concluded that, as of such date, our disclosure controls and procedures were effective at the reasonable assurance level.</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June 30, 2014 that has materially affected, or is reasonably likely to materially affect, our internal control over financial reporting.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8, 2012, Avery Dennison Corporation (“AD”) filed a civil complaint against the Company and a former employee of the Company and of AD, in the Court of Common Pleas (the “Court”) in Lake County, Ohio. The complaint alleges that this former employee and the Company misappropriated unspecified trade secrets and confidential information related to the design of our food safety terminals from AD. The complaint requests a preliminary and permanent injunction against the Company from manufacturing and selling our Ithaca® 9700 and 9800 food safety terminals. On July 16, 2012, the Company filed its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the Company’s further sale and marketing of the food safety terminals, pending the appeals court's decision. On July 29, 2013, TransAct opposed this request. On October 15, 2013, the Eleventh District Court of Appeals affirmed the lower court’s decision in the Company’s favor and denied AD’s further request for an injunction pending the Court of Appeal’s decision. On October 24, 2013, AD filed a motion seeking that the Court of Appeals reconsider its decision. On April 16, 2014, the Court of Appeals denied AD’s motion to reconsider its decision. On July 28, 2014, AD filed a motion requesting leave from the Court to file an amended complaint and indicating that it has elected to pursue only its claim for damages, dropping its claim for injunctive relief. A trial is scheduled to begin on April 21,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regarding risk factors appears in Item 1A of our Annual Report on Form 10-K for the year ended December 31, 2013. There have been no material changes from the risk factors previously disclosed in that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9860" w:type="dxa"/>
            <w:vAlign w:val="bottom"/>
          </w:tcPr>
          <w:p>
            <w:pPr>
              <w:spacing w:after="0"/>
              <w:rPr>
                <w:sz w:val="20"/>
                <w:szCs w:val="20"/>
                <w:color w:val="auto"/>
              </w:rPr>
            </w:pPr>
          </w:p>
        </w:tc>
      </w:tr>
      <w:tr>
        <w:trPr>
          <w:trHeight w:val="459"/>
        </w:trPr>
        <w:tc>
          <w:tcPr>
            <w:tcW w:w="1560" w:type="dxa"/>
            <w:vAlign w:val="bottom"/>
          </w:tcPr>
          <w:p>
            <w:pPr>
              <w:spacing w:after="0"/>
              <w:rPr>
                <w:sz w:val="20"/>
                <w:szCs w:val="20"/>
                <w:color w:val="auto"/>
              </w:rPr>
            </w:pPr>
            <w:r>
              <w:rPr>
                <w:rFonts w:ascii="Arial" w:cs="Arial" w:eastAsia="Arial" w:hAnsi="Arial"/>
                <w:sz w:val="18"/>
                <w:szCs w:val="18"/>
                <w:color w:val="auto"/>
              </w:rPr>
              <w:t>Exhibit 31.1</w:t>
            </w:r>
          </w:p>
        </w:tc>
        <w:tc>
          <w:tcPr>
            <w:tcW w:w="9860" w:type="dxa"/>
            <w:vAlign w:val="bottom"/>
          </w:tcPr>
          <w:p>
            <w:pPr>
              <w:ind w:left="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Exhibit 31.2</w:t>
            </w:r>
          </w:p>
        </w:tc>
        <w:tc>
          <w:tcPr>
            <w:tcW w:w="9860" w:type="dxa"/>
            <w:vAlign w:val="bottom"/>
          </w:tcPr>
          <w:p>
            <w:pPr>
              <w:ind w:left="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Exhibit 32.1</w:t>
            </w:r>
          </w:p>
        </w:tc>
        <w:tc>
          <w:tcPr>
            <w:tcW w:w="9860" w:type="dxa"/>
            <w:vAlign w:val="bottom"/>
          </w:tcPr>
          <w:p>
            <w:pPr>
              <w:ind w:left="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Exhibit 32.2</w:t>
            </w:r>
          </w:p>
        </w:tc>
        <w:tc>
          <w:tcPr>
            <w:tcW w:w="9860" w:type="dxa"/>
            <w:vAlign w:val="bottom"/>
          </w:tcPr>
          <w:p>
            <w:pPr>
              <w:ind w:left="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tcPr>
          <w:p>
            <w:pPr>
              <w:ind w:left="60"/>
              <w:spacing w:after="0"/>
              <w:rPr>
                <w:sz w:val="20"/>
                <w:szCs w:val="20"/>
                <w:color w:val="auto"/>
              </w:rPr>
            </w:pPr>
            <w:r>
              <w:rPr>
                <w:rFonts w:ascii="Arial" w:cs="Arial" w:eastAsia="Arial" w:hAnsi="Arial"/>
                <w:sz w:val="18"/>
                <w:szCs w:val="18"/>
                <w:color w:val="auto"/>
              </w:rPr>
              <w:t>XBRL Instance Document.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tcPr>
          <w:p>
            <w:pPr>
              <w:ind w:left="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tcPr>
          <w:p>
            <w:pPr>
              <w:ind w:left="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tcPr>
          <w:p>
            <w:pPr>
              <w:ind w:left="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tcPr>
          <w:p>
            <w:pPr>
              <w:ind w:left="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tcPr>
          <w:p>
            <w:pPr>
              <w:ind w:left="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51"/>
        </w:trPr>
        <w:tc>
          <w:tcPr>
            <w:tcW w:w="1560" w:type="dxa"/>
            <w:vAlign w:val="bottom"/>
          </w:tcPr>
          <w:p>
            <w:pPr>
              <w:spacing w:after="0"/>
              <w:rPr>
                <w:sz w:val="24"/>
                <w:szCs w:val="24"/>
                <w:color w:val="auto"/>
              </w:rPr>
            </w:pPr>
          </w:p>
        </w:tc>
        <w:tc>
          <w:tcPr>
            <w:tcW w:w="9860" w:type="dxa"/>
            <w:vAlign w:val="bottom"/>
          </w:tcPr>
          <w:p>
            <w:pPr>
              <w:ind w:left="4060"/>
              <w:spacing w:after="0"/>
              <w:rPr>
                <w:sz w:val="20"/>
                <w:szCs w:val="20"/>
                <w:color w:val="auto"/>
              </w:rPr>
            </w:pPr>
            <w:r>
              <w:rPr>
                <w:rFonts w:ascii="Arial" w:cs="Arial" w:eastAsia="Arial" w:hAnsi="Arial"/>
                <w:sz w:val="18"/>
                <w:szCs w:val="18"/>
                <w:color w:val="auto"/>
              </w:rPr>
              <w:t>21</w:t>
            </w:r>
          </w:p>
        </w:tc>
      </w:tr>
      <w:tr>
        <w:trPr>
          <w:trHeight w:val="118"/>
        </w:trPr>
        <w:tc>
          <w:tcPr>
            <w:tcW w:w="1560" w:type="dxa"/>
            <w:vAlign w:val="bottom"/>
            <w:tcBorders>
              <w:bottom w:val="single" w:sz="8" w:color="808080"/>
            </w:tcBorders>
          </w:tcPr>
          <w:p>
            <w:pPr>
              <w:spacing w:after="0"/>
              <w:rPr>
                <w:sz w:val="10"/>
                <w:szCs w:val="10"/>
                <w:color w:val="auto"/>
              </w:rPr>
            </w:pPr>
          </w:p>
        </w:tc>
        <w:tc>
          <w:tcPr>
            <w:tcW w:w="98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80" w:type="dxa"/>
            <w:vAlign w:val="bottom"/>
          </w:tcPr>
          <w:p>
            <w:pPr>
              <w:spacing w:after="0"/>
              <w:rPr>
                <w:sz w:val="20"/>
                <w:szCs w:val="20"/>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TRANSACT TECHNOLOGIES INCORPORATED</w:t>
            </w:r>
          </w:p>
        </w:tc>
      </w:tr>
      <w:tr>
        <w:trPr>
          <w:trHeight w:val="230"/>
        </w:trPr>
        <w:tc>
          <w:tcPr>
            <w:tcW w:w="55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(Registrant)</w:t>
            </w:r>
          </w:p>
        </w:tc>
      </w:tr>
      <w:tr>
        <w:trPr>
          <w:trHeight w:val="641"/>
        </w:trPr>
        <w:tc>
          <w:tcPr>
            <w:tcW w:w="5580" w:type="dxa"/>
            <w:vAlign w:val="bottom"/>
          </w:tcPr>
          <w:p>
            <w:pPr>
              <w:spacing w:after="0"/>
              <w:rPr>
                <w:sz w:val="24"/>
                <w:szCs w:val="24"/>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 DeMartino</w:t>
            </w: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August 7, 2014</w:t>
            </w:r>
          </w:p>
        </w:tc>
        <w:tc>
          <w:tcPr>
            <w:tcW w:w="5840" w:type="dxa"/>
            <w:vAlign w:val="bottom"/>
          </w:tcPr>
          <w:p>
            <w:pPr>
              <w:spacing w:after="0" w:line="201" w:lineRule="exact"/>
              <w:rPr>
                <w:sz w:val="20"/>
                <w:szCs w:val="20"/>
                <w:color w:val="auto"/>
              </w:rPr>
            </w:pPr>
            <w:r>
              <w:rPr>
                <w:rFonts w:ascii="Arial" w:cs="Arial" w:eastAsia="Arial" w:hAnsi="Arial"/>
                <w:sz w:val="18"/>
                <w:szCs w:val="18"/>
                <w:color w:val="auto"/>
              </w:rPr>
              <w:t>Steven A. DeMartino</w:t>
            </w:r>
          </w:p>
        </w:tc>
      </w:tr>
      <w:tr>
        <w:trPr>
          <w:trHeight w:val="216"/>
        </w:trPr>
        <w:tc>
          <w:tcPr>
            <w:tcW w:w="55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President, Chief Financial Officer, Treasurer and Secretary</w:t>
            </w:r>
          </w:p>
        </w:tc>
      </w:tr>
      <w:tr>
        <w:trPr>
          <w:trHeight w:val="230"/>
        </w:trPr>
        <w:tc>
          <w:tcPr>
            <w:tcW w:w="55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8740" w:type="dxa"/>
            <w:vAlign w:val="bottom"/>
          </w:tcPr>
          <w:p>
            <w:pPr>
              <w:ind w:left="4200"/>
              <w:spacing w:after="0"/>
              <w:rPr>
                <w:sz w:val="20"/>
                <w:szCs w:val="20"/>
                <w:color w:val="auto"/>
              </w:rPr>
            </w:pPr>
            <w:r>
              <w:rPr>
                <w:rFonts w:ascii="Arial" w:cs="Arial" w:eastAsia="Arial" w:hAnsi="Arial"/>
                <w:sz w:val="18"/>
                <w:szCs w:val="18"/>
                <w:color w:val="auto"/>
              </w:rPr>
              <w:t>EXHIBIT LIST</w:t>
            </w:r>
          </w:p>
        </w:tc>
      </w:tr>
      <w:tr>
        <w:trPr>
          <w:trHeight w:val="459"/>
        </w:trPr>
        <w:tc>
          <w:tcPr>
            <w:tcW w:w="9680" w:type="dxa"/>
            <w:vAlign w:val="bottom"/>
            <w:gridSpan w:val="2"/>
          </w:tcPr>
          <w:p>
            <w:pPr>
              <w:spacing w:after="0"/>
              <w:rPr>
                <w:sz w:val="20"/>
                <w:szCs w:val="20"/>
                <w:color w:val="auto"/>
              </w:rPr>
            </w:pPr>
            <w:r>
              <w:rPr>
                <w:rFonts w:ascii="Arial" w:cs="Arial" w:eastAsia="Arial" w:hAnsi="Arial"/>
                <w:sz w:val="18"/>
                <w:szCs w:val="18"/>
                <w:color w:val="auto"/>
              </w:rPr>
              <w:t>The following exhibits are filed herewith.</w:t>
            </w:r>
          </w:p>
        </w:tc>
      </w:tr>
      <w:tr>
        <w:trPr>
          <w:trHeight w:val="466"/>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87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8740" w:type="dxa"/>
            <w:vAlign w:val="bottom"/>
          </w:tcPr>
          <w:p>
            <w:pPr>
              <w:ind w:left="1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8740" w:type="dxa"/>
            <w:vAlign w:val="bottom"/>
          </w:tcPr>
          <w:p>
            <w:pPr>
              <w:ind w:left="1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8740" w:type="dxa"/>
            <w:vAlign w:val="bottom"/>
          </w:tcPr>
          <w:p>
            <w:pPr>
              <w:ind w:left="10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8740" w:type="dxa"/>
            <w:vAlign w:val="bottom"/>
          </w:tcPr>
          <w:p>
            <w:pPr>
              <w:ind w:left="10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874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23" w:name="page24"/>
    <w:bookmarkEnd w:id="2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252" w:lineRule="exact"/>
        <w:rPr>
          <w:sz w:val="20"/>
          <w:szCs w:val="20"/>
          <w:color w:val="auto"/>
        </w:rPr>
      </w:pPr>
    </w:p>
    <w:p>
      <w:pPr>
        <w:ind w:left="660" w:hanging="22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August 7,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61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252" w:lineRule="exact"/>
        <w:rPr>
          <w:sz w:val="20"/>
          <w:szCs w:val="20"/>
          <w:color w:val="auto"/>
        </w:rPr>
      </w:pPr>
    </w:p>
    <w:p>
      <w:pPr>
        <w:ind w:left="660" w:hanging="2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61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TransAct Technologies Incorporated (the “Company”) on Form 10-Q for the period ending June 30, 2014, as filed with the Securities and Exchange Commission on the date hereof (the “Report”), I, Bart C. Shuldman, Chairman and Chief Executive Officer of the Company, certify, pursuant to 18 U.S.C. § 1350, as adopted pursuant to § 906 of the Sarbanes-Oxley Act of 2002, that to the best of my knowledge:</w:t>
      </w:r>
    </w:p>
    <w:p>
      <w:pPr>
        <w:spacing w:after="0" w:line="193" w:lineRule="exact"/>
        <w:rPr>
          <w:sz w:val="20"/>
          <w:szCs w:val="20"/>
          <w:color w:val="auto"/>
        </w:rPr>
      </w:pPr>
    </w:p>
    <w:p>
      <w:pPr>
        <w:ind w:left="820" w:hanging="30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61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TransAct Technologies Incorporated (the “Company”) on Form 10-Q for the period ending June 30, 2014, as filed with the Securities and Exchange Commission on the date hereof (the “Report”), I, Steven A. DeMartino, President, Chief Financial Officer, Treasurer and Secretary of the Company, certify, pursuant to 18 U.S.C. § 1350, as adopted pursuant to § 906 of the Sarbanes-Oxley Act of 2002, that to the best of my knowledge:</w:t>
      </w:r>
    </w:p>
    <w:p>
      <w:pPr>
        <w:spacing w:after="0" w:line="214" w:lineRule="exact"/>
        <w:rPr>
          <w:sz w:val="20"/>
          <w:szCs w:val="20"/>
          <w:color w:val="auto"/>
        </w:rPr>
      </w:pPr>
    </w:p>
    <w:p>
      <w:pPr>
        <w:ind w:left="820" w:hanging="30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0200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020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420"/>
      </w:cols>
      <w:pgMar w:left="240" w:top="6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2019-12-06T14:52:51Z</dcterms:created>
  <dcterms:modified xsi:type="dcterms:W3CDTF">2019-12-06T14:52:51Z</dcterms:modified>
</cp:coreProperties>
</file>