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252" w:lineRule="exact"/>
        <w:rPr>
          <w:sz w:val="24"/>
          <w:szCs w:val="24"/>
          <w:color w:val="auto"/>
        </w:rPr>
      </w:pPr>
    </w:p>
    <w:p>
      <w:pPr>
        <w:ind w:left="660"/>
        <w:spacing w:after="0"/>
        <w:tabs>
          <w:tab w:leader="none" w:pos="3900" w:val="left"/>
          <w:tab w:leader="none" w:pos="4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5715</wp:posOffset>
            </wp:positionV>
            <wp:extent cx="369633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963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880" w:type="dxa"/>
            <w:vAlign w:val="bottom"/>
            <w:gridSpan w:val="4"/>
          </w:tcPr>
          <w:p>
            <w:pPr>
              <w:jc w:val="right"/>
              <w:ind w:right="2250"/>
              <w:spacing w:after="0"/>
              <w:rPr>
                <w:sz w:val="20"/>
                <w:szCs w:val="20"/>
                <w:color w:val="auto"/>
              </w:rPr>
            </w:pPr>
            <w:r>
              <w:rPr>
                <w:rFonts w:ascii="Arial" w:cs="Arial" w:eastAsia="Arial" w:hAnsi="Arial"/>
                <w:sz w:val="18"/>
                <w:szCs w:val="18"/>
                <w:b w:val="1"/>
                <w:bCs w:val="1"/>
                <w:color w:val="auto"/>
              </w:rPr>
              <w:t>06-1456680</w:t>
            </w:r>
          </w:p>
        </w:tc>
      </w:tr>
      <w:tr>
        <w:trPr>
          <w:trHeight w:val="224"/>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60" w:type="dxa"/>
            <w:vAlign w:val="bottom"/>
            <w:tcBorders>
              <w:top w:val="single" w:sz="8" w:color="auto"/>
            </w:tcBorders>
          </w:tcPr>
          <w:p>
            <w:pPr>
              <w:jc w:val="right"/>
              <w:ind w:right="1370"/>
              <w:spacing w:after="0"/>
              <w:rPr>
                <w:sz w:val="20"/>
                <w:szCs w:val="20"/>
                <w:color w:val="auto"/>
              </w:rPr>
            </w:pPr>
            <w:r>
              <w:rPr>
                <w:rFonts w:ascii="Arial" w:cs="Arial" w:eastAsia="Arial" w:hAnsi="Arial"/>
                <w:sz w:val="18"/>
                <w:szCs w:val="18"/>
                <w:color w:val="auto"/>
              </w:rPr>
              <w:t>(I.R.S. Employer Identification No.)</w:t>
            </w:r>
          </w:p>
        </w:tc>
      </w:tr>
      <w:tr>
        <w:trPr>
          <w:trHeight w:val="445"/>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One Hamden Center, 2319 Whitney Avenue, Suite 3B, Hamden, CT</w:t>
            </w:r>
          </w:p>
        </w:tc>
        <w:tc>
          <w:tcPr>
            <w:tcW w:w="5880" w:type="dxa"/>
            <w:vAlign w:val="bottom"/>
            <w:gridSpan w:val="4"/>
          </w:tcPr>
          <w:p>
            <w:pPr>
              <w:jc w:val="right"/>
              <w:ind w:right="2410"/>
              <w:spacing w:after="0"/>
              <w:rPr>
                <w:sz w:val="20"/>
                <w:szCs w:val="20"/>
                <w:color w:val="auto"/>
              </w:rPr>
            </w:pPr>
            <w:r>
              <w:rPr>
                <w:rFonts w:ascii="Arial" w:cs="Arial" w:eastAsia="Arial" w:hAnsi="Arial"/>
                <w:sz w:val="18"/>
                <w:szCs w:val="18"/>
                <w:b w:val="1"/>
                <w:bCs w:val="1"/>
                <w:color w:val="auto"/>
              </w:rPr>
              <w:t>06518</w:t>
            </w:r>
          </w:p>
        </w:tc>
      </w:tr>
      <w:tr>
        <w:trPr>
          <w:trHeight w:val="224"/>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60" w:type="dxa"/>
            <w:vAlign w:val="bottom"/>
            <w:tcBorders>
              <w:top w:val="single" w:sz="8" w:color="auto"/>
            </w:tcBorders>
          </w:tcPr>
          <w:p>
            <w:pPr>
              <w:jc w:val="right"/>
              <w:ind w:right="2250"/>
              <w:spacing w:after="0"/>
              <w:rPr>
                <w:sz w:val="20"/>
                <w:szCs w:val="20"/>
                <w:color w:val="auto"/>
              </w:rPr>
            </w:pPr>
            <w:r>
              <w:rPr>
                <w:rFonts w:ascii="Arial" w:cs="Arial" w:eastAsia="Arial" w:hAnsi="Arial"/>
                <w:sz w:val="18"/>
                <w:szCs w:val="18"/>
                <w:color w:val="auto"/>
              </w:rPr>
              <w:t>(Zip Code)</w:t>
            </w:r>
          </w:p>
        </w:tc>
      </w:tr>
    </w:tbl>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(203) 859-6800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49" w:right="239" w:bottom="1440" w:gutter="0" w:footer="0" w:header="0"/>
        </w:sectPr>
      </w:pPr>
    </w:p>
    <w:p>
      <w:pPr>
        <w:spacing w:after="0" w:line="216" w:lineRule="exact"/>
        <w:rPr>
          <w:sz w:val="20"/>
          <w:szCs w:val="20"/>
          <w:color w:val="auto"/>
        </w:rPr>
      </w:pPr>
      <w:r>
        <w:rPr>
          <w:rFonts w:ascii="Arial" w:cs="Arial" w:eastAsia="Arial" w:hAnsi="Arial"/>
          <w:sz w:val="18"/>
          <w:szCs w:val="18"/>
          <w:color w:val="auto"/>
        </w:rPr>
        <w:t xml:space="preserve">Large accelerated filer o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o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65" w:lineRule="exact"/>
        <w:rPr>
          <w:sz w:val="24"/>
          <w:szCs w:val="24"/>
          <w:color w:val="auto"/>
        </w:rPr>
      </w:pPr>
    </w:p>
    <w:p>
      <w:pPr>
        <w:sectPr>
          <w:pgSz w:w="11900" w:h="16838" w:orient="portrait"/>
          <w:cols w:equalWidth="0" w:num="2">
            <w:col w:w="8500" w:space="100"/>
            <w:col w:w="2820"/>
          </w:cols>
          <w:pgMar w:left="240" w:top="449"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  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9" w:lineRule="exact"/>
        <w:rPr>
          <w:sz w:val="24"/>
          <w:szCs w:val="24"/>
          <w:color w:val="auto"/>
        </w:rPr>
      </w:pPr>
    </w:p>
    <w:p>
      <w:pPr>
        <w:sectPr>
          <w:pgSz w:w="11900" w:h="16838" w:orient="portrait"/>
          <w:cols w:equalWidth="0" w:num="3">
            <w:col w:w="8500" w:space="120"/>
            <w:col w:w="460" w:space="120"/>
            <w:col w:w="2220"/>
          </w:cols>
          <w:pgMar w:left="240" w:top="449"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As of July 31, 2013, the number of shares outstanding of the Company’s common stock, $0.01 par value, was 8,691,205.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80" w:type="dxa"/>
            <w:vAlign w:val="bottom"/>
            <w:gridSpan w:val="11"/>
          </w:tcPr>
          <w:p>
            <w:pPr>
              <w:jc w:val="center"/>
              <w:ind w:right="2860"/>
              <w:spacing w:after="0"/>
              <w:rPr>
                <w:sz w:val="20"/>
                <w:szCs w:val="20"/>
                <w:color w:val="auto"/>
              </w:rPr>
            </w:pPr>
            <w:r>
              <w:rPr>
                <w:rFonts w:ascii="Arial" w:cs="Arial" w:eastAsia="Arial" w:hAnsi="Arial"/>
                <w:sz w:val="18"/>
                <w:szCs w:val="18"/>
                <w:b w:val="1"/>
                <w:bCs w:val="1"/>
                <w:color w:val="auto"/>
              </w:rPr>
              <w:t>TRANSACT TECHNOLOGIES INCORPORATED</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5"/>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2860" w:type="dxa"/>
            <w:vAlign w:val="bottom"/>
            <w:gridSpan w:val="4"/>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gridSpan w:val="2"/>
          </w:tcPr>
          <w:p>
            <w:pPr>
              <w:spacing w:after="0"/>
              <w:rPr>
                <w:sz w:val="24"/>
                <w:szCs w:val="24"/>
                <w:color w:val="auto"/>
              </w:rPr>
            </w:pPr>
          </w:p>
        </w:tc>
        <w:tc>
          <w:tcPr>
            <w:tcW w:w="4580" w:type="dxa"/>
            <w:vAlign w:val="bottom"/>
            <w:gridSpan w:val="7"/>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80" w:type="dxa"/>
            <w:vAlign w:val="bottom"/>
          </w:tcPr>
          <w:p>
            <w:pPr>
              <w:spacing w:after="0"/>
              <w:rPr>
                <w:sz w:val="2"/>
                <w:szCs w:val="2"/>
                <w:color w:val="auto"/>
              </w:rPr>
            </w:pPr>
          </w:p>
        </w:tc>
        <w:tc>
          <w:tcPr>
            <w:tcW w:w="9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10"/>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120" w:type="dxa"/>
            <w:vAlign w:val="bottom"/>
            <w:gridSpan w:val="12"/>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1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2380" w:type="dxa"/>
            <w:vAlign w:val="bottom"/>
            <w:tcBorders>
              <w:bottom w:val="single" w:sz="8" w:color="0000EE"/>
            </w:tcBorders>
            <w:gridSpan w:val="10"/>
            <w:vMerge w:val="continue"/>
          </w:tcPr>
          <w:p>
            <w:pPr>
              <w:spacing w:after="0"/>
              <w:rPr>
                <w:sz w:val="24"/>
                <w:szCs w:val="24"/>
                <w:color w:val="auto"/>
              </w:rPr>
            </w:pPr>
          </w:p>
        </w:tc>
        <w:tc>
          <w:tcPr>
            <w:tcW w:w="7120" w:type="dxa"/>
            <w:vAlign w:val="bottom"/>
            <w:gridSpan w:val="12"/>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1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June 30, 2013 and December 31, 2012</w:t>
              </w:r>
            </w:hyperlink>
          </w:p>
        </w:tc>
        <w:tc>
          <w:tcPr>
            <w:tcW w:w="3360" w:type="dxa"/>
            <w:vAlign w:val="bottom"/>
            <w:gridSpan w:val="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7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for the three and six months ended June 30, 2013 and 2012</w:t>
              </w:r>
            </w:hyperlink>
          </w:p>
        </w:tc>
        <w:tc>
          <w:tcPr>
            <w:tcW w:w="1800" w:type="dxa"/>
            <w:vAlign w:val="bottom"/>
            <w:gridSpan w:val="2"/>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8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Comprehensive Income for the three and six months ended June 30, 2013 and 2012</w:t>
              </w:r>
            </w:hyperlink>
          </w:p>
        </w:tc>
        <w:tc>
          <w:tcPr>
            <w:tcW w:w="6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3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six months ended June 30, 2013 and 2012</w:t>
              </w:r>
            </w:hyperlink>
          </w:p>
        </w:tc>
        <w:tc>
          <w:tcPr>
            <w:tcW w:w="220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50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306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51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sz w:val="20"/>
                <w:szCs w:val="20"/>
                <w:color w:val="auto"/>
              </w:rPr>
            </w:pPr>
            <w:r>
              <w:rPr>
                <w:rFonts w:ascii="Arial" w:cs="Arial" w:eastAsia="Arial" w:hAnsi="Arial"/>
                <w:sz w:val="18"/>
                <w:szCs w:val="18"/>
                <w:color w:val="0000EE"/>
              </w:rPr>
              <w:t>Controls and Procedures</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80" w:type="dxa"/>
            <w:vAlign w:val="bottom"/>
            <w:gridSpan w:val="2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16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950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420" w:type="dxa"/>
            <w:vAlign w:val="bottom"/>
            <w:tcBorders>
              <w:top w:val="single" w:sz="8" w:color="0000EE"/>
            </w:tcBorders>
            <w:gridSpan w:val="4"/>
          </w:tcPr>
          <w:p>
            <w:pPr>
              <w:spacing w:after="0"/>
              <w:rPr>
                <w:sz w:val="24"/>
                <w:szCs w:val="24"/>
                <w:color w:val="auto"/>
              </w:rPr>
            </w:pPr>
          </w:p>
        </w:tc>
        <w:tc>
          <w:tcPr>
            <w:tcW w:w="818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950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5160" w:type="dxa"/>
            <w:vAlign w:val="bottom"/>
            <w:gridSpan w:val="9"/>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950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Other Information</w:t>
              </w:r>
            </w:hyperlink>
          </w:p>
        </w:tc>
        <w:tc>
          <w:tcPr>
            <w:tcW w:w="7740" w:type="dxa"/>
            <w:vAlign w:val="bottom"/>
            <w:gridSpan w:val="1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700" w:type="dxa"/>
            <w:vAlign w:val="bottom"/>
            <w:tcBorders>
              <w:top w:val="single" w:sz="8" w:color="0000EE"/>
            </w:tcBorders>
            <w:gridSpan w:val="4"/>
          </w:tcPr>
          <w:p>
            <w:pPr>
              <w:spacing w:after="0"/>
              <w:rPr>
                <w:sz w:val="24"/>
                <w:szCs w:val="24"/>
                <w:color w:val="auto"/>
              </w:rPr>
            </w:pPr>
          </w:p>
        </w:tc>
        <w:tc>
          <w:tcPr>
            <w:tcW w:w="820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SIGNATURES</w:t>
              </w:r>
            </w:hyperlink>
          </w:p>
        </w:tc>
        <w:tc>
          <w:tcPr>
            <w:tcW w:w="9300" w:type="dxa"/>
            <w:vAlign w:val="bottom"/>
            <w:gridSpan w:val="2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4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0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74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740" w:type="dxa"/>
            <w:vAlign w:val="bottom"/>
            <w:gridSpan w:val="4"/>
          </w:tcPr>
          <w:p>
            <w:pPr>
              <w:jc w:val="center"/>
              <w:ind w:left="1670"/>
              <w:spacing w:after="0"/>
              <w:rPr>
                <w:sz w:val="20"/>
                <w:szCs w:val="20"/>
                <w:color w:val="auto"/>
              </w:rPr>
            </w:pPr>
            <w:r>
              <w:rPr>
                <w:rFonts w:ascii="Arial" w:cs="Arial" w:eastAsia="Arial" w:hAnsi="Arial"/>
                <w:sz w:val="18"/>
                <w:szCs w:val="18"/>
                <w:b w:val="1"/>
                <w:bCs w:val="1"/>
                <w:color w:val="auto"/>
              </w:rPr>
              <w:t>TRANSACT TECHNOLOGIES INCORPORATED</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740" w:type="dxa"/>
            <w:vAlign w:val="bottom"/>
            <w:gridSpan w:val="4"/>
          </w:tcPr>
          <w:p>
            <w:pPr>
              <w:jc w:val="center"/>
              <w:ind w:left="16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740" w:type="dxa"/>
            <w:vAlign w:val="bottom"/>
          </w:tcPr>
          <w:p>
            <w:pPr>
              <w:jc w:val="center"/>
              <w:ind w:left="267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7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840" w:type="dxa"/>
            <w:vAlign w:val="bottom"/>
            <w:gridSpan w:val="4"/>
            <w:shd w:val="clear" w:color="auto" w:fill="CCEEFF"/>
          </w:tcPr>
          <w:p>
            <w:pPr>
              <w:jc w:val="right"/>
              <w:ind w:right="150"/>
              <w:spacing w:after="0" w:line="201" w:lineRule="exact"/>
              <w:rPr>
                <w:sz w:val="20"/>
                <w:szCs w:val="20"/>
                <w:color w:val="auto"/>
              </w:rPr>
            </w:pPr>
            <w:r>
              <w:rPr>
                <w:rFonts w:ascii="Arial" w:cs="Arial" w:eastAsia="Arial" w:hAnsi="Arial"/>
                <w:sz w:val="18"/>
                <w:szCs w:val="18"/>
                <w:i w:val="1"/>
                <w:iCs w:val="1"/>
                <w:color w:val="auto"/>
                <w:w w:val="91"/>
              </w:rPr>
              <w:t>(In thousands, except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574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840" w:type="dxa"/>
            <w:vAlign w:val="bottom"/>
            <w:gridSpan w:val="4"/>
            <w:shd w:val="clear" w:color="auto" w:fill="CCEEFF"/>
          </w:tcPr>
          <w:p>
            <w:pPr>
              <w:jc w:val="right"/>
              <w:ind w:right="510"/>
              <w:spacing w:after="0"/>
              <w:rPr>
                <w:sz w:val="20"/>
                <w:szCs w:val="20"/>
                <w:color w:val="auto"/>
              </w:rPr>
            </w:pPr>
            <w:r>
              <w:rPr>
                <w:rFonts w:ascii="Arial" w:cs="Arial" w:eastAsia="Arial" w:hAnsi="Arial"/>
                <w:sz w:val="18"/>
                <w:szCs w:val="18"/>
                <w:i w:val="1"/>
                <w:iCs w:val="1"/>
                <w:color w:val="auto"/>
              </w:rPr>
              <w:t>share data)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Current assets:</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8,828</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11,640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57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12,787</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8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1,443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ind w:left="80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35,364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Fixed assets, net</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3,105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7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2,621</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0"/>
              </w:rPr>
              <w:t>Deferred tax assets</w:t>
            </w: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1,113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$1,554 and $1,298, respectively</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2,113</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Other assets</w:t>
            </w: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5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Total assets</w:t>
            </w:r>
          </w:p>
        </w:tc>
        <w:tc>
          <w:tcPr>
            <w:tcW w:w="5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44,395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gridSpan w:val="2"/>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7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5,603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2,391</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8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Accrued contingent consideration (Note 4)</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230</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ind w:left="4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right w:val="single" w:sz="8" w:color="CCEEFF"/>
            </w:tcBorders>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8,542</w:t>
            </w:r>
          </w:p>
        </w:tc>
        <w:tc>
          <w:tcPr>
            <w:tcW w:w="100" w:type="dxa"/>
            <w:vAlign w:val="bottom"/>
            <w:tcBorders>
              <w:right w:val="single" w:sz="8" w:color="CCEEFF"/>
            </w:tcBorders>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166</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Deferred rent, net of current portion</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contingent consideration, net of current portion (Note 4)</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530</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Other liabilities</w:t>
            </w: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5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9,899</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gridSpan w:val="2"/>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8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w w:val="91"/>
              </w:rPr>
              <w:t>Common stock, $0.01 par value, 20,000,000 shares authorized; 10,988,080 and 10,903,077</w:t>
            </w:r>
          </w:p>
        </w:tc>
        <w:tc>
          <w:tcPr>
            <w:tcW w:w="100" w:type="dxa"/>
            <w:vAlign w:val="bottom"/>
            <w:tcBorders>
              <w:righ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shares issued, respectively; 8,691,205 and 8,720,200 shares</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outstanding, respectively</w:t>
            </w:r>
          </w:p>
        </w:tc>
        <w:tc>
          <w:tcPr>
            <w:tcW w:w="100" w:type="dxa"/>
            <w:vAlign w:val="bottom"/>
            <w:tcBorders>
              <w:right w:val="single" w:sz="8" w:color="CCEEFF"/>
            </w:tcBorders>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26,732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25,956</w:t>
            </w:r>
          </w:p>
        </w:tc>
        <w:tc>
          <w:tcPr>
            <w:tcW w:w="10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Treasury stock, at cost, 2,297,038 and 2,182,877 shares, respectively</w:t>
            </w: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(18,220)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ind w:left="80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44,395</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5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gridSpan w:val="12"/>
          </w:tcPr>
          <w:p>
            <w:pPr>
              <w:jc w:val="center"/>
              <w:ind w:left="3150"/>
              <w:spacing w:after="0"/>
              <w:rPr>
                <w:sz w:val="20"/>
                <w:szCs w:val="20"/>
                <w:color w:val="auto"/>
              </w:rPr>
            </w:pPr>
            <w:r>
              <w:rPr>
                <w:rFonts w:ascii="Arial" w:cs="Arial" w:eastAsia="Arial" w:hAnsi="Arial"/>
                <w:sz w:val="18"/>
                <w:szCs w:val="18"/>
                <w:b w:val="1"/>
                <w:bCs w:val="1"/>
                <w:color w:val="auto"/>
              </w:rPr>
              <w:t>TRANSACT TECHNOLOGIES INCORPORATED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gridSpan w:val="14"/>
          </w:tcPr>
          <w:p>
            <w:pPr>
              <w:jc w:val="center"/>
              <w:ind w:left="2850"/>
              <w:spacing w:after="0"/>
              <w:rPr>
                <w:sz w:val="20"/>
                <w:szCs w:val="20"/>
                <w:color w:val="auto"/>
              </w:rPr>
            </w:pPr>
            <w:r>
              <w:rPr>
                <w:rFonts w:ascii="Arial" w:cs="Arial" w:eastAsia="Arial" w:hAnsi="Arial"/>
                <w:sz w:val="18"/>
                <w:szCs w:val="18"/>
                <w:b w:val="1"/>
                <w:bCs w:val="1"/>
                <w:color w:val="auto"/>
                <w:w w:val="99"/>
              </w:rPr>
              <w:t>CONDENSED CONSOLIDATED STATEMENTS OF INCOME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1"/>
              </w:rPr>
              <w:t>(unaudited)</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6"/>
          </w:tcPr>
          <w:p>
            <w:pPr>
              <w:ind w:left="1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2012</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ind w:left="500"/>
              <w:spacing w:after="0"/>
              <w:rPr>
                <w:sz w:val="20"/>
                <w:szCs w:val="20"/>
                <w:color w:val="auto"/>
              </w:rPr>
            </w:pPr>
            <w:r>
              <w:rPr>
                <w:rFonts w:ascii="Arial" w:cs="Arial" w:eastAsia="Arial" w:hAnsi="Arial"/>
                <w:sz w:val="18"/>
                <w:szCs w:val="18"/>
                <w:i w:val="1"/>
                <w:iCs w:val="1"/>
                <w:color w:val="auto"/>
              </w:rPr>
              <w:t>(In</w:t>
            </w:r>
          </w:p>
        </w:tc>
        <w:tc>
          <w:tcPr>
            <w:tcW w:w="80" w:type="dxa"/>
            <w:vAlign w:val="bottom"/>
          </w:tcPr>
          <w:p>
            <w:pPr>
              <w:spacing w:after="0"/>
              <w:rPr>
                <w:sz w:val="20"/>
                <w:szCs w:val="20"/>
                <w:color w:val="auto"/>
              </w:rPr>
            </w:pPr>
          </w:p>
        </w:tc>
        <w:tc>
          <w:tcPr>
            <w:tcW w:w="2380" w:type="dxa"/>
            <w:vAlign w:val="bottom"/>
            <w:gridSpan w:val="10"/>
          </w:tcPr>
          <w:p>
            <w:pPr>
              <w:spacing w:after="0"/>
              <w:rPr>
                <w:sz w:val="20"/>
                <w:szCs w:val="20"/>
                <w:color w:val="auto"/>
              </w:rPr>
            </w:pPr>
            <w:r>
              <w:rPr>
                <w:rFonts w:ascii="Arial" w:cs="Arial" w:eastAsia="Arial" w:hAnsi="Arial"/>
                <w:sz w:val="18"/>
                <w:szCs w:val="18"/>
                <w:i w:val="1"/>
                <w:iCs w:val="1"/>
                <w:color w:val="auto"/>
                <w:w w:val="86"/>
              </w:rPr>
              <w:t>thousands, except per share data)</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15,788</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15,853</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30,845</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10,011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17,960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20,792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5,842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12,885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Engineering, design and product development</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3,643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Legal fees associated with lawsuit (Note 9)</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consolidation and restructuring (Note 8)</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4,645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9,676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9,931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Interest, net</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1,803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866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1,215</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508</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2,375</w:t>
            </w:r>
          </w:p>
        </w:tc>
        <w:tc>
          <w:tcPr>
            <w:tcW w:w="30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0.14</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0.27</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0.14</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0.27</w:t>
            </w:r>
          </w:p>
        </w:tc>
        <w:tc>
          <w:tcPr>
            <w:tcW w:w="30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Shares used in per-share calculation:</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4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3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8,802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9,189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8,803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Dividends declared and paid per common share: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0.07</w:t>
            </w:r>
          </w:p>
        </w:tc>
        <w:tc>
          <w:tcPr>
            <w:tcW w:w="3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0.13</w:t>
            </w:r>
          </w:p>
        </w:tc>
        <w:tc>
          <w:tcPr>
            <w:tcW w:w="300" w:type="dxa"/>
            <w:vAlign w:val="bottom"/>
            <w:gridSpan w:val="2"/>
          </w:tcPr>
          <w:p>
            <w:pPr>
              <w:jc w:val="right"/>
              <w:ind w:right="22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4" w:name="page5"/>
    <w:bookmarkEnd w:id="4"/>
    <w:p>
      <w:pPr>
        <w:jc w:val="center"/>
        <w:ind w:left="2520" w:right="120"/>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6"/>
          </w:tcPr>
          <w:p>
            <w:pPr>
              <w:ind w:left="1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w w:val="88"/>
              </w:rPr>
              <w:t>June 30,</w:t>
            </w:r>
          </w:p>
        </w:tc>
        <w:tc>
          <w:tcPr>
            <w:tcW w:w="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2012</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4"/>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6"/>
          </w:tcPr>
          <w:p>
            <w:pPr>
              <w:ind w:left="14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1,215</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2,375</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1,216</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2,348</w:t>
            </w:r>
          </w:p>
        </w:tc>
        <w:tc>
          <w:tcPr>
            <w:tcW w:w="3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80" w:type="dxa"/>
            <w:vAlign w:val="bottom"/>
            <w:gridSpan w:val="5"/>
          </w:tcPr>
          <w:p>
            <w:pPr>
              <w:jc w:val="center"/>
              <w:ind w:left="3110"/>
              <w:spacing w:after="0"/>
              <w:rPr>
                <w:sz w:val="20"/>
                <w:szCs w:val="20"/>
                <w:color w:val="auto"/>
              </w:rPr>
            </w:pPr>
            <w:r>
              <w:rPr>
                <w:rFonts w:ascii="Arial" w:cs="Arial" w:eastAsia="Arial" w:hAnsi="Arial"/>
                <w:sz w:val="18"/>
                <w:szCs w:val="18"/>
                <w:b w:val="1"/>
                <w:bCs w:val="1"/>
                <w:color w:val="auto"/>
              </w:rPr>
              <w:t>TRANSACT TECHNOLOGIES INCORPORATED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7"/>
          </w:tcPr>
          <w:p>
            <w:pPr>
              <w:jc w:val="center"/>
              <w:ind w:left="285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80" w:type="dxa"/>
            <w:vAlign w:val="bottom"/>
          </w:tcPr>
          <w:p>
            <w:pPr>
              <w:jc w:val="center"/>
              <w:ind w:left="411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6"/>
          </w:tcPr>
          <w:p>
            <w:pPr>
              <w:ind w:left="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6"/>
          </w:tcPr>
          <w:p>
            <w:pPr>
              <w:ind w:left="22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2,375</w:t>
            </w:r>
          </w:p>
        </w:tc>
        <w:tc>
          <w:tcPr>
            <w:tcW w:w="280" w:type="dxa"/>
            <w:vAlign w:val="bottom"/>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960"/>
              <w:spacing w:after="0"/>
              <w:rPr>
                <w:sz w:val="20"/>
                <w:szCs w:val="20"/>
                <w:color w:val="auto"/>
              </w:rPr>
            </w:pPr>
            <w:r>
              <w:rPr>
                <w:rFonts w:ascii="Arial" w:cs="Arial" w:eastAsia="Arial" w:hAnsi="Arial"/>
                <w:sz w:val="18"/>
                <w:szCs w:val="18"/>
                <w:color w:val="auto"/>
              </w:rPr>
              <w:t>Share-based compensation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Incremental tax benefits from stock options exercised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9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Loss on sale of fixed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960"/>
              <w:spacing w:after="0"/>
              <w:rPr>
                <w:sz w:val="20"/>
                <w:szCs w:val="20"/>
                <w:color w:val="auto"/>
              </w:rPr>
            </w:pPr>
            <w:r>
              <w:rPr>
                <w:rFonts w:ascii="Arial" w:cs="Arial" w:eastAsia="Arial" w:hAnsi="Arial"/>
                <w:sz w:val="18"/>
                <w:szCs w:val="18"/>
                <w:color w:val="auto"/>
              </w:rPr>
              <w:t>Foreign currency transaction (gains) losses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4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4,277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440"/>
              <w:spacing w:after="0"/>
              <w:rPr>
                <w:sz w:val="20"/>
                <w:szCs w:val="20"/>
                <w:color w:val="auto"/>
              </w:rPr>
            </w:pPr>
            <w:r>
              <w:rPr>
                <w:rFonts w:ascii="Arial" w:cs="Arial" w:eastAsia="Arial" w:hAnsi="Arial"/>
                <w:sz w:val="18"/>
                <w:szCs w:val="18"/>
                <w:color w:val="auto"/>
              </w:rPr>
              <w:t>Prepaid income taxes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current and long term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3,307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320"/>
              <w:spacing w:after="0"/>
              <w:rPr>
                <w:sz w:val="20"/>
                <w:szCs w:val="20"/>
                <w:color w:val="auto"/>
              </w:rPr>
            </w:pPr>
            <w:r>
              <w:rPr>
                <w:rFonts w:ascii="Arial" w:cs="Arial" w:eastAsia="Arial" w:hAnsi="Arial"/>
                <w:sz w:val="18"/>
                <w:szCs w:val="18"/>
                <w:color w:val="auto"/>
              </w:rPr>
              <w:t>Additions to capitalized software</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(468)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Proceeds from stock option exercises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Payment of dividends on common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Incremental tax benefits from stock options exercised</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Increase in cash and cash equivalents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1,291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8,828</w:t>
            </w:r>
          </w:p>
        </w:tc>
        <w:tc>
          <w:tcPr>
            <w:tcW w:w="280" w:type="dxa"/>
            <w:vAlign w:val="bottom"/>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and are of a normal recurring nature. The December 31, 2012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2012 included in our Annual Report on Form 10-K.</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foreign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in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operations for the three and six months ended June 30, 2013 are not necessarily indicative of the results to be expected for the full year.</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2. Inventories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12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vMerge w:val="restart"/>
          </w:tcPr>
          <w:p>
            <w:pPr>
              <w:jc w:val="center"/>
              <w:ind w:right="195"/>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ind w:left="360"/>
              <w:spacing w:after="0"/>
              <w:rPr>
                <w:sz w:val="20"/>
                <w:szCs w:val="20"/>
                <w:color w:val="auto"/>
              </w:rPr>
            </w:pPr>
            <w:r>
              <w:rPr>
                <w:rFonts w:ascii="Arial" w:cs="Arial" w:eastAsia="Arial" w:hAnsi="Arial"/>
                <w:sz w:val="18"/>
                <w:szCs w:val="18"/>
                <w:i w:val="1"/>
                <w:iCs w:val="1"/>
                <w:color w:val="auto"/>
              </w:rPr>
              <w:t>(In</w:t>
            </w:r>
          </w:p>
        </w:tc>
        <w:tc>
          <w:tcPr>
            <w:tcW w:w="1100" w:type="dxa"/>
            <w:vAlign w:val="bottom"/>
            <w:gridSpan w:val="3"/>
          </w:tcPr>
          <w:p>
            <w:pPr>
              <w:jc w:val="right"/>
              <w:ind w:right="390"/>
              <w:spacing w:after="0"/>
              <w:rPr>
                <w:sz w:val="20"/>
                <w:szCs w:val="20"/>
                <w:color w:val="auto"/>
              </w:rPr>
            </w:pPr>
            <w:r>
              <w:rPr>
                <w:rFonts w:ascii="Arial" w:cs="Arial" w:eastAsia="Arial" w:hAnsi="Arial"/>
                <w:sz w:val="17"/>
                <w:szCs w:val="17"/>
                <w:i w:val="1"/>
                <w:iCs w:val="1"/>
                <w:color w:val="auto"/>
                <w:w w:val="71"/>
              </w:rPr>
              <w:t>thousands)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9,055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18"/>
                <w:szCs w:val="18"/>
                <w:color w:val="auto"/>
              </w:rPr>
            </w:pPr>
          </w:p>
        </w:tc>
        <w:tc>
          <w:tcPr>
            <w:tcW w:w="960" w:type="dxa"/>
            <w:vAlign w:val="bottom"/>
            <w:gridSpan w:val="2"/>
          </w:tcPr>
          <w:p>
            <w:pPr>
              <w:jc w:val="right"/>
              <w:ind w:right="75"/>
              <w:spacing w:after="0"/>
              <w:rPr>
                <w:sz w:val="20"/>
                <w:szCs w:val="20"/>
                <w:color w:val="auto"/>
              </w:rPr>
            </w:pPr>
            <w:r>
              <w:rPr>
                <w:rFonts w:ascii="Arial" w:cs="Arial" w:eastAsia="Arial" w:hAnsi="Arial"/>
                <w:sz w:val="18"/>
                <w:szCs w:val="18"/>
                <w:b w:val="1"/>
                <w:bCs w:val="1"/>
                <w:color w:val="auto"/>
              </w:rPr>
              <w:t>3,732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12,787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recorded in the accrued product warranty liability during the six months ended June 30, 2013: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(In</w:t>
            </w: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30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thousands)</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Accruals for warranties issued during the period</w:t>
            </w:r>
          </w:p>
        </w:tc>
        <w:tc>
          <w:tcPr>
            <w:tcW w:w="2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w:t>
            </w:r>
          </w:p>
        </w:tc>
        <w:tc>
          <w:tcPr>
            <w:tcW w:w="2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2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 w:type="dxa"/>
            <w:vAlign w:val="bottom"/>
          </w:tcPr>
          <w:p>
            <w:pPr>
              <w:spacing w:after="0"/>
              <w:rPr>
                <w:sz w:val="22"/>
                <w:szCs w:val="22"/>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Approximately $90,000 of the accrued product warranty liability is classified as a long-term liability, in Other liabilities, at June 30, 2013 in the Condensed Consolidated Balance Sheets.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contingent consideration</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acquisition of substantially all of the assets of Printrex, Inc. (“Printrex”) on August 19, 2011, we entered into a contingent consideration arrangement for 30% of the gross profit for a three-year period related to certain new products under development, less certain other adjustments, beginning on the earlier of 1) January 1, 2012 or 2) the date of first commercial introduction of the new products under development. The undiscounted fair value related to the contingent liability could range from approximately $200,000 to $1,600,000. The fair value of the contingent consideration arrangement was $760,000 and $960,000 at June 30, 2013 and December 31, 2012, respectively, which was estimated by applying the income approach. That measure is based on significant inputs that are not observable in the market, which fair value measurement guidance refers to as Level 3 inputs. During the second quarter of 2013, the fair value of the contingent consideration decreased by $200,000 and this credit is included in general and administrative expenses on the Condensed Consolidated Statements of Income. No payments were made under the arrangement during the six months ended June 30, 2013 as the underlying conditions of the contingent consideration arrangement were not satisfied. Refer to Note 3, Business acquisitions, to the Company’s Consolidated Financial Statements included in the Company’s 2012 Annual Report on Form 10-K for the year ended December 31, 2012 for additional information regarding this contingent consideration arrangement.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4"/>
          </w:tcPr>
          <w:p>
            <w:pPr>
              <w:jc w:val="center"/>
              <w:ind w:left="410"/>
              <w:spacing w:after="0"/>
              <w:rPr>
                <w:sz w:val="20"/>
                <w:szCs w:val="20"/>
                <w:color w:val="auto"/>
              </w:rPr>
            </w:pPr>
            <w:r>
              <w:rPr>
                <w:rFonts w:ascii="Arial" w:cs="Arial" w:eastAsia="Arial" w:hAnsi="Arial"/>
                <w:sz w:val="18"/>
                <w:szCs w:val="18"/>
                <w:b w:val="1"/>
                <w:bCs w:val="1"/>
                <w:color w:val="auto"/>
                <w:w w:val="88"/>
              </w:rPr>
              <w:t>June 30,</w:t>
            </w:r>
          </w:p>
        </w:tc>
        <w:tc>
          <w:tcPr>
            <w:tcW w:w="7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4"/>
              </w:rPr>
              <w:t>2012</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89"/>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(In</w:t>
            </w:r>
          </w:p>
        </w:tc>
        <w:tc>
          <w:tcPr>
            <w:tcW w:w="80" w:type="dxa"/>
            <w:vAlign w:val="bottom"/>
          </w:tcPr>
          <w:p>
            <w:pPr>
              <w:spacing w:after="0"/>
              <w:rPr>
                <w:sz w:val="20"/>
                <w:szCs w:val="20"/>
                <w:color w:val="auto"/>
              </w:rPr>
            </w:pPr>
          </w:p>
        </w:tc>
        <w:tc>
          <w:tcPr>
            <w:tcW w:w="2380" w:type="dxa"/>
            <w:vAlign w:val="bottom"/>
            <w:gridSpan w:val="10"/>
          </w:tcPr>
          <w:p>
            <w:pPr>
              <w:spacing w:after="0"/>
              <w:rPr>
                <w:sz w:val="20"/>
                <w:szCs w:val="20"/>
                <w:color w:val="auto"/>
              </w:rPr>
            </w:pPr>
            <w:r>
              <w:rPr>
                <w:rFonts w:ascii="Arial" w:cs="Arial" w:eastAsia="Arial" w:hAnsi="Arial"/>
                <w:sz w:val="18"/>
                <w:szCs w:val="18"/>
                <w:i w:val="1"/>
                <w:iCs w:val="1"/>
                <w:color w:val="auto"/>
                <w:w w:val="86"/>
              </w:rPr>
              <w:t>thousands, except per share data)</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1,215</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2,375</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9,084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Add: Dilutive effect of outstanding options as determined by the</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8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8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treasury stock method</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w w:val="92"/>
              </w:rPr>
              <w:t>Diluted: Weighted average common and common equivalent shares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8,802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8,803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9,189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0.14</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0.27</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ind w:left="480"/>
              <w:spacing w:after="0"/>
              <w:rPr>
                <w:sz w:val="20"/>
                <w:szCs w:val="20"/>
                <w:color w:val="auto"/>
              </w:rPr>
            </w:pPr>
            <w:r>
              <w:rPr>
                <w:rFonts w:ascii="Arial" w:cs="Arial" w:eastAsia="Arial" w:hAnsi="Arial"/>
                <w:sz w:val="18"/>
                <w:szCs w:val="18"/>
                <w:color w:val="auto"/>
              </w:rPr>
              <w:t>Diluted</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0.14</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0.27</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June 30, 2013 and 2012, there were 565,000 and 507,125, respectively, potentially dilutive shares consisting of stock options that were excluded from the calculation of earnings per diluted share. For the six months ended June 30, 2013 and 2012, there were 636,000 and 585,125, respectively, potentially dilutive shares consisting of stock options that were excluded from the calculation of earnings per diluted share.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6. Shareholders’ equity</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60" w:type="dxa"/>
            <w:vAlign w:val="bottom"/>
            <w:gridSpan w:val="2"/>
          </w:tcPr>
          <w:p>
            <w:pPr>
              <w:spacing w:after="0"/>
              <w:rPr>
                <w:sz w:val="20"/>
                <w:szCs w:val="20"/>
                <w:color w:val="auto"/>
              </w:rPr>
            </w:pPr>
            <w:r>
              <w:rPr>
                <w:rFonts w:ascii="Arial" w:cs="Arial" w:eastAsia="Arial" w:hAnsi="Arial"/>
                <w:sz w:val="18"/>
                <w:szCs w:val="18"/>
                <w:color w:val="auto"/>
                <w:w w:val="94"/>
              </w:rPr>
              <w:t>Changes in shareholders’ equity for the six months ended June 30, 2013 were as follows (in thousands):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issuance of shares from exercise of stock options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60"/>
              <w:spacing w:after="0"/>
              <w:rPr>
                <w:sz w:val="20"/>
                <w:szCs w:val="20"/>
                <w:color w:val="auto"/>
              </w:rPr>
            </w:pPr>
            <w:r>
              <w:rPr>
                <w:rFonts w:ascii="Arial" w:cs="Arial" w:eastAsia="Arial" w:hAnsi="Arial"/>
                <w:sz w:val="18"/>
                <w:szCs w:val="18"/>
                <w:color w:val="auto"/>
              </w:rPr>
              <w:t>Share-based compensation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Issuance of deferred stock units, net of relinquishments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60"/>
              <w:spacing w:after="0"/>
              <w:rPr>
                <w:sz w:val="20"/>
                <w:szCs w:val="20"/>
                <w:color w:val="auto"/>
              </w:rPr>
            </w:pPr>
            <w:r>
              <w:rPr>
                <w:rFonts w:ascii="Arial" w:cs="Arial" w:eastAsia="Arial" w:hAnsi="Arial"/>
                <w:sz w:val="18"/>
                <w:szCs w:val="18"/>
                <w:color w:val="auto"/>
              </w:rPr>
              <w:t>Incremental tax benefits from stock options exercised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60"/>
              <w:spacing w:after="0"/>
              <w:rPr>
                <w:sz w:val="20"/>
                <w:szCs w:val="20"/>
                <w:color w:val="auto"/>
              </w:rPr>
            </w:pPr>
            <w:r>
              <w:rPr>
                <w:rFonts w:ascii="Arial" w:cs="Arial" w:eastAsia="Arial" w:hAnsi="Arial"/>
                <w:sz w:val="18"/>
                <w:szCs w:val="18"/>
                <w:color w:val="auto"/>
              </w:rPr>
              <w:t>Reversal of deferred tax asset in connection with stock options forfeited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Purchases of common stock for treasury</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660"/>
              <w:spacing w:after="0"/>
              <w:rPr>
                <w:sz w:val="20"/>
                <w:szCs w:val="20"/>
                <w:color w:val="auto"/>
              </w:rPr>
            </w:pPr>
            <w:r>
              <w:rPr>
                <w:rFonts w:ascii="Arial" w:cs="Arial" w:eastAsia="Arial" w:hAnsi="Arial"/>
                <w:sz w:val="18"/>
                <w:szCs w:val="18"/>
                <w:color w:val="auto"/>
              </w:rPr>
              <w:t>Dividends declared and paid on common stock</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2012 incentive bonus for the chief executive officer and chief financial officer in the form of deferred stock units. Such deferred stock units were granted in March 2013 and were fully vested at the time of grant.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June 30, 2013, our Board of Directors declared a quarterly cash dividend of $0.07 per share, totaling approximately $608,000, which was paid in June 2013 to common shareholders of record at the close of business on May 20, 2013. For the six months ended June 30, 2013, dividends declared and paid totaled $1,127,000, or $0.13 per share.</w:t>
      </w:r>
    </w:p>
    <w:p>
      <w:pPr>
        <w:sectPr>
          <w:pgSz w:w="11900" w:h="16838" w:orient="portrait"/>
          <w:cols w:equalWidth="0" w:num="1">
            <w:col w:w="11420"/>
          </w:cols>
          <w:pgMar w:left="240" w:top="756" w:right="239" w:bottom="0" w:gutter="0" w:footer="0" w:header="0"/>
        </w:sectPr>
      </w:pPr>
    </w:p>
    <w:bookmarkStart w:id="8" w:name="page9"/>
    <w:bookmarkEnd w:id="8"/>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608330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 w:name="page10"/>
    <w:bookmarkEnd w:id="9"/>
    <w:p>
      <w:pPr>
        <w:jc w:val="center"/>
        <w:spacing w:after="0" w:line="266" w:lineRule="auto"/>
        <w:rPr>
          <w:sz w:val="20"/>
          <w:szCs w:val="20"/>
          <w:color w:val="auto"/>
        </w:rPr>
      </w:pPr>
      <w:r>
        <w:rPr>
          <w:rFonts w:ascii="Arial" w:cs="Arial" w:eastAsia="Arial" w:hAnsi="Arial"/>
          <w:sz w:val="18"/>
          <w:szCs w:val="18"/>
          <w:b w:val="1"/>
          <w:bCs w:val="1"/>
          <w:color w:val="auto"/>
        </w:rPr>
        <w:t>TRANSACT TECHNOLOGIES INCORPORATED NOTES TO CONDENSED CONSOLIDATED FINANCIAL STATEMENTS (unaudited)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an income tax provision for the second quarter of 2013 of $588,000 at an effective tax rate of 32.6%, compared to an income tax provision during the second quarter of 2012 of $286,000 at an effective tax rate of 36.0%. For the six months ended June 30, 2013, we recorded an income tax provision of $866,000 at an effective tax rate of 26.7%, compared to an income tax provision during the six months ended June 30, 2012 of $966,000 at an effective tax rate of 36.0%. Our effective tax rate for the second quarter of 2013 is lower than the second quarter of 2012 primarily because it includes the benefit from the federal research and development credit which was not included in the 2012 income tax provision since it expired at the end of 2011. Our effective tax rate for the first six months of 2013 is unusually low because it includes the benefit from the 2012 federal research and development (“R&amp;D”) credit of approximately $220,000 as this credit was not renewed until January 2, 2013 as a component of the American Taxpayer Relief Act of 2012 (the “Act”). The effective tax rate for the first six months of 2013 was also favorably impacted by the benefit from the 2013 R&amp;D credit.</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2003. During 2008, a limited scope examination of our 2005 and 2006 federal tax returns was completed. However, our federal tax returns for the years 2004 through 2011 remain open to examination and as of June 30, 2013, our 2010 federal tax return is under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June 30, 2013, we had $293,000 of total gross unrecognized tax benefits that, if recognized, would favorably affect the effective income tax rate in any future periods.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consolidation and restructuring expenses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Note 8, Accrued business consolidation and restructuring expenses, to the Company’s Consolidated Financial Statements included in the Company’s 2012 Annual Report on Form 10-K for the year ended December 31, 2012, in January 2012, we determined that we no longer needed to maintain the existing Printrex manufacturing facility in San Jose, California, along with certain redundant headcount. As a result, we incurred expenses of $63,000 and $117,000, respectively, in the first three and six months of 2012 for employee termination benefits related to these employee reductions as well as moving costs related to the closing of the San Jose manufacturing operations. This restructuring charge was recorded in accordance with ASC 420-10-25-4 “Exit or Disposal Cost Obligations” and cash payments made under this restructuring plan were completed by October 2012.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The rulings by the Eleventh District of Appeals on both the appeal and request are pending.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TransAct Technologies Incorporated (“TransAct”) designs, develops and sells market-specific solutions, including printers, terminals, software and other products for transaction-based and other industries. These world-class products are sold under the Epic,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Ithaca® and Printrex®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focus on the following core markets: food safety, banking and point-of-sale (“POS”), casino and gaming, lottery, oil and gas and medical and mobile.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printers.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6"/>
          <w:szCs w:val="16"/>
          <w:u w:val="single" w:color="auto"/>
          <w:color w:val="auto"/>
        </w:rPr>
        <w:t>www.transactsupplies.com</w:t>
      </w:r>
      <w:r>
        <w:rPr>
          <w:rFonts w:ascii="Arial" w:cs="Arial" w:eastAsia="Arial" w:hAnsi="Arial"/>
          <w:sz w:val="16"/>
          <w:szCs w:val="16"/>
          <w:color w:val="auto"/>
        </w:rPr>
        <w:t>, and our direct selling team, we address the on-line demand for these products. We operate in one reportable segment: the design, development, assembly and marketing of transaction printers and terminals and providing printer-related services, supplies and spare parts.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2012. We have reviewed those policies and determined that they remain our critical accounting policies for the six months ended June 30, 2013.</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June 30, 2013 compared to three months ended June 30, 2012</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June 30, 2013 and 2012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1"/>
              </w:rPr>
              <w:t>Three months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44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June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June 30, 2012</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3,453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Casino and gaming</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7,322</w:t>
            </w:r>
          </w:p>
        </w:tc>
        <w:tc>
          <w:tcPr>
            <w:tcW w:w="86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7,112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1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Printrex</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1,050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1,174</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14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15,788</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15,853</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4,052</w:t>
            </w:r>
          </w:p>
        </w:tc>
        <w:tc>
          <w:tcPr>
            <w:tcW w:w="86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4,258</w:t>
            </w: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26.9%</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2600"/>
        <w:spacing w:after="0" w:line="261" w:lineRule="auto"/>
        <w:rPr>
          <w:sz w:val="20"/>
          <w:szCs w:val="20"/>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Net sales for the second quarter of 2013 were relatively consistent with the same period in 2012. Printer sales volume decreased 16% to approximately 38,000 units driven primarily by a 71% decrease in unit volume from the lottery market and, to a lesser extent, a 14% decrease in unit volume from the food safety, banking and POS market. The average selling price of our printers increased approximately 14% in the second quarter of 2013 compared to the second quarter of 2012 primarily due to higher sales contributions of our Ithaca ® 9700 food safety terminal. Overall, international sales decreased $206,000, or 5%, primarily driven by lower international lottery printer sales.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from the food safety, banking and POS market includes sales of food safety terminals, hardware devices that consist of a touchscreen and one or two thermal print mechanisms, that print easy-to-read expiration and "enjoy by" date labels to help restaurants effectively manage food spoilage.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In addition, revenue includes sales of printers used by banks, credit unions and other financial institutions to print and/or validate receipts at bank teller stations. A summary of sales of our worldwide food safety, banking and POS products for the three months ended June 30, 2013 and 2012 is as follows (in thousands, except percentages):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9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90"/>
              </w:rPr>
              <w:t>June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93.6%</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increase in domestic food safety, banking and POS product revenue from the second quarter of 2012 was primarily driven by sales from our new Ithaca ® 9700 food safety terminal during the quarter. This was partially offset by lower sales of our banking printers mainly due to the shipment of a large order for our Ithaca® 280 thermal receipt printer to a banking customer in the second quarter of 2012 that did not repeat in the second quarter of 2013. In addition, we experienced lower sales of our legacy POS printers as we continue to decrease our focus on this commoditized market.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software solution, the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print system, that enables casino operators to create promotional coupons and marketing messages and to print them real-time at the slot machine. A summary of sales of our worldwide casino and gaming products for the three months ended June 30, 2013 and 2012 is as follows (in thousands, except percentages):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9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90"/>
              </w:rPr>
              <w:t>June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3,658</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3,715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52.2%</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ind w:left="400"/>
              <w:spacing w:after="0"/>
              <w:rPr>
                <w:sz w:val="20"/>
                <w:szCs w:val="20"/>
                <w:color w:val="auto"/>
              </w:rPr>
            </w:pPr>
            <w:r>
              <w:rPr>
                <w:rFonts w:ascii="Arial" w:cs="Arial" w:eastAsia="Arial" w:hAnsi="Arial"/>
                <w:sz w:val="18"/>
                <w:szCs w:val="18"/>
                <w:color w:val="auto"/>
                <w:w w:val="84"/>
              </w:rPr>
              <w:t>3,397</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267</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7,322</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7,112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decrease in domestic sales of our casino and gaming products is primarily due to a 9% decrease in sales of our thermal casino printers which was almost fully offset by higher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software sales compared to 2012 due to a new installation that occurred in the second quarter of 2013. We believe that our lower casino printer sales during the second quarter of 2013 resulted primarily from fewer new casino openings compared to the second quarter of 2012.</w:t>
      </w:r>
    </w:p>
    <w:p>
      <w:pPr>
        <w:spacing w:after="0" w:line="2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International casino and gaming printer sales increased due primarily to a 34% increase in sales of our off-premise thermal gaming printers mainly from a 77% and 19% increase in sales to customers in Australia and Asia, and our European distributor, respectively. Sales of our off-premise gaming printers are largely project-oriented and we therefore cannot predict the level of future sales. Additionally, sales of our thermal casino printers increased 1% as higher sales to customers in Australia and Asia and our Canadian distributor of 33% and 30%, respectively, were almost fully offset by lower sales to our European distributor.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the lottery market includes sales of thermal on-line and other lottery printers to GTECH Corporation (“GTECH”) and its subsidiaries for various lottery applications. A summary of sales of our worldwide lottery printers for the three months ended June 30, 2013 and 2012 is as follows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9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ind w:left="480"/>
              <w:spacing w:after="0"/>
              <w:rPr>
                <w:sz w:val="20"/>
                <w:szCs w:val="20"/>
                <w:color w:val="auto"/>
              </w:rPr>
            </w:pPr>
            <w:r>
              <w:rPr>
                <w:rFonts w:ascii="Arial" w:cs="Arial" w:eastAsia="Arial" w:hAnsi="Arial"/>
                <w:sz w:val="18"/>
                <w:szCs w:val="18"/>
                <w:b w:val="1"/>
                <w:bCs w:val="1"/>
                <w:color w:val="auto"/>
                <w:w w:val="90"/>
              </w:rPr>
              <w:t>Change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90"/>
              </w:rPr>
              <w:t>June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87.3%</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w:t>
            </w: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and customer’s forecast, we expect total sales to GTECH for 2013 to be approximately $4 to $5 million.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Printrex branded printers are sold into markets that include wide format, rack mounted and vehicle mounted black/white and color thermal printers used by customers to log and plot oil field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 summary of sales of our worldwide Printrex printers for the three months ended June 30, 2013 and 2012 is as follows (in thousands, except percentages):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9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90"/>
              </w:rPr>
              <w:t>June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212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Printrex printers is primarily due to lower international sales in both the oil and gas and medical markets, partially offset by higher sales of our new Printrex® 920 color printer in the worldwide oil and gas market.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from TSG includes sales of consumable products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June 30, 2013 and 2012 is as follows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4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9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90"/>
              </w:rPr>
              <w:t>June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domestic revenue from TSG is primarily due to a 63% increase in sales of replacement parts, higher service sales in addition to revenue contributions from consumables for our new Printrex color printers. These increases were partially offset by lower non-Printrex consumable product sales of 11%. Internationally, TSG revenue decreased due primarily to lower sales of replacement parts and consumable parts as compared to the second quarter of 2012. We expect TSG sales for the full year 2013 to be higher than in 2012 as we expect to benefit from sales of consumables from our newly launched Printrex color oil and gas printers.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0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6,452</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5,842</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40.9%</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 print system. Gross profit increased $610,000, or 10%, and our gross margin significantly improved by 400 basis points as we continued to transition our business towards a more favorable sales mix of value-added products. During the second quarter of 2013, our gross margin primarily benefited from sales contributions of our new Ithaca ® 9700 food safety terminal in addition to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software sales. We expect our gross margin for the remainder of 2013 to be higher than in 2012 as we expect to continue to benefit from increased sales of our new value-added products.</w:t>
      </w:r>
    </w:p>
    <w:p>
      <w:pPr>
        <w:spacing w:after="0" w:line="200" w:lineRule="exact"/>
        <w:rPr>
          <w:sz w:val="20"/>
          <w:szCs w:val="20"/>
          <w:color w:val="auto"/>
        </w:rPr>
      </w:pP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0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995</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increased $43,000, or 5%, due primarily to higher compensation-related expenses for existing engineering staff from annual salary increases.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0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1,857</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1,674</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by $183,000, or 11%, in the second quarter of 2013 compared to the second quarter of 2012 primarily due to the addition of new sales staff and increased marketing spend to support our newly launched products. We expect selling and marketing expenses to be higher in 2013 than in 2012 due to expansion of our sales staff and higher trade show and promotional marketing expenses as we continue to focus our selling and marketing efforts on our new, value-added products.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306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19"/>
                <w:szCs w:val="19"/>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1,736</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decreased $167,000, or 9%, due primarily to a reduction in the accrued contingent consideration liability to be paid in connection with the acquisition of Printrex as discussed in Note 4 to the Condensed Consolidated Financial Statements. We expect general and administrative expenses in 2013 to be relatively consistent with 2012.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6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1740" w:type="dxa"/>
            <w:vAlign w:val="bottom"/>
            <w:gridSpan w:val="3"/>
          </w:tcPr>
          <w:p>
            <w:pPr>
              <w:ind w:left="200"/>
              <w:spacing w:after="0"/>
              <w:rPr>
                <w:sz w:val="20"/>
                <w:szCs w:val="20"/>
                <w:color w:val="auto"/>
              </w:rPr>
            </w:pPr>
            <w:r>
              <w:rPr>
                <w:rFonts w:ascii="Arial" w:cs="Arial" w:eastAsia="Arial" w:hAnsi="Arial"/>
                <w:sz w:val="18"/>
                <w:szCs w:val="18"/>
                <w:b w:val="1"/>
                <w:bCs w:val="1"/>
                <w:color w:val="auto"/>
              </w:rPr>
              <w:t>June 30,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41"/>
        </w:trPr>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4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20"/>
                <w:szCs w:val="20"/>
                <w:color w:val="auto"/>
              </w:rPr>
            </w:pPr>
          </w:p>
        </w:tc>
      </w:tr>
      <w:tr>
        <w:trPr>
          <w:trHeight w:val="216"/>
        </w:trPr>
        <w:tc>
          <w:tcPr>
            <w:tcW w:w="11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57</w:t>
            </w:r>
          </w:p>
        </w:tc>
        <w:tc>
          <w:tcPr>
            <w:tcW w:w="108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9 to the Condensed Consolidated Financial Statements, in June 2012, Avery Dennison Corporation filed a civil complaint against the Company. In connection with this lawsuit, we incurred legal fees and other related expenses of $57,000 and $471,000, respectively, in the second quarter of 2013 and 2012. We may incur additional legal fees related to this lawsuit for the remainder of 2013 and beyond, although we cannot predict the timing and extent of such legal fees.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Business Consolidation and Restructuring. </w:t>
      </w:r>
      <w:r>
        <w:rPr>
          <w:rFonts w:ascii="Arial" w:cs="Arial" w:eastAsia="Arial" w:hAnsi="Arial"/>
          <w:sz w:val="16"/>
          <w:szCs w:val="16"/>
          <w:color w:val="auto"/>
        </w:rPr>
        <w:t>Business consolidation and restructuring information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Three months ended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65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88"/>
              </w:rPr>
              <w:t>Percent of</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2013</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2012</w:t>
            </w:r>
          </w:p>
        </w:tc>
        <w:tc>
          <w:tcPr>
            <w:tcW w:w="3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ind w:left="210"/>
              <w:spacing w:after="0"/>
              <w:rPr>
                <w:sz w:val="20"/>
                <w:szCs w:val="20"/>
                <w:color w:val="auto"/>
              </w:rPr>
            </w:pPr>
            <w:r>
              <w:rPr>
                <w:rFonts w:ascii="Arial" w:cs="Arial" w:eastAsia="Arial" w:hAnsi="Arial"/>
                <w:sz w:val="18"/>
                <w:szCs w:val="18"/>
                <w:b w:val="1"/>
                <w:bCs w:val="1"/>
                <w:color w:val="auto"/>
                <w:w w:val="88"/>
              </w:rPr>
              <w:t>Total Sales - 2013</w:t>
            </w:r>
          </w:p>
        </w:tc>
        <w:tc>
          <w:tcPr>
            <w:tcW w:w="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112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 %</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8 to the Condensed Consolidated Financial Statements, in January 2012, we determined that we no longer needed to maintain the existing Printrex manufacturing facility in San Jose, California, along with certain redundant headcount. During the three months ended June 30, 2012, we recorded a restructuring charge of $63,000 for employee termination benefits related to these employee reductions as well as moving costs. We did not incur any restructuring charges in the second quarter of 2013.</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322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89"/>
              </w:rPr>
              <w:t>Three months ended</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b w:val="1"/>
                <w:bCs w:val="1"/>
                <w:color w:val="auto"/>
              </w:rPr>
              <w:t>Percent</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19"/>
                <w:szCs w:val="19"/>
                <w:color w:val="auto"/>
              </w:rPr>
            </w:pPr>
          </w:p>
        </w:tc>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2012</w:t>
            </w:r>
          </w:p>
        </w:tc>
        <w:tc>
          <w:tcPr>
            <w:tcW w:w="20" w:type="dxa"/>
            <w:vAlign w:val="bottom"/>
          </w:tcPr>
          <w:p>
            <w:pPr>
              <w:spacing w:after="0"/>
              <w:rPr>
                <w:sz w:val="19"/>
                <w:szCs w:val="19"/>
                <w:color w:val="auto"/>
              </w:rPr>
            </w:pPr>
          </w:p>
        </w:tc>
      </w:tr>
      <w:tr>
        <w:trPr>
          <w:trHeight w:val="216"/>
        </w:trPr>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1,807</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operating income increased primarily due to a 400 basis point improvement in gross margin in the second quarter of 2013 as compared to the second quarter of 2012. In addition, both our operating profit and operating margin for the second quarter of 2013 were favorably impacted by lower legal fees incurred in connection with the AD lawsuit as compared to the second quarter of 2012 by $414,000 or approximately 260 basis points.</w:t>
      </w:r>
    </w:p>
    <w:p>
      <w:pPr>
        <w:spacing w:after="0" w:line="200" w:lineRule="exact"/>
        <w:rPr>
          <w:sz w:val="20"/>
          <w:szCs w:val="20"/>
          <w:color w:val="auto"/>
        </w:rPr>
      </w:pP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Interest expense and interest income fully offset in the second quarter of 2013 compared to net interest income of $2,000 recorded in the second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2012. Interest expense related to the unused revolving credit line fee and amortization of deferred financing costs on our revolving credit facility with TD Bank N.A. (“TD Bank”) remained consistent in the second quarter of 2013 compared to the second quarter of 2012. See “Liquidity and Capital Resources” below for more information.</w:t>
      </w: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expenses of $4,000 in the second quarter of 2013 compared to other income of $13,000 in the second quarter of 2012.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 was due to foreign currency transaction exchange losses recorded by our U.K. subsidiary in the second quarter of 2013 compared to gains recorded in the second quarter of 2012.</w:t>
      </w:r>
    </w:p>
    <w:p>
      <w:pPr>
        <w:spacing w:after="0" w:line="200" w:lineRule="exact"/>
        <w:rPr>
          <w:sz w:val="20"/>
          <w:szCs w:val="20"/>
          <w:color w:val="auto"/>
        </w:rPr>
      </w:pPr>
    </w:p>
    <w:p>
      <w:pPr>
        <w:spacing w:after="0" w:line="25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an income tax provision for the second quarter of 2013 of $588,000 at an effective tax rate of 32.6%, compared to an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 during the second quarter of 2012 of $286,000 at an effective tax rate of 36.0%. Our effective tax rate for the second quarter of 2013 is lower than the second quarter of 2012 primarily because it includes the benefit from the federal research and development (“R&amp;D”) credit which was not included in the 2012 income tax provision since it expired at the end of 2011. For the remainder of 2013, we expect our annual effective tax rate to be between 33% and 34%.</w:t>
      </w:r>
    </w:p>
    <w:p>
      <w:pPr>
        <w:spacing w:after="0" w:line="200" w:lineRule="exact"/>
        <w:rPr>
          <w:sz w:val="20"/>
          <w:szCs w:val="20"/>
          <w:color w:val="auto"/>
        </w:rPr>
      </w:pPr>
    </w:p>
    <w:p>
      <w:pPr>
        <w:spacing w:after="0" w:line="2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second quarter of 2013 of $1,215,000, or $0.14 per diluted share, compared to $508,000, or $0.06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second quarter of 2012.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 Six months ended June 30, 2013 compared to six months ended June 30, 2012</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six months ended June 30, 2013 and 2012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90"/>
              </w:rPr>
              <w:t>June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5,437</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Casino and gaming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14,062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16,523</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(2,461)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Printrex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2,375</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2,413</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30,845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33,412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(2,567)</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 *</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7,328</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23.8%</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10,480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(3,152)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2540" w:firstLine="8"/>
        <w:spacing w:after="0" w:line="261"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for the first half of 2013 decreased $2,567,000, or 8%, from the same period in 2012. Printer sales volume decreased 21% to approximately 75,000 units driven primarily by unit volume decreases of 20%, 35% and 17% from the casino and gaming, lottery and food safety, banking and POS markets, respectively. Despite lower sales volume in the first half of 2013, the average selling price of our printers increased approximately 9% compared to the first half of 2012 primarily due to 1) significant sales contributions of our new Ithaca ® 9700 food safety terminal and 2) lower sales of lottery and POS printers which have lower average selling prices than other printers. Overall, international sales decreased $3,152,000, or 30%, primarily driven by lower sales to the casino and gaming market.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food safety, banking and POS products for the six months ended June 30, 2013 and 2012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90"/>
              </w:rPr>
              <w:t>June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97.5%</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5,437</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domestic food safety, banking and POS printer revenue as compared to the first half of 2012 was primarily driven by significant sales from our new Ithaca ® 9700 food safety terminal during the first half of 2013. This was partially offset by lower sales of our banking printers mainly due to the shipment of a large order for our Ithaca® 280 thermal receipt printer to a banking customer in the first half of 2012 that did not repeat in the same period in 2013.</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summary of sales of our worldwide casino and gaming products for the six months ended June 30, 2013 and 2012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ind w:left="4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90"/>
              </w:rPr>
              <w:t>June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8,981</w:t>
            </w: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(2,479)</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16,523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(2,461)</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The slight increase in domestic sales of our casino and gaming products is primarily due to higher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software sales due to three new installations that occurred in the first half of 2013 which was almost fully offset by a 13% decrease in sales of our thermal casino printers. We believe that our lower casino printer sales during the first half of 2013 resulted primarily from fewer new casino openings compared to the first half of 2012.</w:t>
      </w:r>
    </w:p>
    <w:p>
      <w:pPr>
        <w:spacing w:after="0" w:line="23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International casino and gaming printer sales decreased in the first half of 2013 due primarily to a 52% decrease in sales of our off-premise thermal gaming printers mainly from a 55% decrease in sales to our European distributor. Sales of our off-premise gaming printers are largely project-oriented and we therefore cannot predict the level of future sales. Additionally, sales of our thermal casino printers decreased by 17% primarily from lower sales to our European and Canadian distributors of 27% and 28%, respectively. This decline in sales of our thermal casino printers resulted primarily from fewer installations of VLT gaming machines in Italy as the government approved rollout of these games was substantially completed during 2012, and we therefore expect to ship fewer printers in 2013.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709"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 summary of sales of our worldwide lottery printers for the six months ended June 30, 2013 and 2012 is as follows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90"/>
              </w:rPr>
              <w:t>June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98.3%</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(894)</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and customer’s forecast, we expect total sales to GTECH for 2013 to be approximately $4 to $5 million.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of our worldwide Printrex printers for the six months ended June 30, 2013 and 2012 is as follows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90"/>
              </w:rPr>
              <w:t>June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84.4%</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Printrex printers is primarily due to lower international sales in both the oil and gas and medical and mobile markets, partially offset by higher sales of our two new color printers in the worldwide oil and gas market, the Printrex® 920 and Printrex® 980.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 summary of sales in our worldwide TSG market for the six months ended June 30, 2013 and 2012 is as follows (in thousands, except percentages):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ind w:left="12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7"/>
              </w:rPr>
              <w:t>Six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June 30, 2013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90"/>
              </w:rPr>
              <w:t>June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6,696</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94.2%</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652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w:t>
            </w: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increase in domestic revenue from TSG is primarily due to a 70% increase in sales of replacement parts in addition to higher service sales and sales of consumables for our new Printrex color printers. These increases were largely offset by lower non-Printrex consumable product sales of 16%. Internationally, TSG revenue decreased due primarily to lower sales of replacement parts and accessories as compared to the first half of 2012. We expect TSG sales for the full year 2013 to be higher than in 2012 as we expect to benefit from sales of consumables from our newly launched Printrex color oil and gas printers.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2012</w:t>
            </w:r>
          </w:p>
        </w:tc>
        <w:tc>
          <w:tcPr>
            <w:tcW w:w="140" w:type="dxa"/>
            <w:vAlign w:val="bottom"/>
          </w:tcPr>
          <w:p>
            <w:pPr>
              <w:spacing w:after="0"/>
              <w:rPr>
                <w:sz w:val="19"/>
                <w:szCs w:val="19"/>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9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12,885</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12,620</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While gross profit modestly increased, our gross margin significantly improved by 400 basis points as we continued to transition our business towards a more favorable sales mix of value-added products. During the first half of 2013, our gross margin primarily benefited from sales contributions of our new Ithaca ® 9700 food safety terminal in addition to three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software installations. We expect our gross margin for the remainder of 2013 to be higher than in 2012 as we expect to continue to benefit from increased sales of our new value-added products.</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2012</w:t>
            </w:r>
          </w:p>
        </w:tc>
        <w:tc>
          <w:tcPr>
            <w:tcW w:w="140" w:type="dxa"/>
            <w:vAlign w:val="bottom"/>
          </w:tcPr>
          <w:p>
            <w:pPr>
              <w:spacing w:after="0"/>
              <w:rPr>
                <w:sz w:val="19"/>
                <w:szCs w:val="19"/>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9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2,007</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expenses decreased $158,000, or 7%, which was due primarily to lower outside testing and pre-production expenses related to the four new products that were launched in 2012.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2012</w:t>
            </w:r>
          </w:p>
        </w:tc>
        <w:tc>
          <w:tcPr>
            <w:tcW w:w="140" w:type="dxa"/>
            <w:vAlign w:val="bottom"/>
          </w:tcPr>
          <w:p>
            <w:pPr>
              <w:spacing w:after="0"/>
              <w:rPr>
                <w:sz w:val="19"/>
                <w:szCs w:val="19"/>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9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3,643</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3,275</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Such expenses increased by $368,000, or 11%, in the first half of 2013 compared to the first half of 2012 primarily due to the addition of new sales staff and increased marketing spend to support our newly launched products. We expect selling and marketing expenses to be higher in 2013 than in 2012 due to expansion of our sales staff and higher trade show and promotional marketing expenses as we continue to focus our selling and marketing efforts on our new, value-added products.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9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2012</w:t>
            </w:r>
          </w:p>
        </w:tc>
        <w:tc>
          <w:tcPr>
            <w:tcW w:w="140" w:type="dxa"/>
            <w:vAlign w:val="bottom"/>
          </w:tcPr>
          <w:p>
            <w:pPr>
              <w:spacing w:after="0"/>
              <w:rPr>
                <w:sz w:val="19"/>
                <w:szCs w:val="19"/>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9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3,770</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3,903</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decreased $133,000, or 3%, due primarily to a reduction in the accrued contingent consideration liability to be paid in connection with the acquisition of Printrex as discussed in Note 4 to the Condensed Consolidated Financial Statements. We expect general and administrative expenses in 2013 to be relatively consistent with 2012.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14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41"/>
        </w:trPr>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2012</w:t>
            </w:r>
          </w:p>
        </w:tc>
        <w:tc>
          <w:tcPr>
            <w:tcW w:w="140" w:type="dxa"/>
            <w:vAlign w:val="bottom"/>
          </w:tcPr>
          <w:p>
            <w:pPr>
              <w:spacing w:after="0"/>
              <w:rPr>
                <w:sz w:val="20"/>
                <w:szCs w:val="20"/>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20"/>
                <w:szCs w:val="20"/>
                <w:color w:val="auto"/>
              </w:rPr>
            </w:pPr>
          </w:p>
        </w:tc>
      </w:tr>
      <w:tr>
        <w:trPr>
          <w:trHeight w:val="216"/>
        </w:trPr>
        <w:tc>
          <w:tcPr>
            <w:tcW w:w="94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9 to the Condensed Consolidated Financial Statements, in June 2012, Avery Dennison Corporation filed a civil complaint against the Company. In connection with this lawsuit, we incurred legal fees and other related expenses of $256,000 and $471,000, respectively, in the first six months of 2013 and 2012. We may incur additional legal fees related to this lawsuit for the remainder of 2013 and beyond, although we cannot predict the timing and extent of such legal fees.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t xml:space="preserve">Business Consolidation and Restructuring. </w:t>
      </w:r>
      <w:r>
        <w:rPr>
          <w:rFonts w:ascii="Arial" w:cs="Arial" w:eastAsia="Arial" w:hAnsi="Arial"/>
          <w:sz w:val="16"/>
          <w:szCs w:val="16"/>
          <w:color w:val="auto"/>
        </w:rPr>
        <w:t>Business consolidation and restructuring information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98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87"/>
              </w:rPr>
              <w:t>Six months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ind w:left="440"/>
              <w:spacing w:after="0"/>
              <w:rPr>
                <w:sz w:val="20"/>
                <w:szCs w:val="20"/>
                <w:color w:val="auto"/>
              </w:rPr>
            </w:pPr>
            <w:r>
              <w:rPr>
                <w:rFonts w:ascii="Arial" w:cs="Arial" w:eastAsia="Arial" w:hAnsi="Arial"/>
                <w:sz w:val="18"/>
                <w:szCs w:val="18"/>
                <w:b w:val="1"/>
                <w:bCs w:val="1"/>
                <w:color w:val="auto"/>
              </w:rPr>
              <w:t>Percent</w:t>
            </w:r>
          </w:p>
        </w:tc>
        <w:tc>
          <w:tcPr>
            <w:tcW w:w="166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Percent of</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84"/>
              </w:rPr>
              <w:t>2012</w:t>
            </w:r>
          </w:p>
        </w:tc>
        <w:tc>
          <w:tcPr>
            <w:tcW w:w="140" w:type="dxa"/>
            <w:vAlign w:val="bottom"/>
          </w:tcPr>
          <w:p>
            <w:pPr>
              <w:spacing w:after="0"/>
              <w:rPr>
                <w:sz w:val="19"/>
                <w:szCs w:val="19"/>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19"/>
                <w:szCs w:val="19"/>
                <w:color w:val="auto"/>
              </w:rPr>
            </w:pPr>
          </w:p>
        </w:tc>
        <w:tc>
          <w:tcPr>
            <w:tcW w:w="166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8"/>
              </w:rPr>
              <w:t>Total Sales - 2013</w:t>
            </w: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6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8 to the Condensed Consolidated Financial Statements, in January 2012, we determined that we no longer needed to maintain the existing Printrex manufacturing facility in San Jose, California, along with certain redundant headcount. During the six months ended June 30, 2012, we recorded a restructuring charge of $117,000 for employee termination benefits related to these employee reductions as well as moving costs. We did not incur any restructuring charges in the first six months of 2013.</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Six months ended</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0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ind w:left="480"/>
              <w:spacing w:after="0"/>
              <w:rPr>
                <w:sz w:val="20"/>
                <w:szCs w:val="20"/>
                <w:color w:val="auto"/>
              </w:rPr>
            </w:pPr>
            <w:r>
              <w:rPr>
                <w:rFonts w:ascii="Arial" w:cs="Arial" w:eastAsia="Arial" w:hAnsi="Arial"/>
                <w:sz w:val="18"/>
                <w:szCs w:val="18"/>
                <w:b w:val="1"/>
                <w:bCs w:val="1"/>
                <w:color w:val="auto"/>
              </w:rPr>
              <w:t>Percent</w:t>
            </w:r>
          </w:p>
        </w:tc>
        <w:tc>
          <w:tcPr>
            <w:tcW w:w="2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Percent of</w:t>
            </w: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5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2012</w:t>
            </w:r>
          </w:p>
        </w:tc>
        <w:tc>
          <w:tcPr>
            <w:tcW w:w="160" w:type="dxa"/>
            <w:vAlign w:val="bottom"/>
          </w:tcPr>
          <w:p>
            <w:pPr>
              <w:spacing w:after="0"/>
              <w:rPr>
                <w:sz w:val="19"/>
                <w:szCs w:val="19"/>
                <w:color w:val="auto"/>
              </w:rPr>
            </w:pPr>
          </w:p>
        </w:tc>
        <w:tc>
          <w:tcPr>
            <w:tcW w:w="156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4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2012</w:t>
            </w:r>
          </w:p>
        </w:tc>
        <w:tc>
          <w:tcPr>
            <w:tcW w:w="20" w:type="dxa"/>
            <w:vAlign w:val="bottom"/>
          </w:tcPr>
          <w:p>
            <w:pPr>
              <w:spacing w:after="0"/>
              <w:rPr>
                <w:sz w:val="19"/>
                <w:szCs w:val="19"/>
                <w:color w:val="auto"/>
              </w:rPr>
            </w:pPr>
          </w:p>
        </w:tc>
      </w:tr>
      <w:tr>
        <w:trPr>
          <w:trHeight w:val="216"/>
        </w:trPr>
        <w:tc>
          <w:tcPr>
            <w:tcW w:w="10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3,209</w:t>
            </w:r>
          </w:p>
        </w:tc>
        <w:tc>
          <w:tcPr>
            <w:tcW w:w="5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2,689</w:t>
            </w: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income increased primarily from the 400 basis point improvement in gross margin in the first half of 2013 as compared to the first half of 2012. Additionally, lower legal fees in connection with the AD lawsuit and no restructuring charges in the first half of also improved both operating income and operating margin by $332,000 and approximately 110 basis points, respectively. These increases were partially offset by an 8% lower sales volume as well as higher selling and marketing expenses in the first half of 2013.</w:t>
      </w:r>
    </w:p>
    <w:p>
      <w:pPr>
        <w:spacing w:after="0" w:line="200" w:lineRule="exact"/>
        <w:rPr>
          <w:sz w:val="20"/>
          <w:szCs w:val="20"/>
          <w:color w:val="auto"/>
        </w:rPr>
      </w:pPr>
    </w:p>
    <w:p>
      <w:pPr>
        <w:spacing w:after="0" w:line="2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We recorded net interest expense of $1,000 in the first half of 2013 compared to net interest income of $4,000 in the first half of 2012.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related to the unused revolving credit line fee and amortization of deferred financing costs on our revolving credit facility with TD Bank remained consistent in the first half of 2013 compared to the first half of 2012. See “Liquidity and Capital Resources” below for more information.</w:t>
      </w:r>
    </w:p>
    <w:p>
      <w:pPr>
        <w:spacing w:after="0" w:line="200" w:lineRule="exact"/>
        <w:rPr>
          <w:sz w:val="20"/>
          <w:szCs w:val="20"/>
          <w:color w:val="auto"/>
        </w:rPr>
      </w:pP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income of $33,000 in the first half of 2013 compared to other expenses of $11,000 in the first half of 2012. The change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foreign currency transaction exchange gains recorded by our U.K. subsidiary in the first half of 2013 compared to losses recorded in the first half of 2012.</w:t>
      </w:r>
    </w:p>
    <w:p>
      <w:pPr>
        <w:spacing w:after="0" w:line="200" w:lineRule="exact"/>
        <w:rPr>
          <w:sz w:val="20"/>
          <w:szCs w:val="20"/>
          <w:color w:val="auto"/>
        </w:rPr>
      </w:pPr>
    </w:p>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first six months of 2013 of $866,000 at an effective tax rate of 26.7%, compared to an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provision during the first six months of 2012 of $966,000 at an effective tax rate of 36.0%. Our effective tax rate for the first six months of 2013 is unusually low because it includes the full-year benefit from the 2012 federal research and development (“R&amp;D”) credit of approximately $220,000 as this credit was not renewed until January 2, 2013 as a component of the American Taxpayer Relief Act of 2012 (the “Act”). For the remainder of 2013, we expect our annual effective tax rate to be between 33% and 34%.</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six months of 2013 of $2,375,000, or $0.27 per diluted share, compared to $1,716,000, or $0.18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first six months of 2012.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first six months of 2013, our cash and cash equivalents balance increased $1,291,000, or 17%, from December 31, 2012 and we ended the second quarter of 2013 with $8,828,000 in cash and cash equivalents and no debt outstanding even after returning $2,014,000 to shareholders in the form of cash dividends paid on common stock and treasury share repurchases during the first six months of 2013.</w:t>
      </w:r>
    </w:p>
    <w:p>
      <w:pPr>
        <w:spacing w:after="0" w:line="2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$3,307,000 in the first six months of 2013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$5,671,000 in the first six months of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2013:</w:t>
      </w:r>
    </w:p>
    <w:p>
      <w:pPr>
        <w:spacing w:after="0" w:line="23"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$2,375,000.</w:t>
      </w:r>
    </w:p>
    <w:p>
      <w:pPr>
        <w:spacing w:after="0" w:line="9" w:lineRule="exact"/>
        <w:rPr>
          <w:rFonts w:ascii="Arial" w:cs="Arial" w:eastAsia="Arial" w:hAnsi="Arial"/>
          <w:sz w:val="18"/>
          <w:szCs w:val="18"/>
          <w:color w:val="auto"/>
        </w:rPr>
      </w:pPr>
    </w:p>
    <w:p>
      <w:pPr>
        <w:ind w:left="1140" w:right="2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$1,162,000, including $156,000 of amortization related to intangible assets acquired from Printrex.</w:t>
      </w:r>
    </w:p>
    <w:p>
      <w:pPr>
        <w:ind w:left="1140" w:right="2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decreased $4,277,000 due primarily to collections made from the high concentration of sales made during the latter portion of the fourth quarter of 2012.</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increased $2,467,000 as we continue to increase stocking levels of our new food safety and Printrex products in anticipation of higher expected sales volume.</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decreased $818,000 due primarily to higher payments during the period from inventory purchased in the first six months of 2013 to support the higher expected sales volume of our new products for the remainder of the year.</w:t>
      </w: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Accrued liabilities and other liabilities decreased $990,000 due primarily to the payment of 2012 annual bonuses in March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-1365885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-953770</wp:posOffset>
            </wp:positionV>
            <wp:extent cx="72466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2012:</w:t>
      </w:r>
    </w:p>
    <w:p>
      <w:pPr>
        <w:spacing w:after="0" w:line="23" w:lineRule="exact"/>
        <w:rPr>
          <w:sz w:val="20"/>
          <w:szCs w:val="20"/>
          <w:color w:val="auto"/>
        </w:rPr>
      </w:pPr>
    </w:p>
    <w:p>
      <w:pPr>
        <w:ind w:left="1140" w:hanging="13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$1,716,000.</w:t>
      </w:r>
    </w:p>
    <w:p>
      <w:pPr>
        <w:spacing w:after="0" w:line="9" w:lineRule="exact"/>
        <w:rPr>
          <w:rFonts w:ascii="Arial" w:cs="Arial" w:eastAsia="Arial" w:hAnsi="Arial"/>
          <w:sz w:val="18"/>
          <w:szCs w:val="18"/>
          <w:color w:val="auto"/>
        </w:rPr>
      </w:pPr>
    </w:p>
    <w:p>
      <w:pPr>
        <w:ind w:left="1140" w:right="20" w:hanging="14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$1,169,000, including $190,000 of amortization related to intangible assets acquired from Printrex.</w:t>
      </w:r>
    </w:p>
    <w:p>
      <w:pPr>
        <w:ind w:left="1140" w:hanging="142"/>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Accounts receivable increased $2,072,000 due to a higher concentration of sales made during the latter portion of the second quarter.</w:t>
      </w:r>
    </w:p>
    <w:p>
      <w:pPr>
        <w:spacing w:after="0" w:line="20" w:lineRule="exact"/>
        <w:rPr>
          <w:rFonts w:ascii="Arial" w:cs="Arial" w:eastAsia="Arial" w:hAnsi="Arial"/>
          <w:sz w:val="17"/>
          <w:szCs w:val="17"/>
          <w:color w:val="auto"/>
        </w:rPr>
      </w:pPr>
    </w:p>
    <w:p>
      <w:pPr>
        <w:ind w:left="1140" w:hanging="142"/>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Inventories decreased $2,500,000 due to our continued effort to reduce inventory purchases and to fulfill sales with existing inventory stock.</w:t>
      </w:r>
    </w:p>
    <w:p>
      <w:pPr>
        <w:spacing w:after="0" w:line="32" w:lineRule="exact"/>
        <w:rPr>
          <w:rFonts w:ascii="Arial" w:cs="Arial" w:eastAsia="Arial" w:hAnsi="Arial"/>
          <w:sz w:val="16"/>
          <w:szCs w:val="16"/>
          <w:color w:val="auto"/>
        </w:rPr>
      </w:pPr>
    </w:p>
    <w:p>
      <w:pPr>
        <w:ind w:left="1140" w:hanging="14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increased $1,853,000 due primarily to the timing of payments during the latter portion of the second quarter.</w:t>
      </w:r>
    </w:p>
    <w:p>
      <w:pPr>
        <w:spacing w:after="0" w:line="9" w:lineRule="exact"/>
        <w:rPr>
          <w:rFonts w:ascii="Arial" w:cs="Arial" w:eastAsia="Arial" w:hAnsi="Arial"/>
          <w:sz w:val="18"/>
          <w:szCs w:val="18"/>
          <w:color w:val="auto"/>
        </w:rPr>
      </w:pPr>
    </w:p>
    <w:p>
      <w:pPr>
        <w:jc w:val="both"/>
        <w:ind w:left="1140" w:hanging="132"/>
        <w:spacing w:after="0" w:line="255"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$580,000 due primarily to higher accrued legal fees primarily in connection with the Avery Dennison lawsuit as disclosed in Note 9 to the Condensed Consolidated Financial Statements in addition to deferred revenue associated with new contracts for paper qualification testing entered into during the first half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-1241425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-829945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$426,000 and $339,000 in the first six months of 2013 and 2012, respectively. Expenditures in 2013</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approximately $89,000 for costs incurred in connection with an upgrade to the Company’s ERP software and the remaining amount primarily for the purchase of new product tooling and computer equipment. Expenditures in 2012 included $79,000 for the purchase of computer equipment and the remaining amount primarily for the purchase of new product tooling. Additionally, our capitalized software development costs were $42,000 and $10,000 in the first six months of 2013 and 2012, respectively, all of which was related to our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including capitalized software development costs, for 2013 are expected to be approximately $1,000,000 primarily for new product tooling and tooling enhancements for our existing products.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$1,535,000 of cash from financing activities during the first six months of 2013 to pay cash dividends of $1,127,000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shareholders and to purchase $887,000 of common stock for treasury, partially offset by proceeds and tax benefits from stock option exercises of $479,000. During the first six months of 2012, we used $4,964,000 of cash from financing activities to repurchase $5,151,000 of Company stock partially offset by proceeds and tax benefits from stock option exercises of $187,000.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working capital increased 5% to $26,822,000 at June 30, 2013 from $25,492,000 at December 31, 2012. Our current ratio of current assets to current liabilities also increased to 4.1 as of June 30, 2013 compared to 3.5 at December 31, 2012. The increase in our working capital and current ratio was largely due to higher cash and cash equivalent and inventory balances and lower accounts payable and accrued expenses partially offset by lower accounts receivable balances.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credit facility (the “TD Bank Credit Facility”) with TD Bank which provides for a $20,000,000 revolving credit line that expires on November 28, 2014. Borrowings under the TD Bank Credit Facility bear a floating rate of interest at the prime rate minus one percent and are secured by a lien on all of our assets. We also pay a fee of 0.25% on unused borrowings under the TD Bank Credit Facility.</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7, 2012, we signed an amendment to the TD Bank Credit Facility that allows us to declare and pay cash dividends to holders of our outstanding common shares subject to approval by our Board of Directors and provided that no default or event of default has occurred and is continuing under the credit facility on the date of the dividend payment. The amendment also allows us to use up to $5,000,000 in revolving credit loans to fund future cash dividend payments or treasury share buybacks as well as requires cash dividend payments to be treated as distributions for purposes of quarterly debt covenant calculations.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June 30, 2013. The following table lists the financial covenants and the performance measurements at June 30, 2013: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Financial Covenant</w:t>
            </w:r>
          </w:p>
        </w:tc>
        <w:tc>
          <w:tcPr>
            <w:tcW w:w="26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1"/>
              </w:rPr>
              <w:t>Requirement/Restriction</w:t>
            </w:r>
          </w:p>
        </w:tc>
        <w:tc>
          <w:tcPr>
            <w:tcW w:w="3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Calculation at June 30, 2013</w:t>
            </w:r>
          </w:p>
        </w:tc>
      </w:tr>
      <w:tr>
        <w:trPr>
          <w:trHeight w:val="216"/>
        </w:trPr>
        <w:tc>
          <w:tcPr>
            <w:tcW w:w="3380" w:type="dxa"/>
            <w:vAlign w:val="bottom"/>
          </w:tcPr>
          <w:p>
            <w:pPr>
              <w:jc w:val="center"/>
              <w:ind w:right="50"/>
              <w:spacing w:after="0"/>
              <w:rPr>
                <w:sz w:val="20"/>
                <w:szCs w:val="20"/>
                <w:color w:val="auto"/>
              </w:rPr>
            </w:pPr>
            <w:r>
              <w:rPr>
                <w:rFonts w:ascii="Arial" w:cs="Arial" w:eastAsia="Arial" w:hAnsi="Arial"/>
                <w:sz w:val="18"/>
                <w:szCs w:val="18"/>
                <w:color w:val="auto"/>
                <w:w w:val="91"/>
              </w:rPr>
              <w:t>Operating cash flow / Total debt service</w:t>
            </w:r>
          </w:p>
        </w:tc>
        <w:tc>
          <w:tcPr>
            <w:tcW w:w="2620" w:type="dxa"/>
            <w:vAlign w:val="bottom"/>
          </w:tcPr>
          <w:p>
            <w:pPr>
              <w:jc w:val="center"/>
              <w:ind w:right="90"/>
              <w:spacing w:after="0"/>
              <w:rPr>
                <w:sz w:val="20"/>
                <w:szCs w:val="20"/>
                <w:color w:val="auto"/>
              </w:rPr>
            </w:pPr>
            <w:r>
              <w:rPr>
                <w:rFonts w:ascii="Arial" w:cs="Arial" w:eastAsia="Arial" w:hAnsi="Arial"/>
                <w:sz w:val="18"/>
                <w:szCs w:val="18"/>
                <w:color w:val="auto"/>
                <w:w w:val="94"/>
              </w:rPr>
              <w:t>Minimum of 1.25 times</w:t>
            </w:r>
          </w:p>
        </w:tc>
        <w:tc>
          <w:tcPr>
            <w:tcW w:w="3140" w:type="dxa"/>
            <w:vAlign w:val="bottom"/>
          </w:tcPr>
          <w:p>
            <w:pPr>
              <w:jc w:val="center"/>
              <w:spacing w:after="0"/>
              <w:rPr>
                <w:sz w:val="20"/>
                <w:szCs w:val="20"/>
                <w:color w:val="auto"/>
              </w:rPr>
            </w:pPr>
            <w:r>
              <w:rPr>
                <w:rFonts w:ascii="Arial" w:cs="Arial" w:eastAsia="Arial" w:hAnsi="Arial"/>
                <w:sz w:val="18"/>
                <w:szCs w:val="18"/>
                <w:color w:val="auto"/>
                <w:w w:val="90"/>
              </w:rPr>
              <w:t>101.7 times</w:t>
            </w:r>
          </w:p>
        </w:tc>
      </w:tr>
      <w:tr>
        <w:trPr>
          <w:trHeight w:val="216"/>
        </w:trPr>
        <w:tc>
          <w:tcPr>
            <w:tcW w:w="33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4"/>
              </w:rPr>
              <w:t>Funded Debt / EBITDA</w:t>
            </w:r>
          </w:p>
        </w:tc>
        <w:tc>
          <w:tcPr>
            <w:tcW w:w="262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Maximum of 3.0 times</w:t>
            </w:r>
          </w:p>
        </w:tc>
        <w:tc>
          <w:tcPr>
            <w:tcW w:w="3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undrawn commitments under the TD Bank Credit facility were $20,000,000.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10, 2012, we announced that our Board of Directors approved the initiation of a quarterly cash dividend program which is subject to the Board’s approval each quarter. On May 2, 2013, our Board of Directors declared an increase to the quarterly cash dividend from $0.06 per share to $0.07 per share. For the three months ended June 30, 2013, our Board of Directors declared a quarterly cash dividend of $0.07 per share, totaling approximately $608,000, which was paid in June 2013 to common shareholders of record at the close of business on May 20, 2013. For the six months ended June 30, 2013, dividends declared and paid totaled $1,127,000, or $0.13 per share. We expect to pay approximately $2,400,000 in cash dividends to our common shareholders during 2013.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Prior to its expiration on May 27, 2013, we maintained a stock repurchase program (the “Stock Repurchase Program”) whereby we were authorized to repurchase up to $15,000,000, as increased from $10,000,000 in March 2012, of our outstanding shares of common stock from time to time in the open market, depending on market conditions, share price and other factors. The Stock Repurchase Program expired on May 27, 2013 and was not renewed. During the six months ended June 30, 2013, we repurchased 114,161 shares of our common stock for approximately $887,000 at an average price per share of $7.77. As of June 30, 2013, no additional shares are authorized for future repurchases due to the expiration of the Stock Repurchase Program.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 believe that our cash and cash equivalents on hand and cash flows generated from operating activities will provide sufficient resources to meet our working capital needs, finance our capital expenditures and dividend payments and meet our liquidity requirements through at least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2012. There have been no material changes in our contractual obligations outside the ordinary course of business since December 31, 2012. We have no material off-balance sheet arrangements as defined in Regulation S-K 303(a)(4)(ii).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2012. There has been no material change in our exposure to market risk during the six months ended June 30, 2013.</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(the “Exchange Act”)) as of the end of the period covered by this report. Based on that evaluation, the Chief Executive Officer and the Chief Financial Officer concluded that the Company’s disclosure controls and procedures were effective as of June 30, 2013. There has been no change in the Company’s internal control over financial reporting during the quarter ended June 30, 2013, that has materially affected, or is reasonably likely to materially affect, the Company’s internal control over financial reporting.</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The rulings by the Eleventh District of Appeals on both the appeal and request are pending.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2012.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27, 2013, the Stock Repurchase Program expired and was not renewed. During the six months ended June 30, 2013, we repurchased 114,161 shares of our common stock for approximately $887,000 at an average price per share of $7.77. As of June 30, 2013, no additional shares are authorized for future repurchases due to the expiration of the Stock Repurchase Program. For additional information, see the discussion under “Management’s Discussion and Analysis of Financial Condition and Results of Operations — Liquidity and Capital Resources — Stock Repurchase Program,” above. The following table summarizes the repurchase of our common stock in the six months ended June 30, 2013: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Number of</w:t>
            </w: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as Part of</w:t>
            </w:r>
          </w:p>
        </w:tc>
        <w:tc>
          <w:tcPr>
            <w:tcW w:w="1100" w:type="dxa"/>
            <w:vAlign w:val="bottom"/>
            <w:gridSpan w:val="3"/>
          </w:tcPr>
          <w:p>
            <w:pPr>
              <w:ind w:left="40"/>
              <w:spacing w:after="0"/>
              <w:rPr>
                <w:sz w:val="20"/>
                <w:szCs w:val="20"/>
                <w:color w:val="auto"/>
              </w:rPr>
            </w:pPr>
            <w:r>
              <w:rPr>
                <w:rFonts w:ascii="Arial" w:cs="Arial" w:eastAsia="Arial" w:hAnsi="Arial"/>
                <w:sz w:val="18"/>
                <w:szCs w:val="18"/>
                <w:color w:val="auto"/>
              </w:rPr>
              <w:t>that May Yet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Total</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Publicly</w:t>
            </w:r>
          </w:p>
        </w:tc>
        <w:tc>
          <w:tcPr>
            <w:tcW w:w="1100" w:type="dxa"/>
            <w:vAlign w:val="bottom"/>
            <w:gridSpan w:val="3"/>
          </w:tcPr>
          <w:p>
            <w:pPr>
              <w:spacing w:after="0"/>
              <w:rPr>
                <w:sz w:val="20"/>
                <w:szCs w:val="20"/>
                <w:color w:val="auto"/>
              </w:rPr>
            </w:pPr>
            <w:r>
              <w:rPr>
                <w:rFonts w:ascii="Arial" w:cs="Arial" w:eastAsia="Arial" w:hAnsi="Arial"/>
                <w:sz w:val="18"/>
                <w:szCs w:val="18"/>
                <w:color w:val="auto"/>
                <w:w w:val="95"/>
              </w:rPr>
              <w:t>Be 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Average</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Announced</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Price Paid</w:t>
            </w:r>
          </w:p>
        </w:tc>
        <w:tc>
          <w:tcPr>
            <w:tcW w:w="8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Plans or</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May 2010</w:t>
            </w: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Period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8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per Share</w:t>
            </w:r>
          </w:p>
        </w:tc>
        <w:tc>
          <w:tcPr>
            <w:tcW w:w="8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Programs</w:t>
            </w: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Program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January 1, 2013 – January 31, 2013</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45,177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7.59</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45,177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February 1, 2013 – February 28, 2013</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23,339</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8.06</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23,339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5,675,000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March 1, 2013 – March 31, 2013</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20,384</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20,384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April 1, 2013 – April 30, 2013</w:t>
            </w: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22,494</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7.75</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22,494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May 1, 2013 – May 31, 2013</w:t>
            </w: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2,767</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7.48</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June 1, 2013 – June 30, 2013</w:t>
            </w:r>
          </w:p>
        </w:tc>
        <w:tc>
          <w:tcPr>
            <w:tcW w:w="160" w:type="dxa"/>
            <w:vAlign w:val="bottom"/>
            <w:gridSpan w:val="2"/>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114,161</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Stock Repurchase Program expired on May 27,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ectPr>
          <w:pgSz w:w="11900" w:h="16838" w:orient="portrait"/>
          <w:cols w:equalWidth="0" w:num="1">
            <w:col w:w="11420"/>
          </w:cols>
          <w:pgMar w:left="240" w:top="513"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None.</w:t>
      </w:r>
    </w:p>
    <w:p>
      <w:pPr>
        <w:spacing w:after="0" w:line="245"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9860" w:type="dxa"/>
            <w:vAlign w:val="bottom"/>
          </w:tcPr>
          <w:p>
            <w:pPr>
              <w:spacing w:after="0"/>
              <w:rPr>
                <w:sz w:val="20"/>
                <w:szCs w:val="20"/>
                <w:color w:val="auto"/>
              </w:rPr>
            </w:pP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Exhibit 31.1</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31.2</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32.1</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32.2</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96"/>
        </w:trPr>
        <w:tc>
          <w:tcPr>
            <w:tcW w:w="1560" w:type="dxa"/>
            <w:vAlign w:val="bottom"/>
          </w:tcPr>
          <w:p>
            <w:pPr>
              <w:spacing w:after="0"/>
              <w:rPr>
                <w:sz w:val="24"/>
                <w:szCs w:val="24"/>
                <w:color w:val="auto"/>
              </w:rPr>
            </w:pPr>
          </w:p>
        </w:tc>
        <w:tc>
          <w:tcPr>
            <w:tcW w:w="9860" w:type="dxa"/>
            <w:vAlign w:val="bottom"/>
          </w:tcPr>
          <w:p>
            <w:pPr>
              <w:ind w:left="4040"/>
              <w:spacing w:after="0"/>
              <w:rPr>
                <w:sz w:val="20"/>
                <w:szCs w:val="20"/>
                <w:color w:val="auto"/>
              </w:rPr>
            </w:pPr>
            <w:r>
              <w:rPr>
                <w:rFonts w:ascii="Arial" w:cs="Arial" w:eastAsia="Arial" w:hAnsi="Arial"/>
                <w:sz w:val="22"/>
                <w:szCs w:val="22"/>
                <w:color w:val="auto"/>
              </w:rPr>
              <w:t>22</w:t>
            </w:r>
          </w:p>
        </w:tc>
      </w:tr>
      <w:tr>
        <w:trPr>
          <w:trHeight w:val="405"/>
        </w:trPr>
        <w:tc>
          <w:tcPr>
            <w:tcW w:w="1560" w:type="dxa"/>
            <w:vAlign w:val="bottom"/>
            <w:tcBorders>
              <w:bottom w:val="single" w:sz="8" w:color="808080"/>
            </w:tcBorders>
          </w:tcPr>
          <w:p>
            <w:pPr>
              <w:spacing w:after="0"/>
              <w:rPr>
                <w:sz w:val="24"/>
                <w:szCs w:val="24"/>
                <w:color w:val="auto"/>
              </w:rPr>
            </w:pPr>
          </w:p>
        </w:tc>
        <w:tc>
          <w:tcPr>
            <w:tcW w:w="9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58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TRANSACT TECHNOLOGIES</w:t>
            </w:r>
          </w:p>
        </w:tc>
      </w:tr>
      <w:tr>
        <w:trPr>
          <w:trHeight w:val="237"/>
        </w:trPr>
        <w:tc>
          <w:tcPr>
            <w:tcW w:w="3340" w:type="dxa"/>
            <w:vAlign w:val="bottom"/>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INCORPORATED</w:t>
            </w:r>
          </w:p>
        </w:tc>
      </w:tr>
      <w:tr>
        <w:trPr>
          <w:trHeight w:val="230"/>
        </w:trPr>
        <w:tc>
          <w:tcPr>
            <w:tcW w:w="334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1"/>
        </w:trPr>
        <w:tc>
          <w:tcPr>
            <w:tcW w:w="3340" w:type="dxa"/>
            <w:vAlign w:val="bottom"/>
          </w:tcPr>
          <w:p>
            <w:pPr>
              <w:spacing w:after="0"/>
              <w:rPr>
                <w:sz w:val="24"/>
                <w:szCs w:val="24"/>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August 7, 2013</w:t>
            </w: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Steven A. DeMartino</w:t>
            </w:r>
          </w:p>
        </w:tc>
      </w:tr>
      <w:tr>
        <w:trPr>
          <w:trHeight w:val="216"/>
        </w:trPr>
        <w:tc>
          <w:tcPr>
            <w:tcW w:w="33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w w:val="99"/>
              </w:rPr>
              <w:t>President, Chief Financial Officer, Treasurer</w:t>
            </w:r>
          </w:p>
        </w:tc>
      </w:tr>
      <w:tr>
        <w:trPr>
          <w:trHeight w:val="216"/>
        </w:trPr>
        <w:tc>
          <w:tcPr>
            <w:tcW w:w="33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and Secretary</w:t>
            </w:r>
          </w:p>
        </w:tc>
      </w:tr>
      <w:tr>
        <w:trPr>
          <w:trHeight w:val="230"/>
        </w:trPr>
        <w:tc>
          <w:tcPr>
            <w:tcW w:w="334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55"/>
        </w:trPr>
        <w:tc>
          <w:tcPr>
            <w:tcW w:w="3340" w:type="dxa"/>
            <w:vAlign w:val="bottom"/>
          </w:tcPr>
          <w:p>
            <w:pPr>
              <w:spacing w:after="0"/>
              <w:rPr>
                <w:sz w:val="24"/>
                <w:szCs w:val="24"/>
                <w:color w:val="auto"/>
              </w:rPr>
            </w:pPr>
          </w:p>
        </w:tc>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R. Albano</w:t>
            </w:r>
          </w:p>
        </w:tc>
      </w:tr>
      <w:tr>
        <w:trPr>
          <w:trHeight w:val="202"/>
        </w:trPr>
        <w:tc>
          <w:tcPr>
            <w:tcW w:w="3340" w:type="dxa"/>
            <w:vAlign w:val="bottom"/>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Chad R. Albano</w:t>
            </w:r>
          </w:p>
        </w:tc>
      </w:tr>
      <w:tr>
        <w:trPr>
          <w:trHeight w:val="216"/>
        </w:trPr>
        <w:tc>
          <w:tcPr>
            <w:tcW w:w="33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Chief  Accounting  Officer  and  Corporate</w:t>
            </w:r>
          </w:p>
        </w:tc>
      </w:tr>
      <w:tr>
        <w:trPr>
          <w:trHeight w:val="216"/>
        </w:trPr>
        <w:tc>
          <w:tcPr>
            <w:tcW w:w="334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Controller</w:t>
            </w:r>
          </w:p>
        </w:tc>
      </w:tr>
      <w:tr>
        <w:trPr>
          <w:trHeight w:val="230"/>
        </w:trPr>
        <w:tc>
          <w:tcPr>
            <w:tcW w:w="334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740" w:type="dxa"/>
            <w:vAlign w:val="bottom"/>
          </w:tcPr>
          <w:p>
            <w:pPr>
              <w:ind w:left="4200"/>
              <w:spacing w:after="0"/>
              <w:rPr>
                <w:sz w:val="20"/>
                <w:szCs w:val="20"/>
                <w:color w:val="auto"/>
              </w:rPr>
            </w:pPr>
            <w:r>
              <w:rPr>
                <w:rFonts w:ascii="Arial" w:cs="Arial" w:eastAsia="Arial" w:hAnsi="Arial"/>
                <w:sz w:val="18"/>
                <w:szCs w:val="18"/>
                <w:color w:val="auto"/>
              </w:rPr>
              <w:t>EXHIBIT LIST</w:t>
            </w:r>
          </w:p>
        </w:tc>
      </w:tr>
      <w:tr>
        <w:trPr>
          <w:trHeight w:val="459"/>
        </w:trPr>
        <w:tc>
          <w:tcPr>
            <w:tcW w:w="9680" w:type="dxa"/>
            <w:vAlign w:val="bottom"/>
            <w:gridSpan w:val="2"/>
          </w:tcPr>
          <w:p>
            <w:pPr>
              <w:spacing w:after="0"/>
              <w:rPr>
                <w:sz w:val="20"/>
                <w:szCs w:val="20"/>
                <w:color w:val="auto"/>
              </w:rPr>
            </w:pPr>
            <w:r>
              <w:rPr>
                <w:rFonts w:ascii="Arial" w:cs="Arial" w:eastAsia="Arial" w:hAnsi="Arial"/>
                <w:sz w:val="18"/>
                <w:szCs w:val="18"/>
                <w:color w:val="auto"/>
              </w:rPr>
              <w:t>The following exhibits are filed herewith.</w:t>
            </w:r>
          </w:p>
        </w:tc>
      </w:tr>
      <w:tr>
        <w:trPr>
          <w:trHeight w:val="466"/>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87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8740" w:type="dxa"/>
            <w:vAlign w:val="bottom"/>
          </w:tcPr>
          <w:p>
            <w:pPr>
              <w:ind w:left="10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8740" w:type="dxa"/>
            <w:vAlign w:val="bottom"/>
          </w:tcPr>
          <w:p>
            <w:pPr>
              <w:ind w:left="10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7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0219"/>
          </w:cols>
          <w:pgMar w:left="240" w:top="517" w:right="1440"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420"/>
          </w:cols>
          <w:pgMar w:left="240" w:top="61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61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TransAct Technologies Incorporated (the “Company”) on Form 10-Q for the period ending June 30, 2013, as filed with the Securities and Exchange Commission on the date hereof (the “Report”), I, Bart C. Shuldman, Chairman and Chief Executive Officer of the Company, certify, pursuant to 18 U.S.C. § 1350, as adopted pursuant to § 906 of the Sarbanes-Oxley Act of 2002, that to the best of my knowledge:</w:t>
      </w:r>
    </w:p>
    <w:p>
      <w:pPr>
        <w:spacing w:after="0" w:line="193" w:lineRule="exact"/>
        <w:rPr>
          <w:sz w:val="20"/>
          <w:szCs w:val="20"/>
          <w:color w:val="auto"/>
        </w:rPr>
      </w:pPr>
    </w:p>
    <w:p>
      <w:pPr>
        <w:ind w:left="820" w:hanging="30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61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TransAct Technologies Incorporated (the “Company”) on Form 10-Q for the period ending June 30, 2013, as filed with the Securities and Exchange Commission on the date hereof (the “Report”), I, Steven A. DeMartino, President, Chief Financial Officer, Treasurer and Secretary of the Company, certify, pursuant to 18 U.S.C. § 1350, as adopted pursuant to § 906 of the Sarbanes-Oxley Act of 2002, that to the best of my knowledge:</w:t>
      </w:r>
    </w:p>
    <w:p>
      <w:pPr>
        <w:spacing w:after="0" w:line="214" w:lineRule="exact"/>
        <w:rPr>
          <w:sz w:val="20"/>
          <w:szCs w:val="20"/>
          <w:color w:val="auto"/>
        </w:rPr>
      </w:pPr>
    </w:p>
    <w:p>
      <w:pPr>
        <w:ind w:left="820" w:hanging="30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Secretary</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2019-12-06T16:19:12Z</dcterms:created>
  <dcterms:modified xsi:type="dcterms:W3CDTF">2019-12-06T16:19:12Z</dcterms:modified>
</cp:coreProperties>
</file>