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31,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2011045</wp:posOffset>
            </wp:positionH>
            <wp:positionV relativeFrom="paragraph">
              <wp:posOffset>156845</wp:posOffset>
            </wp:positionV>
            <wp:extent cx="3120390" cy="8229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20390" cy="8229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TransAct Technologies Incorporated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799" w:right="339" w:bottom="1440" w:gutter="0" w:footer="0" w:header="0"/>
        </w:sectPr>
      </w:pPr>
    </w:p>
    <w:p>
      <w:pPr>
        <w:spacing w:after="0" w:line="203"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0-21121</w:t>
      </w:r>
    </w:p>
    <w:p>
      <w:pPr>
        <w:spacing w:after="0" w:line="31"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7"/>
          <w:szCs w:val="17"/>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06-1456680</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7"/>
          <w:szCs w:val="17"/>
          <w:b w:val="1"/>
          <w:bCs w:val="1"/>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799" w:right="339" w:bottom="1440" w:gutter="0" w:footer="0" w:header="0"/>
          <w:type w:val="continuous"/>
        </w:sectPr>
      </w:pPr>
    </w:p>
    <w:p>
      <w:pPr>
        <w:spacing w:after="0" w:line="14"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One Hamden Center</w:t>
      </w:r>
    </w:p>
    <w:p>
      <w:pPr>
        <w:spacing w:after="0" w:line="31"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7"/>
          <w:szCs w:val="17"/>
          <w:b w:val="1"/>
          <w:bCs w:val="1"/>
          <w:color w:val="auto"/>
        </w:rPr>
        <w:t>2319 Whitney Ave, Suite 3B, Hamden, CT</w:t>
      </w:r>
    </w:p>
    <w:p>
      <w:pPr>
        <w:spacing w:after="0" w:line="21" w:lineRule="exact"/>
        <w:rPr>
          <w:sz w:val="24"/>
          <w:szCs w:val="24"/>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8"/>
          <w:szCs w:val="18"/>
          <w:b w:val="1"/>
          <w:bCs w:val="1"/>
          <w:color w:val="auto"/>
        </w:rPr>
        <w:t>06518</w:t>
      </w:r>
    </w:p>
    <w:p>
      <w:pPr>
        <w:spacing w:after="0" w:line="31"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7"/>
          <w:szCs w:val="17"/>
          <w:b w:val="1"/>
          <w:bCs w:val="1"/>
          <w:color w:val="auto"/>
        </w:rPr>
        <w:t>(Zip Code)</w:t>
      </w:r>
    </w:p>
    <w:p>
      <w:pPr>
        <w:spacing w:after="0" w:line="211" w:lineRule="exact"/>
        <w:rPr>
          <w:sz w:val="24"/>
          <w:szCs w:val="24"/>
          <w:color w:val="auto"/>
        </w:rPr>
      </w:pPr>
    </w:p>
    <w:p>
      <w:pPr>
        <w:sectPr>
          <w:pgSz w:w="11900" w:h="16838" w:orient="portrait"/>
          <w:cols w:equalWidth="0" w:num="2">
            <w:col w:w="7300" w:space="720"/>
            <w:col w:w="3220"/>
          </w:cols>
          <w:pgMar w:left="320" w:top="799"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(203) 859-6800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 Not applicable</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 w:lineRule="exact"/>
        <w:rPr>
          <w:sz w:val="24"/>
          <w:szCs w:val="24"/>
          <w:color w:val="auto"/>
        </w:rPr>
      </w:pPr>
    </w:p>
    <w:tbl>
      <w:tblPr>
        <w:tblLayout w:type="fixed"/>
        <w:tblInd w:w="10" w:type="dxa"/>
        <w:tblCellMar>
          <w:top w:w="0" w:type="dxa"/>
          <w:left w:w="0" w:type="dxa"/>
          <w:bottom w:w="0" w:type="dxa"/>
          <w:right w:w="0" w:type="dxa"/>
        </w:tblCellMar>
      </w:tblPr>
      <w:tr>
        <w:trPr>
          <w:trHeight w:val="209"/>
        </w:trPr>
        <w:tc>
          <w:tcPr>
            <w:tcW w:w="38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8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10"/>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$.01 per share</w:t>
            </w: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TACT</w:t>
            </w:r>
          </w:p>
        </w:tc>
        <w:tc>
          <w:tcPr>
            <w:tcW w:w="4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98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9" w:right="339" w:bottom="1440" w:gutter="0" w:footer="0" w:header="0"/>
          <w:type w:val="continuous"/>
        </w:sectPr>
      </w:pPr>
    </w:p>
    <w:bookmarkStart w:id="1" w:name="page2"/>
    <w:bookmarkEnd w:id="1"/>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March 31, 2026, TransAct Technologies Incorporated (the “Company”) entered into Amendment No. 6 to Lease Agreement (“Lease Amendment”) with Bomax Holdings LLC (the “Landlord”). The Lease Amendment amends the Company’s lease with the Landlord (as successor to Bomax Properties, LLC) dated July 18, 2001 (as amended by Amendment No. 1 to Lease Agreement, dated as of May 8, 2012, Amendment No. 2 to Lease Agreement, dated as of January 14, 2016, Amendment No. 3 to Lease Agreement, dated as of February 28, 2020, Amendment No. 4 to Lease Agreement, dated as of July 15, 2022, and Amendment No. 5 to Lease Agreement, dated as of May 31, 2024, the “Lease”), with respect to the Company’s primary operating facility located at 20 Bomax Drive, Ithaca, New York 14850 (the “Premises”). The Lease was scheduled to expire on May 31, 2026.</w:t>
      </w:r>
    </w:p>
    <w:p>
      <w:pPr>
        <w:spacing w:after="0" w:line="187"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The Lease Amendment extends the term of the Lease for five (5) years and six (6) months, from April 1, 2026 through September 30, 2031 (the “Extended Term”). For the first two years of the Extended Term (April 1, 2026 through March 31, 2028), the monthly base rent will be fixed at $40,022.13. Beginning April 1, 2028, and on each April 1 thereafter through April 1, 2031, the monthly base rent will increase annually, ranging from $40,822.57 for the period April 1, 2028 through March 31, 2029, up to a maximum of $43,347.04 for the final six (6) months of the Extended Term. The previous amount of monthly base rent due under the Lease, prior to the Lease Amendment, was $43,100.75 for the period from May 31, 2025 to the date of the Lease Amendment.</w:t>
      </w:r>
    </w:p>
    <w:p>
      <w:pPr>
        <w:spacing w:after="0" w:line="16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foregoing summary of the terms of the Lease Amendment does not purport to be complete and is qualified in its entirety by reference to the full text of the Lease Amendment, a copy of which is filed herewith as Exhibit 10.1.</w:t>
      </w:r>
    </w:p>
    <w:p>
      <w:pPr>
        <w:sectPr>
          <w:pgSz w:w="11900" w:h="16838" w:orient="portrait"/>
          <w:cols w:equalWidth="0" w:num="1">
            <w:col w:w="11240"/>
          </w:cols>
          <w:pgMar w:left="320" w:top="738" w:right="339" w:bottom="1440" w:gutter="0" w:footer="0" w:header="0"/>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426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262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42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2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19685</wp:posOffset>
            </wp:positionV>
            <wp:extent cx="7132320" cy="145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EE"/>
        </w:rPr>
        <w:t>Amendment No. 6 to Lease Agreement between Bomax Holdings LLC and TransAct Technologies Incorporated, dated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21590</wp:posOffset>
            </wp:positionV>
            <wp:extent cx="63436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43650"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63436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4365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20" w:space="340"/>
            <w:col w:w="9980"/>
          </w:cols>
          <w:pgMar w:left="320" w:top="738" w:right="339" w:bottom="1440" w:gutter="0" w:footer="0" w:header="0"/>
          <w:type w:val="continuous"/>
        </w:sectPr>
      </w:pPr>
    </w:p>
    <w:p>
      <w:pPr>
        <w:spacing w:after="0" w:line="32"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Certain portions of this exhibit (indicated by “[***]”) have been omitted pursuant to Item 601(b)(10)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TRANSACT TECHNOLOGIES INCORPORATED</w:t>
      </w:r>
    </w:p>
    <w:p>
      <w:pPr>
        <w:spacing w:after="0" w:line="229" w:lineRule="exact"/>
        <w:rPr>
          <w:sz w:val="20"/>
          <w:szCs w:val="20"/>
          <w:color w:val="auto"/>
        </w:rPr>
      </w:pPr>
    </w:p>
    <w:tbl>
      <w:tblPr>
        <w:tblLayout w:type="fixed"/>
        <w:tblInd w:w="484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Steven A. DeMartino</w:t>
            </w:r>
          </w:p>
        </w:tc>
      </w:tr>
      <w:tr>
        <w:trPr>
          <w:trHeight w:val="191"/>
        </w:trPr>
        <w:tc>
          <w:tcPr>
            <w:tcW w:w="78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Steven A. DeMartino</w:t>
            </w:r>
          </w:p>
        </w:tc>
      </w:tr>
      <w:tr>
        <w:trPr>
          <w:trHeight w:val="234"/>
        </w:trPr>
        <w:tc>
          <w:tcPr>
            <w:tcW w:w="78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Financial Officer, Treasurer and Secretary</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5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Certain information in this document (indicated by “[***]”) has been excluded pursuant to Item 601(b)(10)(iv) of Regulation S-K because it is not material and is the type that the registrant treats as private or confidential.</w:t>
      </w:r>
    </w:p>
    <w:p>
      <w:pPr>
        <w:spacing w:after="0" w:line="18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AMENDMENT NO. 6 TO</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LEASE AGREEMENT</w:t>
      </w:r>
    </w:p>
    <w:p>
      <w:pPr>
        <w:spacing w:after="0" w:line="203" w:lineRule="exact"/>
        <w:rPr>
          <w:sz w:val="20"/>
          <w:szCs w:val="20"/>
          <w:color w:val="auto"/>
        </w:rPr>
      </w:pPr>
    </w:p>
    <w:p>
      <w:pPr>
        <w:jc w:val="both"/>
        <w:ind w:left="80" w:firstLine="58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THIS AMENDMENT NO. 6 TO LEASE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i w:val="1"/>
          <w:iCs w:val="1"/>
          <w:u w:val="single" w:color="auto"/>
          <w:color w:val="auto"/>
        </w:rPr>
        <w:t>Amendment</w:t>
      </w:r>
      <w:r>
        <w:rPr>
          <w:rFonts w:ascii="Times New Roman" w:cs="Times New Roman" w:eastAsia="Times New Roman" w:hAnsi="Times New Roman"/>
          <w:sz w:val="18"/>
          <w:szCs w:val="18"/>
          <w:color w:val="auto"/>
        </w:rPr>
        <w:t>”) is made effective as of March __, 2026 (the “</w:t>
      </w:r>
      <w:r>
        <w:rPr>
          <w:rFonts w:ascii="Times New Roman" w:cs="Times New Roman" w:eastAsia="Times New Roman" w:hAnsi="Times New Roman"/>
          <w:sz w:val="18"/>
          <w:szCs w:val="18"/>
          <w:i w:val="1"/>
          <w:iCs w:val="1"/>
          <w:u w:val="single" w:color="auto"/>
          <w:color w:val="auto"/>
        </w:rPr>
        <w:t>Effective Date</w:t>
      </w:r>
      <w:r>
        <w:rPr>
          <w:rFonts w:ascii="Times New Roman" w:cs="Times New Roman" w:eastAsia="Times New Roman" w:hAnsi="Times New Roman"/>
          <w:sz w:val="18"/>
          <w:szCs w:val="18"/>
          <w:color w:val="auto"/>
        </w:rPr>
        <w:t>”)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between </w:t>
      </w:r>
      <w:r>
        <w:rPr>
          <w:rFonts w:ascii="Times New Roman" w:cs="Times New Roman" w:eastAsia="Times New Roman" w:hAnsi="Times New Roman"/>
          <w:sz w:val="18"/>
          <w:szCs w:val="18"/>
          <w:b w:val="1"/>
          <w:bCs w:val="1"/>
          <w:color w:val="auto"/>
        </w:rPr>
        <w:t>BOMAX HOLDINGS LLC</w:t>
      </w:r>
      <w:r>
        <w:rPr>
          <w:rFonts w:ascii="Times New Roman" w:cs="Times New Roman" w:eastAsia="Times New Roman" w:hAnsi="Times New Roman"/>
          <w:sz w:val="18"/>
          <w:szCs w:val="18"/>
          <w:color w:val="auto"/>
        </w:rPr>
        <w:t>, a New York limited liability company with an address at 3 East Evergreen Road, No. 1045, New City, New York 10965-5101 (“</w:t>
      </w:r>
      <w:r>
        <w:rPr>
          <w:rFonts w:ascii="Times New Roman" w:cs="Times New Roman" w:eastAsia="Times New Roman" w:hAnsi="Times New Roman"/>
          <w:sz w:val="18"/>
          <w:szCs w:val="18"/>
          <w:i w:val="1"/>
          <w:iCs w:val="1"/>
          <w:u w:val="single" w:color="auto"/>
          <w:color w:val="auto"/>
        </w:rPr>
        <w:t>Landlord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TRANSACT TECHNOLOGIES INCORPORATED</w:t>
      </w:r>
      <w:r>
        <w:rPr>
          <w:rFonts w:ascii="Times New Roman" w:cs="Times New Roman" w:eastAsia="Times New Roman" w:hAnsi="Times New Roman"/>
          <w:sz w:val="18"/>
          <w:szCs w:val="18"/>
          <w:color w:val="auto"/>
        </w:rPr>
        <w:t>, a Delaware corporation with an address at 1 Hamden Center, 2319 Whitney Avenue, Suite 3B, Hamden, Connecticut 06518 (“</w:t>
      </w:r>
      <w:r>
        <w:rPr>
          <w:rFonts w:ascii="Times New Roman" w:cs="Times New Roman" w:eastAsia="Times New Roman" w:hAnsi="Times New Roman"/>
          <w:sz w:val="18"/>
          <w:szCs w:val="18"/>
          <w:i w:val="1"/>
          <w:iCs w:val="1"/>
          <w:u w:val="single" w:color="auto"/>
          <w:color w:val="auto"/>
        </w:rPr>
        <w:t>Tenant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jc w:val="both"/>
        <w:ind w:left="80" w:firstLine="576"/>
        <w:spacing w:after="0" w:line="255" w:lineRule="auto"/>
        <w:tabs>
          <w:tab w:leader="none" w:pos="1128"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Landlord (as successor-in-interest to Bomax Properties, LLC) and Tenant are parties to that certain Lease Agreement dated July 18, 2001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i w:val="1"/>
          <w:iCs w:val="1"/>
          <w:u w:val="single" w:color="auto"/>
          <w:color w:val="auto"/>
        </w:rPr>
        <w:t>Original Lease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as amended by (i) that certain Amendment No. 1 to Lease Agreement dated May 8, 2012 (the “</w:t>
      </w:r>
      <w:r>
        <w:rPr>
          <w:rFonts w:ascii="Times New Roman" w:cs="Times New Roman" w:eastAsia="Times New Roman" w:hAnsi="Times New Roman"/>
          <w:sz w:val="18"/>
          <w:szCs w:val="18"/>
          <w:i w:val="1"/>
          <w:iCs w:val="1"/>
          <w:u w:val="single" w:color="auto"/>
          <w:color w:val="auto"/>
        </w:rPr>
        <w:t>First Amendment</w:t>
      </w:r>
      <w:r>
        <w:rPr>
          <w:rFonts w:ascii="Times New Roman" w:cs="Times New Roman" w:eastAsia="Times New Roman" w:hAnsi="Times New Roman"/>
          <w:sz w:val="18"/>
          <w:szCs w:val="18"/>
          <w:color w:val="auto"/>
        </w:rPr>
        <w:t>”), (ii) that certain Amendment No. 2 to Lease Agreement dated January 14, 2016 (the “</w:t>
      </w:r>
      <w:r>
        <w:rPr>
          <w:rFonts w:ascii="Times New Roman" w:cs="Times New Roman" w:eastAsia="Times New Roman" w:hAnsi="Times New Roman"/>
          <w:sz w:val="18"/>
          <w:szCs w:val="18"/>
          <w:i w:val="1"/>
          <w:iCs w:val="1"/>
          <w:u w:val="single" w:color="auto"/>
          <w:color w:val="auto"/>
        </w:rPr>
        <w:t>Second Amendment</w:t>
      </w:r>
      <w:r>
        <w:rPr>
          <w:rFonts w:ascii="Times New Roman" w:cs="Times New Roman" w:eastAsia="Times New Roman" w:hAnsi="Times New Roman"/>
          <w:sz w:val="18"/>
          <w:szCs w:val="18"/>
          <w:color w:val="auto"/>
        </w:rPr>
        <w:t>”), (iii) that certain Amendment No. 3 to Lease Agreement dated February 28, 2020 (the “</w:t>
      </w:r>
      <w:r>
        <w:rPr>
          <w:rFonts w:ascii="Times New Roman" w:cs="Times New Roman" w:eastAsia="Times New Roman" w:hAnsi="Times New Roman"/>
          <w:sz w:val="18"/>
          <w:szCs w:val="18"/>
          <w:i w:val="1"/>
          <w:iCs w:val="1"/>
          <w:u w:val="single" w:color="auto"/>
          <w:color w:val="auto"/>
        </w:rPr>
        <w:t>Third Amendment</w:t>
      </w:r>
      <w:r>
        <w:rPr>
          <w:rFonts w:ascii="Times New Roman" w:cs="Times New Roman" w:eastAsia="Times New Roman" w:hAnsi="Times New Roman"/>
          <w:sz w:val="18"/>
          <w:szCs w:val="18"/>
          <w:color w:val="auto"/>
        </w:rPr>
        <w:t>”), (iv) that certain Amendment No. 4 to Lease Agreement dated July 15, 2022 (the “</w:t>
      </w:r>
      <w:r>
        <w:rPr>
          <w:rFonts w:ascii="Times New Roman" w:cs="Times New Roman" w:eastAsia="Times New Roman" w:hAnsi="Times New Roman"/>
          <w:sz w:val="18"/>
          <w:szCs w:val="18"/>
          <w:i w:val="1"/>
          <w:iCs w:val="1"/>
          <w:u w:val="single" w:color="auto"/>
          <w:color w:val="auto"/>
        </w:rPr>
        <w:t>Fourth Amendment</w:t>
      </w:r>
      <w:r>
        <w:rPr>
          <w:rFonts w:ascii="Times New Roman" w:cs="Times New Roman" w:eastAsia="Times New Roman" w:hAnsi="Times New Roman"/>
          <w:sz w:val="18"/>
          <w:szCs w:val="18"/>
          <w:color w:val="auto"/>
        </w:rPr>
        <w:t>”), and</w:t>
      </w:r>
    </w:p>
    <w:p>
      <w:pPr>
        <w:spacing w:after="0" w:line="2" w:lineRule="exact"/>
        <w:rPr>
          <w:rFonts w:ascii="Times New Roman" w:cs="Times New Roman" w:eastAsia="Times New Roman" w:hAnsi="Times New Roman"/>
          <w:sz w:val="18"/>
          <w:szCs w:val="18"/>
          <w:color w:val="auto"/>
        </w:rPr>
      </w:pPr>
    </w:p>
    <w:p>
      <w:pPr>
        <w:jc w:val="both"/>
        <w:ind w:left="80" w:hanging="7"/>
        <w:spacing w:after="0" w:line="255" w:lineRule="auto"/>
        <w:tabs>
          <w:tab w:leader="none" w:pos="35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certain Amendment No. 5 to Lease Agreement dated May 31, 2024 (the “</w:t>
      </w:r>
      <w:r>
        <w:rPr>
          <w:rFonts w:ascii="Times New Roman" w:cs="Times New Roman" w:eastAsia="Times New Roman" w:hAnsi="Times New Roman"/>
          <w:sz w:val="18"/>
          <w:szCs w:val="18"/>
          <w:i w:val="1"/>
          <w:iCs w:val="1"/>
          <w:u w:val="single" w:color="auto"/>
          <w:color w:val="auto"/>
        </w:rPr>
        <w:t>Fifth Amendment</w:t>
      </w:r>
      <w:r>
        <w:rPr>
          <w:rFonts w:ascii="Times New Roman" w:cs="Times New Roman" w:eastAsia="Times New Roman" w:hAnsi="Times New Roman"/>
          <w:sz w:val="18"/>
          <w:szCs w:val="18"/>
          <w:color w:val="auto"/>
        </w:rPr>
        <w:t>”; the Original Lease, as so amended, assigned and otherwise heretofore modified, collectively, the “</w:t>
      </w:r>
      <w:r>
        <w:rPr>
          <w:rFonts w:ascii="Times New Roman" w:cs="Times New Roman" w:eastAsia="Times New Roman" w:hAnsi="Times New Roman"/>
          <w:sz w:val="18"/>
          <w:szCs w:val="18"/>
          <w:i w:val="1"/>
          <w:iCs w:val="1"/>
          <w:u w:val="single" w:color="auto"/>
          <w:color w:val="auto"/>
        </w:rPr>
        <w:t>Existing Lease</w:t>
      </w:r>
      <w:r>
        <w:rPr>
          <w:rFonts w:ascii="Times New Roman" w:cs="Times New Roman" w:eastAsia="Times New Roman" w:hAnsi="Times New Roman"/>
          <w:sz w:val="18"/>
          <w:szCs w:val="18"/>
          <w:color w:val="auto"/>
        </w:rPr>
        <w:t>”), covering certain premises located at 20 Bomax Drive, Ithaca, New York (the “</w:t>
      </w:r>
      <w:r>
        <w:rPr>
          <w:rFonts w:ascii="Times New Roman" w:cs="Times New Roman" w:eastAsia="Times New Roman" w:hAnsi="Times New Roman"/>
          <w:sz w:val="18"/>
          <w:szCs w:val="18"/>
          <w:i w:val="1"/>
          <w:iCs w:val="1"/>
          <w:u w:val="single" w:color="auto"/>
          <w:color w:val="auto"/>
        </w:rPr>
        <w:t>Premises</w:t>
      </w:r>
      <w:r>
        <w:rPr>
          <w:rFonts w:ascii="Times New Roman" w:cs="Times New Roman" w:eastAsia="Times New Roman" w:hAnsi="Times New Roman"/>
          <w:sz w:val="18"/>
          <w:szCs w:val="18"/>
          <w:color w:val="auto"/>
        </w:rPr>
        <w:t>”), as more particularly described in the Existing Lease; and</w:t>
      </w:r>
    </w:p>
    <w:p>
      <w:pPr>
        <w:spacing w:after="0" w:line="183"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Existing Lease, by its terms, is set to expire on May 31, 2026 (the “</w:t>
      </w:r>
      <w:r>
        <w:rPr>
          <w:rFonts w:ascii="Times New Roman" w:cs="Times New Roman" w:eastAsia="Times New Roman" w:hAnsi="Times New Roman"/>
          <w:sz w:val="18"/>
          <w:szCs w:val="18"/>
          <w:i w:val="1"/>
          <w:iCs w:val="1"/>
          <w:u w:val="single" w:color="auto"/>
          <w:color w:val="auto"/>
        </w:rPr>
        <w:t>Existing Expiration Date</w:t>
      </w: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jc w:val="both"/>
        <w:ind w:left="80" w:firstLine="576"/>
        <w:spacing w:after="0" w:line="267" w:lineRule="auto"/>
        <w:tabs>
          <w:tab w:leader="none" w:pos="120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u w:val="single" w:color="auto"/>
          <w:color w:val="auto"/>
        </w:rPr>
        <w:t>Section 1(c)</w:t>
      </w:r>
      <w:r>
        <w:rPr>
          <w:rFonts w:ascii="Times New Roman" w:cs="Times New Roman" w:eastAsia="Times New Roman" w:hAnsi="Times New Roman"/>
          <w:sz w:val="18"/>
          <w:szCs w:val="18"/>
          <w:color w:val="auto"/>
        </w:rPr>
        <w:t xml:space="preserve"> of the Third Amendment (as amended by the Fifth Amendment), Tenant has the option (the “</w:t>
      </w:r>
      <w:r>
        <w:rPr>
          <w:rFonts w:ascii="Times New Roman" w:cs="Times New Roman" w:eastAsia="Times New Roman" w:hAnsi="Times New Roman"/>
          <w:sz w:val="18"/>
          <w:szCs w:val="18"/>
          <w:i w:val="1"/>
          <w:iCs w:val="1"/>
          <w:u w:val="single" w:color="auto"/>
          <w:color w:val="auto"/>
        </w:rPr>
        <w:t>Existing Extension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Option</w:t>
      </w:r>
      <w:r>
        <w:rPr>
          <w:rFonts w:ascii="Times New Roman" w:cs="Times New Roman" w:eastAsia="Times New Roman" w:hAnsi="Times New Roman"/>
          <w:sz w:val="18"/>
          <w:szCs w:val="18"/>
          <w:color w:val="auto"/>
        </w:rPr>
        <w:t>”) to extend the term of the Existing Lease for an additional one (1) year, through to and including May 31, 2027 (the “</w:t>
      </w:r>
      <w:r>
        <w:rPr>
          <w:rFonts w:ascii="Times New Roman" w:cs="Times New Roman" w:eastAsia="Times New Roman" w:hAnsi="Times New Roman"/>
          <w:sz w:val="18"/>
          <w:szCs w:val="18"/>
          <w:i w:val="1"/>
          <w:iCs w:val="1"/>
          <w:u w:val="single" w:color="auto"/>
          <w:color w:val="auto"/>
        </w:rPr>
        <w:t>Existing Renewal Term</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p>
    <w:p>
      <w:pPr>
        <w:spacing w:after="0" w:line="175"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and Tenant have agreed to certain modifications to the terms and conditions of the Existing Lease; and</w:t>
      </w:r>
    </w:p>
    <w:p>
      <w:pPr>
        <w:spacing w:after="0" w:line="225" w:lineRule="exact"/>
        <w:rPr>
          <w:rFonts w:ascii="Times New Roman" w:cs="Times New Roman" w:eastAsia="Times New Roman" w:hAnsi="Times New Roman"/>
          <w:sz w:val="18"/>
          <w:szCs w:val="18"/>
          <w:color w:val="auto"/>
        </w:rPr>
      </w:pPr>
    </w:p>
    <w:p>
      <w:pPr>
        <w:ind w:left="660" w:hanging="4"/>
        <w:spacing w:after="0" w:line="282" w:lineRule="auto"/>
        <w:tabs>
          <w:tab w:leader="none" w:pos="115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D0D0D"/>
        </w:rPr>
        <w:t>Landlord and Tenant desire to execute this Amendment to evidence their agreement to modify the Existing Lease in accordance with the terms and conditions hereinafter set forth.</w:t>
      </w:r>
    </w:p>
    <w:p>
      <w:pPr>
        <w:spacing w:after="0" w:line="158" w:lineRule="exact"/>
        <w:rPr>
          <w:sz w:val="20"/>
          <w:szCs w:val="20"/>
          <w:color w:val="auto"/>
        </w:rPr>
      </w:pPr>
    </w:p>
    <w:p>
      <w:pPr>
        <w:ind w:left="80" w:firstLine="583"/>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for good and valuable consideration, the receipt and sufficiency of which are hereby acknowledged, Landlord and Tenant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 hereby agree as follows:</w:t>
      </w:r>
    </w:p>
    <w:p>
      <w:pPr>
        <w:spacing w:after="0" w:line="155" w:lineRule="exact"/>
        <w:rPr>
          <w:sz w:val="20"/>
          <w:szCs w:val="20"/>
          <w:color w:val="auto"/>
        </w:rPr>
      </w:pPr>
    </w:p>
    <w:p>
      <w:pPr>
        <w:ind w:left="1120" w:hanging="464"/>
        <w:spacing w:after="0"/>
        <w:tabs>
          <w:tab w:leader="none" w:pos="11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Incorporation of Recitals. </w:t>
      </w:r>
      <w:r>
        <w:rPr>
          <w:rFonts w:ascii="Times New Roman" w:cs="Times New Roman" w:eastAsia="Times New Roman" w:hAnsi="Times New Roman"/>
          <w:sz w:val="18"/>
          <w:szCs w:val="18"/>
          <w:color w:val="auto"/>
        </w:rPr>
        <w:t>The foregoing recitals are true and correct, and are hereby incorporated into this Amendment as if set forth fully</w:t>
      </w:r>
    </w:p>
    <w:p>
      <w:pPr>
        <w:spacing w:after="0" w:line="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herein.</w:t>
      </w:r>
    </w:p>
    <w:p>
      <w:pPr>
        <w:spacing w:after="0" w:line="203" w:lineRule="exact"/>
        <w:rPr>
          <w:sz w:val="20"/>
          <w:szCs w:val="20"/>
          <w:color w:val="auto"/>
        </w:rPr>
      </w:pPr>
    </w:p>
    <w:p>
      <w:pPr>
        <w:ind w:left="80" w:firstLine="576"/>
        <w:spacing w:after="0" w:line="286" w:lineRule="auto"/>
        <w:tabs>
          <w:tab w:leader="none" w:pos="1137"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Definitions. </w:t>
      </w:r>
      <w:r>
        <w:rPr>
          <w:rFonts w:ascii="Times New Roman" w:cs="Times New Roman" w:eastAsia="Times New Roman" w:hAnsi="Times New Roman"/>
          <w:sz w:val="18"/>
          <w:szCs w:val="18"/>
          <w:color w:val="auto"/>
        </w:rPr>
        <w:t>All capitalized terms used and not otherwise defined herein shall have the respective meanings ascribed to such terms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Existing Lease. The Existing Lease, as amended by this Amendment, shall hereinafter be referred to as the “</w:t>
      </w:r>
      <w:r>
        <w:rPr>
          <w:rFonts w:ascii="Times New Roman" w:cs="Times New Roman" w:eastAsia="Times New Roman" w:hAnsi="Times New Roman"/>
          <w:sz w:val="18"/>
          <w:szCs w:val="18"/>
          <w:i w:val="1"/>
          <w:iCs w:val="1"/>
          <w:u w:val="single" w:color="auto"/>
          <w:color w:val="auto"/>
        </w:rPr>
        <w:t>Lease</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b w:val="1"/>
          <w:bCs w:val="1"/>
          <w:color w:val="auto"/>
        </w:rPr>
      </w:pPr>
    </w:p>
    <w:p>
      <w:pPr>
        <w:ind w:left="1100" w:hanging="444"/>
        <w:spacing w:after="0"/>
        <w:tabs>
          <w:tab w:leader="none" w:pos="11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Existing Extension Option. </w:t>
      </w:r>
      <w:r>
        <w:rPr>
          <w:rFonts w:ascii="Times New Roman" w:cs="Times New Roman" w:eastAsia="Times New Roman" w:hAnsi="Times New Roman"/>
          <w:sz w:val="18"/>
          <w:szCs w:val="18"/>
          <w:color w:val="auto"/>
        </w:rPr>
        <w:t>The Existing Extension Option is hereby deleted in its entirety and is of no further force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jc w:val="both"/>
        <w:ind w:firstLine="721"/>
        <w:spacing w:after="0" w:line="268" w:lineRule="auto"/>
        <w:tabs>
          <w:tab w:leader="none" w:pos="1136"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Extension of Term. </w:t>
      </w:r>
      <w:r>
        <w:rPr>
          <w:rFonts w:ascii="Times New Roman" w:cs="Times New Roman" w:eastAsia="Times New Roman" w:hAnsi="Times New Roman"/>
          <w:sz w:val="18"/>
          <w:szCs w:val="18"/>
          <w:color w:val="auto"/>
        </w:rPr>
        <w:t>The Existing Lease is hereby amended to extend the term of the Existing Lease to September 30, 2031 (the “</w:t>
      </w:r>
      <w:r>
        <w:rPr>
          <w:rFonts w:ascii="Times New Roman" w:cs="Times New Roman" w:eastAsia="Times New Roman" w:hAnsi="Times New Roman"/>
          <w:sz w:val="18"/>
          <w:szCs w:val="18"/>
          <w:i w:val="1"/>
          <w:iCs w:val="1"/>
          <w:u w:val="single" w:color="auto"/>
          <w:color w:val="auto"/>
        </w:rPr>
        <w:t>Extended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u w:val="single" w:color="auto"/>
          <w:color w:val="auto"/>
        </w:rPr>
        <w:t>Term</w:t>
      </w:r>
      <w:r>
        <w:rPr>
          <w:rFonts w:ascii="Times New Roman" w:cs="Times New Roman" w:eastAsia="Times New Roman" w:hAnsi="Times New Roman"/>
          <w:sz w:val="18"/>
          <w:szCs w:val="18"/>
          <w:color w:val="auto"/>
        </w:rPr>
        <w:t>”). Notwithstanding any provision in the Existing Lease to the contrary, commencing on April 1, 2026 and for the remainder of the Extended Term,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 rent shall be as follows:</w:t>
      </w:r>
    </w:p>
    <w:p>
      <w:pPr>
        <w:spacing w:after="0" w:line="173"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600" w:type="dxa"/>
            <w:vAlign w:val="bottom"/>
            <w:tcBorders>
              <w:top w:val="single" w:sz="8" w:color="auto"/>
              <w:left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400" w:type="dxa"/>
            <w:vAlign w:val="bottom"/>
            <w:tcBorders>
              <w:top w:val="single" w:sz="8" w:color="auto"/>
              <w:right w:val="single" w:sz="8" w:color="auto"/>
            </w:tcBorders>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Lease Year</w:t>
            </w:r>
          </w:p>
        </w:tc>
        <w:tc>
          <w:tcPr>
            <w:tcW w:w="4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220" w:type="dxa"/>
            <w:vAlign w:val="bottom"/>
            <w:tcBorders>
              <w:top w:val="single" w:sz="8" w:color="auto"/>
              <w:right w:val="single" w:sz="8" w:color="auto"/>
            </w:tcBorders>
            <w:gridSpan w:val="3"/>
          </w:tcPr>
          <w:p>
            <w:pPr>
              <w:jc w:val="center"/>
              <w:ind w:right="540"/>
              <w:spacing w:after="0" w:line="189" w:lineRule="exact"/>
              <w:rPr>
                <w:sz w:val="20"/>
                <w:szCs w:val="20"/>
                <w:color w:val="auto"/>
              </w:rPr>
            </w:pPr>
            <w:r>
              <w:rPr>
                <w:rFonts w:ascii="Times New Roman" w:cs="Times New Roman" w:eastAsia="Times New Roman" w:hAnsi="Times New Roman"/>
                <w:sz w:val="18"/>
                <w:szCs w:val="18"/>
                <w:b w:val="1"/>
                <w:bCs w:val="1"/>
                <w:color w:val="auto"/>
              </w:rPr>
              <w:t>Rent per</w:t>
            </w:r>
          </w:p>
        </w:tc>
        <w:tc>
          <w:tcPr>
            <w:tcW w:w="2820" w:type="dxa"/>
            <w:vAlign w:val="bottom"/>
            <w:tcBorders>
              <w:top w:val="single" w:sz="8" w:color="auto"/>
              <w:right w:val="single" w:sz="8" w:color="auto"/>
            </w:tcBorders>
            <w:gridSpan w:val="3"/>
          </w:tcPr>
          <w:p>
            <w:pPr>
              <w:jc w:val="center"/>
              <w:ind w:right="40"/>
              <w:spacing w:after="0" w:line="189" w:lineRule="exact"/>
              <w:rPr>
                <w:sz w:val="20"/>
                <w:szCs w:val="20"/>
                <w:color w:val="auto"/>
              </w:rPr>
            </w:pPr>
            <w:r>
              <w:rPr>
                <w:rFonts w:ascii="Times New Roman" w:cs="Times New Roman" w:eastAsia="Times New Roman" w:hAnsi="Times New Roman"/>
                <w:sz w:val="18"/>
                <w:szCs w:val="18"/>
                <w:b w:val="1"/>
                <w:bCs w:val="1"/>
                <w:color w:val="auto"/>
                <w:w w:val="99"/>
              </w:rPr>
              <w:t>Annual Rent</w:t>
            </w:r>
          </w:p>
        </w:tc>
        <w:tc>
          <w:tcPr>
            <w:tcW w:w="840" w:type="dxa"/>
            <w:vAlign w:val="bottom"/>
            <w:tcBorders>
              <w:top w:val="single" w:sz="8" w:color="auto"/>
            </w:tcBorders>
          </w:tcPr>
          <w:p>
            <w:pPr>
              <w:spacing w:after="0"/>
              <w:rPr>
                <w:sz w:val="16"/>
                <w:szCs w:val="16"/>
                <w:color w:val="auto"/>
              </w:rPr>
            </w:pPr>
          </w:p>
        </w:tc>
        <w:tc>
          <w:tcPr>
            <w:tcW w:w="1940" w:type="dxa"/>
            <w:vAlign w:val="bottom"/>
            <w:tcBorders>
              <w:top w:val="single" w:sz="8" w:color="auto"/>
              <w:right w:val="single" w:sz="8" w:color="auto"/>
            </w:tcBorders>
            <w:gridSpan w:val="2"/>
          </w:tcPr>
          <w:p>
            <w:pPr>
              <w:jc w:val="center"/>
              <w:ind w:right="860"/>
              <w:spacing w:after="0" w:line="189" w:lineRule="exact"/>
              <w:rPr>
                <w:sz w:val="20"/>
                <w:szCs w:val="20"/>
                <w:color w:val="auto"/>
              </w:rPr>
            </w:pPr>
            <w:r>
              <w:rPr>
                <w:rFonts w:ascii="Times New Roman" w:cs="Times New Roman" w:eastAsia="Times New Roman" w:hAnsi="Times New Roman"/>
                <w:sz w:val="18"/>
                <w:szCs w:val="18"/>
                <w:b w:val="1"/>
                <w:bCs w:val="1"/>
                <w:color w:val="auto"/>
              </w:rPr>
              <w:t>Monthly Rent</w:t>
            </w:r>
          </w:p>
        </w:tc>
      </w:tr>
      <w:tr>
        <w:trPr>
          <w:trHeight w:val="20"/>
        </w:trPr>
        <w:tc>
          <w:tcPr>
            <w:tcW w:w="600" w:type="dxa"/>
            <w:vAlign w:val="bottom"/>
            <w:tcBorders>
              <w:left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56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tcPr>
          <w:p>
            <w:pPr>
              <w:spacing w:after="0" w:line="20" w:lineRule="exact"/>
              <w:rPr>
                <w:sz w:val="1"/>
                <w:szCs w:val="1"/>
                <w:color w:val="auto"/>
              </w:rPr>
            </w:pPr>
          </w:p>
        </w:tc>
      </w:tr>
      <w:tr>
        <w:trPr>
          <w:trHeight w:val="196"/>
        </w:trPr>
        <w:tc>
          <w:tcPr>
            <w:tcW w:w="600" w:type="dxa"/>
            <w:vAlign w:val="bottom"/>
            <w:tcBorders>
              <w:left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6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gridSpan w:val="5"/>
          </w:tcPr>
          <w:p>
            <w:pPr>
              <w:jc w:val="center"/>
              <w:ind w:right="20"/>
              <w:spacing w:after="0" w:line="196" w:lineRule="exact"/>
              <w:rPr>
                <w:sz w:val="20"/>
                <w:szCs w:val="20"/>
                <w:color w:val="auto"/>
              </w:rPr>
            </w:pPr>
            <w:r>
              <w:rPr>
                <w:rFonts w:ascii="Times New Roman" w:cs="Times New Roman" w:eastAsia="Times New Roman" w:hAnsi="Times New Roman"/>
                <w:sz w:val="18"/>
                <w:szCs w:val="18"/>
                <w:b w:val="1"/>
                <w:bCs w:val="1"/>
                <w:color w:val="auto"/>
                <w:w w:val="99"/>
              </w:rPr>
              <w:t>square foot</w:t>
            </w:r>
          </w:p>
        </w:tc>
        <w:tc>
          <w:tcPr>
            <w:tcW w:w="9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28"/>
        </w:trPr>
        <w:tc>
          <w:tcPr>
            <w:tcW w:w="600" w:type="dxa"/>
            <w:vAlign w:val="bottom"/>
            <w:tcBorders>
              <w:left w:val="single" w:sz="8" w:color="auto"/>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16"/>
        </w:trPr>
        <w:tc>
          <w:tcPr>
            <w:tcW w:w="1280" w:type="dxa"/>
            <w:vAlign w:val="bottom"/>
            <w:tcBorders>
              <w:left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w w:val="99"/>
              </w:rPr>
              <w:t>Year 1 (April 1,</w:t>
            </w:r>
          </w:p>
        </w:tc>
        <w:tc>
          <w:tcPr>
            <w:tcW w:w="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2026</w:t>
            </w:r>
          </w:p>
        </w:tc>
        <w:tc>
          <w:tcPr>
            <w:tcW w:w="228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 March 31, 2027)</w:t>
            </w:r>
          </w:p>
        </w:tc>
        <w:tc>
          <w:tcPr>
            <w:tcW w:w="1180" w:type="dxa"/>
            <w:vAlign w:val="bottom"/>
            <w:tcBorders>
              <w:bottom w:val="single" w:sz="8" w:color="auto"/>
            </w:tcBorders>
            <w:gridSpan w:val="3"/>
          </w:tcPr>
          <w:p>
            <w:pPr>
              <w:jc w:val="center"/>
              <w:ind w:left="370"/>
              <w:spacing w:after="0"/>
              <w:rPr>
                <w:sz w:val="20"/>
                <w:szCs w:val="20"/>
                <w:color w:val="auto"/>
              </w:rPr>
            </w:pPr>
            <w:r>
              <w:rPr>
                <w:rFonts w:ascii="Times New Roman" w:cs="Times New Roman" w:eastAsia="Times New Roman" w:hAnsi="Times New Roman"/>
                <w:sz w:val="18"/>
                <w:szCs w:val="18"/>
                <w:color w:val="auto"/>
                <w:w w:val="98"/>
              </w:rPr>
              <w:t>$6.50</w:t>
            </w: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1880" w:type="dxa"/>
            <w:vAlign w:val="bottom"/>
            <w:tcBorders>
              <w:bottom w:val="single" w:sz="8" w:color="auto"/>
            </w:tcBorders>
            <w:gridSpan w:val="2"/>
          </w:tcPr>
          <w:p>
            <w:pPr>
              <w:jc w:val="center"/>
              <w:ind w:left="810"/>
              <w:spacing w:after="0"/>
              <w:rPr>
                <w:sz w:val="20"/>
                <w:szCs w:val="20"/>
                <w:color w:val="auto"/>
              </w:rPr>
            </w:pPr>
            <w:r>
              <w:rPr>
                <w:rFonts w:ascii="Times New Roman" w:cs="Times New Roman" w:eastAsia="Times New Roman" w:hAnsi="Times New Roman"/>
                <w:sz w:val="18"/>
                <w:szCs w:val="18"/>
                <w:color w:val="auto"/>
                <w:w w:val="99"/>
              </w:rPr>
              <w:t>$480,265.50</w:t>
            </w:r>
          </w:p>
        </w:tc>
        <w:tc>
          <w:tcPr>
            <w:tcW w:w="94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tcBorders>
            <w:gridSpan w:val="2"/>
          </w:tcPr>
          <w:p>
            <w:pPr>
              <w:jc w:val="center"/>
              <w:ind w:left="750"/>
              <w:spacing w:after="0"/>
              <w:rPr>
                <w:sz w:val="20"/>
                <w:szCs w:val="20"/>
                <w:color w:val="auto"/>
              </w:rPr>
            </w:pPr>
            <w:r>
              <w:rPr>
                <w:rFonts w:ascii="Times New Roman" w:cs="Times New Roman" w:eastAsia="Times New Roman" w:hAnsi="Times New Roman"/>
                <w:sz w:val="18"/>
                <w:szCs w:val="18"/>
                <w:color w:val="auto"/>
                <w:w w:val="98"/>
              </w:rPr>
              <w:t>$40,022.13</w:t>
            </w:r>
          </w:p>
        </w:tc>
        <w:tc>
          <w:tcPr>
            <w:tcW w:w="860" w:type="dxa"/>
            <w:vAlign w:val="bottom"/>
            <w:tcBorders>
              <w:bottom w:val="single" w:sz="8" w:color="auto"/>
              <w:right w:val="single" w:sz="8" w:color="auto"/>
            </w:tcBorders>
          </w:tcPr>
          <w:p>
            <w:pPr>
              <w:spacing w:after="0"/>
              <w:rPr>
                <w:sz w:val="18"/>
                <w:szCs w:val="18"/>
                <w:color w:val="auto"/>
              </w:rPr>
            </w:pPr>
          </w:p>
        </w:tc>
      </w:tr>
      <w:tr>
        <w:trPr>
          <w:trHeight w:val="210"/>
        </w:trPr>
        <w:tc>
          <w:tcPr>
            <w:tcW w:w="1280" w:type="dxa"/>
            <w:vAlign w:val="bottom"/>
            <w:tcBorders>
              <w:left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w w:val="99"/>
              </w:rPr>
              <w:t>Year 2 (April 1,</w:t>
            </w:r>
          </w:p>
        </w:tc>
        <w:tc>
          <w:tcPr>
            <w:tcW w:w="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2027</w:t>
            </w:r>
          </w:p>
        </w:tc>
        <w:tc>
          <w:tcPr>
            <w:tcW w:w="228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 March 31, 2028)</w:t>
            </w:r>
          </w:p>
        </w:tc>
        <w:tc>
          <w:tcPr>
            <w:tcW w:w="1180" w:type="dxa"/>
            <w:vAlign w:val="bottom"/>
            <w:tcBorders>
              <w:bottom w:val="single" w:sz="8" w:color="auto"/>
            </w:tcBorders>
            <w:gridSpan w:val="3"/>
          </w:tcPr>
          <w:p>
            <w:pPr>
              <w:jc w:val="center"/>
              <w:ind w:left="370"/>
              <w:spacing w:after="0"/>
              <w:rPr>
                <w:sz w:val="20"/>
                <w:szCs w:val="20"/>
                <w:color w:val="auto"/>
              </w:rPr>
            </w:pPr>
            <w:r>
              <w:rPr>
                <w:rFonts w:ascii="Times New Roman" w:cs="Times New Roman" w:eastAsia="Times New Roman" w:hAnsi="Times New Roman"/>
                <w:sz w:val="18"/>
                <w:szCs w:val="18"/>
                <w:color w:val="auto"/>
                <w:w w:val="98"/>
              </w:rPr>
              <w:t>$6.50</w:t>
            </w: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1880" w:type="dxa"/>
            <w:vAlign w:val="bottom"/>
            <w:tcBorders>
              <w:bottom w:val="single" w:sz="8" w:color="auto"/>
            </w:tcBorders>
            <w:gridSpan w:val="2"/>
          </w:tcPr>
          <w:p>
            <w:pPr>
              <w:jc w:val="center"/>
              <w:ind w:left="810"/>
              <w:spacing w:after="0"/>
              <w:rPr>
                <w:sz w:val="20"/>
                <w:szCs w:val="20"/>
                <w:color w:val="auto"/>
              </w:rPr>
            </w:pPr>
            <w:r>
              <w:rPr>
                <w:rFonts w:ascii="Times New Roman" w:cs="Times New Roman" w:eastAsia="Times New Roman" w:hAnsi="Times New Roman"/>
                <w:sz w:val="18"/>
                <w:szCs w:val="18"/>
                <w:color w:val="auto"/>
                <w:w w:val="99"/>
              </w:rPr>
              <w:t>$480,265.50</w:t>
            </w:r>
          </w:p>
        </w:tc>
        <w:tc>
          <w:tcPr>
            <w:tcW w:w="94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tcBorders>
            <w:gridSpan w:val="2"/>
          </w:tcPr>
          <w:p>
            <w:pPr>
              <w:jc w:val="center"/>
              <w:ind w:left="750"/>
              <w:spacing w:after="0"/>
              <w:rPr>
                <w:sz w:val="20"/>
                <w:szCs w:val="20"/>
                <w:color w:val="auto"/>
              </w:rPr>
            </w:pPr>
            <w:r>
              <w:rPr>
                <w:rFonts w:ascii="Times New Roman" w:cs="Times New Roman" w:eastAsia="Times New Roman" w:hAnsi="Times New Roman"/>
                <w:sz w:val="18"/>
                <w:szCs w:val="18"/>
                <w:color w:val="auto"/>
                <w:w w:val="98"/>
              </w:rPr>
              <w:t>$40,022.13</w:t>
            </w:r>
          </w:p>
        </w:tc>
        <w:tc>
          <w:tcPr>
            <w:tcW w:w="860" w:type="dxa"/>
            <w:vAlign w:val="bottom"/>
            <w:tcBorders>
              <w:bottom w:val="single" w:sz="8" w:color="auto"/>
              <w:right w:val="single" w:sz="8" w:color="auto"/>
            </w:tcBorders>
          </w:tcPr>
          <w:p>
            <w:pPr>
              <w:spacing w:after="0"/>
              <w:rPr>
                <w:sz w:val="18"/>
                <w:szCs w:val="18"/>
                <w:color w:val="auto"/>
              </w:rPr>
            </w:pPr>
          </w:p>
        </w:tc>
      </w:tr>
      <w:tr>
        <w:trPr>
          <w:trHeight w:val="209"/>
        </w:trPr>
        <w:tc>
          <w:tcPr>
            <w:tcW w:w="6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4"/>
              </w:rPr>
              <w:t>Year 3</w:t>
            </w:r>
          </w:p>
        </w:tc>
        <w:tc>
          <w:tcPr>
            <w:tcW w:w="6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9"/>
              </w:rPr>
              <w:t>(April 1,</w:t>
            </w:r>
          </w:p>
        </w:tc>
        <w:tc>
          <w:tcPr>
            <w:tcW w:w="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2028</w:t>
            </w:r>
          </w:p>
        </w:tc>
        <w:tc>
          <w:tcPr>
            <w:tcW w:w="228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 March 31, 2029)</w:t>
            </w:r>
          </w:p>
        </w:tc>
        <w:tc>
          <w:tcPr>
            <w:tcW w:w="1180" w:type="dxa"/>
            <w:vAlign w:val="bottom"/>
            <w:tcBorders>
              <w:bottom w:val="single" w:sz="8" w:color="auto"/>
            </w:tcBorders>
            <w:gridSpan w:val="3"/>
          </w:tcPr>
          <w:p>
            <w:pPr>
              <w:jc w:val="center"/>
              <w:ind w:left="370"/>
              <w:spacing w:after="0"/>
              <w:rPr>
                <w:sz w:val="20"/>
                <w:szCs w:val="20"/>
                <w:color w:val="auto"/>
              </w:rPr>
            </w:pPr>
            <w:r>
              <w:rPr>
                <w:rFonts w:ascii="Times New Roman" w:cs="Times New Roman" w:eastAsia="Times New Roman" w:hAnsi="Times New Roman"/>
                <w:sz w:val="18"/>
                <w:szCs w:val="18"/>
                <w:color w:val="auto"/>
                <w:w w:val="98"/>
              </w:rPr>
              <w:t>$6.63</w:t>
            </w: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1880" w:type="dxa"/>
            <w:vAlign w:val="bottom"/>
            <w:tcBorders>
              <w:bottom w:val="single" w:sz="8" w:color="auto"/>
            </w:tcBorders>
            <w:gridSpan w:val="2"/>
          </w:tcPr>
          <w:p>
            <w:pPr>
              <w:jc w:val="center"/>
              <w:ind w:left="810"/>
              <w:spacing w:after="0"/>
              <w:rPr>
                <w:sz w:val="20"/>
                <w:szCs w:val="20"/>
                <w:color w:val="auto"/>
              </w:rPr>
            </w:pPr>
            <w:r>
              <w:rPr>
                <w:rFonts w:ascii="Times New Roman" w:cs="Times New Roman" w:eastAsia="Times New Roman" w:hAnsi="Times New Roman"/>
                <w:sz w:val="18"/>
                <w:szCs w:val="18"/>
                <w:color w:val="auto"/>
                <w:w w:val="99"/>
              </w:rPr>
              <w:t>$489,870.81</w:t>
            </w:r>
          </w:p>
        </w:tc>
        <w:tc>
          <w:tcPr>
            <w:tcW w:w="94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tcBorders>
            <w:gridSpan w:val="2"/>
          </w:tcPr>
          <w:p>
            <w:pPr>
              <w:jc w:val="center"/>
              <w:ind w:left="750"/>
              <w:spacing w:after="0"/>
              <w:rPr>
                <w:sz w:val="20"/>
                <w:szCs w:val="20"/>
                <w:color w:val="auto"/>
              </w:rPr>
            </w:pPr>
            <w:r>
              <w:rPr>
                <w:rFonts w:ascii="Times New Roman" w:cs="Times New Roman" w:eastAsia="Times New Roman" w:hAnsi="Times New Roman"/>
                <w:sz w:val="18"/>
                <w:szCs w:val="18"/>
                <w:color w:val="auto"/>
                <w:w w:val="98"/>
              </w:rPr>
              <w:t>$40,822.57</w:t>
            </w:r>
          </w:p>
        </w:tc>
        <w:tc>
          <w:tcPr>
            <w:tcW w:w="860" w:type="dxa"/>
            <w:vAlign w:val="bottom"/>
            <w:tcBorders>
              <w:bottom w:val="single" w:sz="8" w:color="auto"/>
              <w:right w:val="single" w:sz="8" w:color="auto"/>
            </w:tcBorders>
          </w:tcPr>
          <w:p>
            <w:pPr>
              <w:spacing w:after="0"/>
              <w:rPr>
                <w:sz w:val="18"/>
                <w:szCs w:val="18"/>
                <w:color w:val="auto"/>
              </w:rPr>
            </w:pPr>
          </w:p>
        </w:tc>
      </w:tr>
      <w:tr>
        <w:trPr>
          <w:trHeight w:val="210"/>
        </w:trPr>
        <w:tc>
          <w:tcPr>
            <w:tcW w:w="6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4"/>
              </w:rPr>
              <w:t>Year 4</w:t>
            </w:r>
          </w:p>
        </w:tc>
        <w:tc>
          <w:tcPr>
            <w:tcW w:w="6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9"/>
              </w:rPr>
              <w:t>(April 1,</w:t>
            </w:r>
          </w:p>
        </w:tc>
        <w:tc>
          <w:tcPr>
            <w:tcW w:w="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2029</w:t>
            </w:r>
          </w:p>
        </w:tc>
        <w:tc>
          <w:tcPr>
            <w:tcW w:w="228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 March 31, 2030)</w:t>
            </w:r>
          </w:p>
        </w:tc>
        <w:tc>
          <w:tcPr>
            <w:tcW w:w="1180" w:type="dxa"/>
            <w:vAlign w:val="bottom"/>
            <w:tcBorders>
              <w:bottom w:val="single" w:sz="8" w:color="auto"/>
            </w:tcBorders>
            <w:gridSpan w:val="3"/>
          </w:tcPr>
          <w:p>
            <w:pPr>
              <w:jc w:val="center"/>
              <w:ind w:left="370"/>
              <w:spacing w:after="0"/>
              <w:rPr>
                <w:sz w:val="20"/>
                <w:szCs w:val="20"/>
                <w:color w:val="auto"/>
              </w:rPr>
            </w:pPr>
            <w:r>
              <w:rPr>
                <w:rFonts w:ascii="Times New Roman" w:cs="Times New Roman" w:eastAsia="Times New Roman" w:hAnsi="Times New Roman"/>
                <w:sz w:val="18"/>
                <w:szCs w:val="18"/>
                <w:color w:val="auto"/>
                <w:w w:val="98"/>
              </w:rPr>
              <w:t>$6.76</w:t>
            </w: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1880" w:type="dxa"/>
            <w:vAlign w:val="bottom"/>
            <w:tcBorders>
              <w:bottom w:val="single" w:sz="8" w:color="auto"/>
            </w:tcBorders>
            <w:gridSpan w:val="2"/>
          </w:tcPr>
          <w:p>
            <w:pPr>
              <w:jc w:val="center"/>
              <w:ind w:left="810"/>
              <w:spacing w:after="0"/>
              <w:rPr>
                <w:sz w:val="20"/>
                <w:szCs w:val="20"/>
                <w:color w:val="auto"/>
              </w:rPr>
            </w:pPr>
            <w:r>
              <w:rPr>
                <w:rFonts w:ascii="Times New Roman" w:cs="Times New Roman" w:eastAsia="Times New Roman" w:hAnsi="Times New Roman"/>
                <w:sz w:val="18"/>
                <w:szCs w:val="18"/>
                <w:color w:val="auto"/>
                <w:w w:val="99"/>
              </w:rPr>
              <w:t>$499,668.23</w:t>
            </w:r>
          </w:p>
        </w:tc>
        <w:tc>
          <w:tcPr>
            <w:tcW w:w="94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tcBorders>
            <w:gridSpan w:val="2"/>
          </w:tcPr>
          <w:p>
            <w:pPr>
              <w:jc w:val="center"/>
              <w:ind w:left="750"/>
              <w:spacing w:after="0"/>
              <w:rPr>
                <w:sz w:val="20"/>
                <w:szCs w:val="20"/>
                <w:color w:val="auto"/>
              </w:rPr>
            </w:pPr>
            <w:r>
              <w:rPr>
                <w:rFonts w:ascii="Times New Roman" w:cs="Times New Roman" w:eastAsia="Times New Roman" w:hAnsi="Times New Roman"/>
                <w:sz w:val="18"/>
                <w:szCs w:val="18"/>
                <w:color w:val="auto"/>
                <w:w w:val="98"/>
              </w:rPr>
              <w:t>$41,639.02</w:t>
            </w:r>
          </w:p>
        </w:tc>
        <w:tc>
          <w:tcPr>
            <w:tcW w:w="860" w:type="dxa"/>
            <w:vAlign w:val="bottom"/>
            <w:tcBorders>
              <w:bottom w:val="single" w:sz="8" w:color="auto"/>
              <w:right w:val="single" w:sz="8" w:color="auto"/>
            </w:tcBorders>
          </w:tcPr>
          <w:p>
            <w:pPr>
              <w:spacing w:after="0"/>
              <w:rPr>
                <w:sz w:val="18"/>
                <w:szCs w:val="18"/>
                <w:color w:val="auto"/>
              </w:rPr>
            </w:pPr>
          </w:p>
        </w:tc>
      </w:tr>
      <w:tr>
        <w:trPr>
          <w:trHeight w:val="209"/>
        </w:trPr>
        <w:tc>
          <w:tcPr>
            <w:tcW w:w="6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4"/>
              </w:rPr>
              <w:t>Year 5</w:t>
            </w:r>
          </w:p>
        </w:tc>
        <w:tc>
          <w:tcPr>
            <w:tcW w:w="6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9"/>
              </w:rPr>
              <w:t>(April 1,</w:t>
            </w:r>
          </w:p>
        </w:tc>
        <w:tc>
          <w:tcPr>
            <w:tcW w:w="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2030</w:t>
            </w:r>
          </w:p>
        </w:tc>
        <w:tc>
          <w:tcPr>
            <w:tcW w:w="228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 March 31, 2031)</w:t>
            </w:r>
          </w:p>
        </w:tc>
        <w:tc>
          <w:tcPr>
            <w:tcW w:w="1180" w:type="dxa"/>
            <w:vAlign w:val="bottom"/>
            <w:tcBorders>
              <w:bottom w:val="single" w:sz="8" w:color="auto"/>
            </w:tcBorders>
            <w:gridSpan w:val="3"/>
          </w:tcPr>
          <w:p>
            <w:pPr>
              <w:jc w:val="center"/>
              <w:ind w:left="370"/>
              <w:spacing w:after="0"/>
              <w:rPr>
                <w:sz w:val="20"/>
                <w:szCs w:val="20"/>
                <w:color w:val="auto"/>
              </w:rPr>
            </w:pPr>
            <w:r>
              <w:rPr>
                <w:rFonts w:ascii="Times New Roman" w:cs="Times New Roman" w:eastAsia="Times New Roman" w:hAnsi="Times New Roman"/>
                <w:sz w:val="18"/>
                <w:szCs w:val="18"/>
                <w:color w:val="auto"/>
                <w:w w:val="98"/>
              </w:rPr>
              <w:t>$6.90</w:t>
            </w: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1880" w:type="dxa"/>
            <w:vAlign w:val="bottom"/>
            <w:tcBorders>
              <w:bottom w:val="single" w:sz="8" w:color="auto"/>
            </w:tcBorders>
            <w:gridSpan w:val="2"/>
          </w:tcPr>
          <w:p>
            <w:pPr>
              <w:jc w:val="center"/>
              <w:ind w:left="810"/>
              <w:spacing w:after="0"/>
              <w:rPr>
                <w:sz w:val="20"/>
                <w:szCs w:val="20"/>
                <w:color w:val="auto"/>
              </w:rPr>
            </w:pPr>
            <w:r>
              <w:rPr>
                <w:rFonts w:ascii="Times New Roman" w:cs="Times New Roman" w:eastAsia="Times New Roman" w:hAnsi="Times New Roman"/>
                <w:sz w:val="18"/>
                <w:szCs w:val="18"/>
                <w:color w:val="auto"/>
                <w:w w:val="99"/>
              </w:rPr>
              <w:t>$509,661.59</w:t>
            </w:r>
          </w:p>
        </w:tc>
        <w:tc>
          <w:tcPr>
            <w:tcW w:w="94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tcBorders>
            <w:gridSpan w:val="2"/>
          </w:tcPr>
          <w:p>
            <w:pPr>
              <w:jc w:val="center"/>
              <w:ind w:left="750"/>
              <w:spacing w:after="0"/>
              <w:rPr>
                <w:sz w:val="20"/>
                <w:szCs w:val="20"/>
                <w:color w:val="auto"/>
              </w:rPr>
            </w:pPr>
            <w:r>
              <w:rPr>
                <w:rFonts w:ascii="Times New Roman" w:cs="Times New Roman" w:eastAsia="Times New Roman" w:hAnsi="Times New Roman"/>
                <w:sz w:val="18"/>
                <w:szCs w:val="18"/>
                <w:color w:val="auto"/>
                <w:w w:val="98"/>
              </w:rPr>
              <w:t>$42,471.80</w:t>
            </w:r>
          </w:p>
        </w:tc>
        <w:tc>
          <w:tcPr>
            <w:tcW w:w="860" w:type="dxa"/>
            <w:vAlign w:val="bottom"/>
            <w:tcBorders>
              <w:bottom w:val="single" w:sz="8" w:color="auto"/>
              <w:right w:val="single" w:sz="8" w:color="auto"/>
            </w:tcBorders>
          </w:tcPr>
          <w:p>
            <w:pPr>
              <w:spacing w:after="0"/>
              <w:rPr>
                <w:sz w:val="18"/>
                <w:szCs w:val="18"/>
                <w:color w:val="auto"/>
              </w:rPr>
            </w:pPr>
          </w:p>
        </w:tc>
      </w:tr>
      <w:tr>
        <w:trPr>
          <w:trHeight w:val="209"/>
        </w:trPr>
        <w:tc>
          <w:tcPr>
            <w:tcW w:w="6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4"/>
              </w:rPr>
              <w:t>Year 6</w:t>
            </w:r>
          </w:p>
        </w:tc>
        <w:tc>
          <w:tcPr>
            <w:tcW w:w="6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9"/>
              </w:rPr>
              <w:t>(April 1,</w:t>
            </w:r>
          </w:p>
        </w:tc>
        <w:tc>
          <w:tcPr>
            <w:tcW w:w="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2031</w:t>
            </w:r>
          </w:p>
        </w:tc>
        <w:tc>
          <w:tcPr>
            <w:tcW w:w="228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 September 30, 2031)</w:t>
            </w:r>
          </w:p>
        </w:tc>
        <w:tc>
          <w:tcPr>
            <w:tcW w:w="1180" w:type="dxa"/>
            <w:vAlign w:val="bottom"/>
            <w:tcBorders>
              <w:bottom w:val="single" w:sz="8" w:color="auto"/>
            </w:tcBorders>
            <w:gridSpan w:val="3"/>
          </w:tcPr>
          <w:p>
            <w:pPr>
              <w:jc w:val="center"/>
              <w:ind w:left="370"/>
              <w:spacing w:after="0"/>
              <w:rPr>
                <w:sz w:val="20"/>
                <w:szCs w:val="20"/>
                <w:color w:val="auto"/>
              </w:rPr>
            </w:pPr>
            <w:r>
              <w:rPr>
                <w:rFonts w:ascii="Times New Roman" w:cs="Times New Roman" w:eastAsia="Times New Roman" w:hAnsi="Times New Roman"/>
                <w:sz w:val="18"/>
                <w:szCs w:val="18"/>
                <w:color w:val="auto"/>
                <w:w w:val="98"/>
              </w:rPr>
              <w:t>$7.04</w:t>
            </w: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1880" w:type="dxa"/>
            <w:vAlign w:val="bottom"/>
            <w:tcBorders>
              <w:bottom w:val="single" w:sz="8" w:color="auto"/>
            </w:tcBorders>
            <w:gridSpan w:val="2"/>
          </w:tcPr>
          <w:p>
            <w:pPr>
              <w:jc w:val="center"/>
              <w:ind w:left="810"/>
              <w:spacing w:after="0"/>
              <w:rPr>
                <w:sz w:val="20"/>
                <w:szCs w:val="20"/>
                <w:color w:val="auto"/>
              </w:rPr>
            </w:pPr>
            <w:r>
              <w:rPr>
                <w:rFonts w:ascii="Times New Roman" w:cs="Times New Roman" w:eastAsia="Times New Roman" w:hAnsi="Times New Roman"/>
                <w:sz w:val="18"/>
                <w:szCs w:val="18"/>
                <w:color w:val="auto"/>
                <w:w w:val="99"/>
              </w:rPr>
              <w:t>$520,164.48</w:t>
            </w:r>
          </w:p>
        </w:tc>
        <w:tc>
          <w:tcPr>
            <w:tcW w:w="94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tcBorders>
            <w:gridSpan w:val="2"/>
          </w:tcPr>
          <w:p>
            <w:pPr>
              <w:jc w:val="center"/>
              <w:ind w:left="750"/>
              <w:spacing w:after="0"/>
              <w:rPr>
                <w:sz w:val="20"/>
                <w:szCs w:val="20"/>
                <w:color w:val="auto"/>
              </w:rPr>
            </w:pPr>
            <w:r>
              <w:rPr>
                <w:rFonts w:ascii="Times New Roman" w:cs="Times New Roman" w:eastAsia="Times New Roman" w:hAnsi="Times New Roman"/>
                <w:sz w:val="18"/>
                <w:szCs w:val="18"/>
                <w:color w:val="auto"/>
                <w:w w:val="98"/>
              </w:rPr>
              <w:t>$43,347.04</w:t>
            </w:r>
          </w:p>
        </w:tc>
        <w:tc>
          <w:tcPr>
            <w:tcW w:w="860" w:type="dxa"/>
            <w:vAlign w:val="bottom"/>
            <w:tcBorders>
              <w:bottom w:val="single" w:sz="8" w:color="auto"/>
              <w:right w:val="single" w:sz="8" w:color="auto"/>
            </w:tcBorders>
          </w:tcPr>
          <w:p>
            <w:pPr>
              <w:spacing w:after="0"/>
              <w:rPr>
                <w:sz w:val="18"/>
                <w:szCs w:val="18"/>
                <w:color w:val="auto"/>
              </w:rPr>
            </w:pPr>
          </w:p>
        </w:tc>
      </w:tr>
    </w:tbl>
    <w:p>
      <w:pPr>
        <w:spacing w:after="0" w:line="194" w:lineRule="exact"/>
        <w:rPr>
          <w:sz w:val="20"/>
          <w:szCs w:val="20"/>
          <w:color w:val="auto"/>
        </w:rPr>
      </w:pPr>
    </w:p>
    <w:p>
      <w:pPr>
        <w:jc w:val="both"/>
        <w:ind w:firstLine="721"/>
        <w:spacing w:after="0" w:line="259" w:lineRule="auto"/>
        <w:tabs>
          <w:tab w:leader="none" w:pos="1098"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Landlord’s Recapture Right. </w:t>
      </w:r>
      <w:r>
        <w:rPr>
          <w:rFonts w:ascii="Times New Roman" w:cs="Times New Roman" w:eastAsia="Times New Roman" w:hAnsi="Times New Roman"/>
          <w:sz w:val="18"/>
          <w:szCs w:val="18"/>
          <w:color w:val="auto"/>
        </w:rPr>
        <w:t>Landlord shall have the right (the “</w:t>
      </w:r>
      <w:r>
        <w:rPr>
          <w:rFonts w:ascii="Times New Roman" w:cs="Times New Roman" w:eastAsia="Times New Roman" w:hAnsi="Times New Roman"/>
          <w:sz w:val="18"/>
          <w:szCs w:val="18"/>
          <w:i w:val="1"/>
          <w:iCs w:val="1"/>
          <w:u w:val="single" w:color="auto"/>
          <w:color w:val="auto"/>
        </w:rPr>
        <w:t>Recapture Right</w:t>
      </w:r>
      <w:r>
        <w:rPr>
          <w:rFonts w:ascii="Times New Roman" w:cs="Times New Roman" w:eastAsia="Times New Roman" w:hAnsi="Times New Roman"/>
          <w:sz w:val="18"/>
          <w:szCs w:val="18"/>
          <w:color w:val="auto"/>
        </w:rPr>
        <w:t>”, at any time during the Extended Term, to recapture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 to eighteen thousand (18,000) rentable square feet of the warehouse and manufacturing space within the Premises, (ii) up to nine thousand (9,000) rentable square feet of the office space within the Premises, and (iii) all unused outdoor space within the Premises (excluding forty-five (45) parking spaces plus any parking spaces required under applicable ADA laws and regulations) (collectively, the “</w:t>
      </w:r>
      <w:r>
        <w:rPr>
          <w:rFonts w:ascii="Times New Roman" w:cs="Times New Roman" w:eastAsia="Times New Roman" w:hAnsi="Times New Roman"/>
          <w:sz w:val="18"/>
          <w:szCs w:val="18"/>
          <w:i w:val="1"/>
          <w:iCs w:val="1"/>
          <w:u w:val="single" w:color="auto"/>
          <w:color w:val="auto"/>
        </w:rPr>
        <w:t>Recapture Space</w:t>
      </w:r>
      <w:r>
        <w:rPr>
          <w:rFonts w:ascii="Times New Roman" w:cs="Times New Roman" w:eastAsia="Times New Roman" w:hAnsi="Times New Roman"/>
          <w:sz w:val="18"/>
          <w:szCs w:val="18"/>
          <w:color w:val="auto"/>
        </w:rPr>
        <w:t>”), exercisable in one or more instances at Landlord's sole discretion, subject to the following conditions:</w:t>
      </w:r>
    </w:p>
    <w:p>
      <w:pPr>
        <w:spacing w:after="0" w:line="183" w:lineRule="exact"/>
        <w:rPr>
          <w:rFonts w:ascii="Times New Roman" w:cs="Times New Roman" w:eastAsia="Times New Roman" w:hAnsi="Times New Roman"/>
          <w:sz w:val="18"/>
          <w:szCs w:val="18"/>
          <w:b w:val="1"/>
          <w:bCs w:val="1"/>
          <w:color w:val="auto"/>
        </w:rPr>
      </w:pPr>
    </w:p>
    <w:p>
      <w:pPr>
        <w:jc w:val="both"/>
        <w:ind w:left="340" w:right="320" w:firstLine="640"/>
        <w:spacing w:after="0" w:line="256" w:lineRule="auto"/>
        <w:tabs>
          <w:tab w:leader="none" w:pos="153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shall provide Tenant with not less than six (6) months’ prior written notice of Landlord’s election to exercise its right to recapture all or a portion of the Recapture Space, which notice will identify the Recapture Space (the “</w:t>
      </w:r>
      <w:r>
        <w:rPr>
          <w:rFonts w:ascii="Times New Roman" w:cs="Times New Roman" w:eastAsia="Times New Roman" w:hAnsi="Times New Roman"/>
          <w:sz w:val="18"/>
          <w:szCs w:val="18"/>
          <w:i w:val="1"/>
          <w:iCs w:val="1"/>
          <w:u w:val="single" w:color="auto"/>
          <w:color w:val="auto"/>
        </w:rPr>
        <w:t>Recapture Notice</w:t>
      </w:r>
      <w:r>
        <w:rPr>
          <w:rFonts w:ascii="Times New Roman" w:cs="Times New Roman" w:eastAsia="Times New Roman" w:hAnsi="Times New Roman"/>
          <w:sz w:val="18"/>
          <w:szCs w:val="18"/>
          <w:color w:val="auto"/>
        </w:rPr>
        <w:t>”). Notwithstanding the foregoing, prior to delivering the Recapture Notice, Landlord will inform Tenant of its interest in exercising the Recapture Right and Landlord shall provide notice once a new lease is executed for the Recapture Space. Tenant will use commercially reasonable best efforts to vacate and surrender the Recapture Space within three (3) months following Tenant’s receipt of the Recapture Notice; provided, however, Tenant shall vacate and surrender the Recapture Space within six (6) months following Tenant’s receipt of the Recapture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5" w:name="page6"/>
    <w:bookmarkEnd w:id="5"/>
    <w:p>
      <w:pPr>
        <w:jc w:val="both"/>
        <w:ind w:left="143" w:right="120" w:firstLine="640"/>
        <w:spacing w:after="0" w:line="266" w:lineRule="auto"/>
        <w:tabs>
          <w:tab w:leader="none" w:pos="152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at its sole cost and expense, shall perform work reasonably necessary to demise the Recapture Space from the remainder of the Premises, in compliance with all applicable laws, ordinances, and regulations, which may include basic demising walls as required by applicable code;</w:t>
      </w:r>
    </w:p>
    <w:p>
      <w:pPr>
        <w:spacing w:after="0" w:line="175" w:lineRule="exact"/>
        <w:rPr>
          <w:rFonts w:ascii="Times New Roman" w:cs="Times New Roman" w:eastAsia="Times New Roman" w:hAnsi="Times New Roman"/>
          <w:sz w:val="18"/>
          <w:szCs w:val="18"/>
          <w:color w:val="auto"/>
        </w:rPr>
      </w:pPr>
    </w:p>
    <w:p>
      <w:pPr>
        <w:jc w:val="both"/>
        <w:ind w:left="143" w:right="120" w:firstLine="640"/>
        <w:spacing w:after="0" w:line="266" w:lineRule="auto"/>
        <w:tabs>
          <w:tab w:leader="none" w:pos="146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specific portion of the Premises that may be recaptured by Landlord as the Recapture Space is identified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or as otherwise agreed to in good faith by the Parties, which agreement shall not be unreasonably withheld, conditioned, or delayed by Tenant;</w:t>
      </w:r>
    </w:p>
    <w:p>
      <w:pPr>
        <w:spacing w:after="0" w:line="175" w:lineRule="exact"/>
        <w:rPr>
          <w:rFonts w:ascii="Times New Roman" w:cs="Times New Roman" w:eastAsia="Times New Roman" w:hAnsi="Times New Roman"/>
          <w:sz w:val="18"/>
          <w:szCs w:val="18"/>
          <w:color w:val="auto"/>
        </w:rPr>
      </w:pPr>
    </w:p>
    <w:p>
      <w:pPr>
        <w:jc w:val="both"/>
        <w:ind w:left="143" w:right="120" w:firstLine="640"/>
        <w:spacing w:after="0" w:line="256" w:lineRule="auto"/>
        <w:tabs>
          <w:tab w:leader="none" w:pos="136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and Tenant shall enter into an amendment to the Lease promptly and without any unreasonably delay to evidence such recapture and to provide for any resulting adjustments to the base rent based on the gross square footage of the Premises remaining after such recapture (calculated on a pro rata basis using the then-current rent per square foot), and to establish Tenant’s proportionate share of real estate taxes, insurance premiums, utilities, and other operating expenses of the Premises, as applicable; provided, however, the rent reduction under the Lease shall become effective upon the date following Landlord’s receipt of the Notice that Tenant vacates and surrenders the Recapture Space regardless of whether Landlord and Tenant have entered into the foregoing amendment to the Lease; and</w:t>
      </w:r>
    </w:p>
    <w:p>
      <w:pPr>
        <w:spacing w:after="0" w:line="187" w:lineRule="exact"/>
        <w:rPr>
          <w:rFonts w:ascii="Times New Roman" w:cs="Times New Roman" w:eastAsia="Times New Roman" w:hAnsi="Times New Roman"/>
          <w:sz w:val="18"/>
          <w:szCs w:val="18"/>
          <w:color w:val="auto"/>
        </w:rPr>
      </w:pPr>
    </w:p>
    <w:p>
      <w:pPr>
        <w:ind w:left="783" w:hanging="454"/>
        <w:spacing w:after="0"/>
        <w:tabs>
          <w:tab w:leader="none" w:pos="78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Parking Rights Restoration.</w:t>
      </w:r>
    </w:p>
    <w:p>
      <w:pPr>
        <w:spacing w:after="0" w:line="225" w:lineRule="exact"/>
        <w:rPr>
          <w:sz w:val="20"/>
          <w:szCs w:val="20"/>
          <w:color w:val="auto"/>
        </w:rPr>
      </w:pPr>
    </w:p>
    <w:p>
      <w:pPr>
        <w:ind w:left="323"/>
        <w:spacing w:after="0" w:line="272" w:lineRule="auto"/>
        <w:rPr>
          <w:sz w:val="20"/>
          <w:szCs w:val="20"/>
          <w:color w:val="auto"/>
        </w:rPr>
      </w:pPr>
      <w:r>
        <w:rPr>
          <w:rFonts w:ascii="Times New Roman" w:cs="Times New Roman" w:eastAsia="Times New Roman" w:hAnsi="Times New Roman"/>
          <w:sz w:val="17"/>
          <w:szCs w:val="17"/>
          <w:color w:val="auto"/>
        </w:rPr>
        <w:t>Paragraph 5 of Amendment No. 5 to Lease Agreement dated May 31, 2024 is hereby deleted in its entirety, declared null and void, and is of no further force or effect. All rights, obligations, and provisions relating to parking that existed under the Original Lease prior to Amendment No. 5 are hereby fully restored and reinstated as if Paragraph 5 of Amendment No. 5 had never been executed. Any and all terms, conditions, restrictions, or modifications to Tenant's parking rights that were imposed by Paragraph 5 of Amendment No. 5 are hereby rendered unenforceable and without any legal effect whatsoever. Notwithstanding the foregoing restoration of prior parking rights, the parties acknowledge and agree that Tenant shall not be responsible for any capital improvement or repair of the driveway and parking lot, as the current condition of these surfaces requires replacement of the base and asphalt rather than routine maintenance. Landlord shall be solely responsible for all costs and expenses associated with any such capital improvements, replacements, or repairs to the base and asphalt of the driveway and parking lot.</w:t>
      </w:r>
    </w:p>
    <w:p>
      <w:pPr>
        <w:spacing w:after="0" w:line="168" w:lineRule="exact"/>
        <w:rPr>
          <w:sz w:val="20"/>
          <w:szCs w:val="20"/>
          <w:color w:val="auto"/>
        </w:rPr>
      </w:pPr>
    </w:p>
    <w:p>
      <w:pPr>
        <w:ind w:left="1163" w:hanging="186"/>
        <w:spacing w:after="0"/>
        <w:tabs>
          <w:tab w:leader="none" w:pos="1163"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229" w:lineRule="exact"/>
        <w:rPr>
          <w:rFonts w:ascii="Times New Roman" w:cs="Times New Roman" w:eastAsia="Times New Roman" w:hAnsi="Times New Roman"/>
          <w:sz w:val="18"/>
          <w:szCs w:val="18"/>
          <w:b w:val="1"/>
          <w:bCs w:val="1"/>
          <w:color w:val="auto"/>
        </w:rPr>
      </w:pPr>
    </w:p>
    <w:p>
      <w:pPr>
        <w:ind w:left="323" w:hanging="323"/>
        <w:spacing w:after="0"/>
        <w:tabs>
          <w:tab w:leader="none" w:pos="32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amended hereby, the Lease remains in full force and effect.</w:t>
      </w:r>
    </w:p>
    <w:p>
      <w:pPr>
        <w:spacing w:after="0" w:line="225" w:lineRule="exact"/>
        <w:rPr>
          <w:rFonts w:ascii="Times New Roman" w:cs="Times New Roman" w:eastAsia="Times New Roman" w:hAnsi="Times New Roman"/>
          <w:sz w:val="18"/>
          <w:szCs w:val="18"/>
          <w:color w:val="auto"/>
        </w:rPr>
      </w:pPr>
    </w:p>
    <w:p>
      <w:pPr>
        <w:jc w:val="both"/>
        <w:ind w:left="323" w:right="260" w:hanging="323"/>
        <w:spacing w:after="0" w:line="256" w:lineRule="auto"/>
        <w:tabs>
          <w:tab w:leader="none" w:pos="32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and Landlord each represent to the other party that, (i) neither party has dealt with any real estate broker, salesperson or finder in connection with this Amendment, (ii) no real estate broker, salesperson or finder initiated or participated in the negotiation of this Amendment, and (iii) no real estate broker, salesperson of finder is entitled to any commission in connection herewith. Landlord and Tenant hereby agree to indemnify, defend and hold each other harmless from and against any and all liabilities, claims, demands, actions, damages, costs and expenses (including attorneys’ fees) arising from any claims of any kind which arises out of or is in any way connected with the other’s breach of the foregoing representation.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353695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3"/>
          </w:cols>
          <w:pgMar w:left="517" w:top="742" w:right="539" w:bottom="1440" w:gutter="0" w:footer="0" w:header="0"/>
        </w:sectPr>
      </w:pPr>
    </w:p>
    <w:bookmarkStart w:id="6" w:name="page7"/>
    <w:bookmarkEnd w:id="6"/>
    <w:p>
      <w:pPr>
        <w:jc w:val="both"/>
        <w:ind w:left="323" w:hanging="323"/>
        <w:spacing w:after="0" w:line="266" w:lineRule="auto"/>
        <w:tabs>
          <w:tab w:leader="none" w:pos="32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shall be governed by, and construed in accordance with, the laws of the State of New York applicable to agreements made and to be performed in the State of New York, and shall be construed without regard to any presumption or other rule requiring the construction of an agreement against the party causing it to be drafted.</w:t>
      </w:r>
    </w:p>
    <w:p>
      <w:pPr>
        <w:spacing w:after="0" w:line="175" w:lineRule="exact"/>
        <w:rPr>
          <w:rFonts w:ascii="Times New Roman" w:cs="Times New Roman" w:eastAsia="Times New Roman" w:hAnsi="Times New Roman"/>
          <w:sz w:val="18"/>
          <w:szCs w:val="18"/>
          <w:color w:val="auto"/>
        </w:rPr>
      </w:pPr>
    </w:p>
    <w:p>
      <w:pPr>
        <w:jc w:val="both"/>
        <w:ind w:left="323" w:hanging="323"/>
        <w:spacing w:after="0" w:line="266" w:lineRule="auto"/>
        <w:tabs>
          <w:tab w:leader="none" w:pos="32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may be executed in any number of counterparts, each of which shall be an original, but which together constitute one and the same instrument. Signatures delivered or transmitted by facsimile or electronic submission (including by means of PDF or DocuSign) shall be deemed original signatures for all purposes of this Amendment.</w:t>
      </w:r>
    </w:p>
    <w:p>
      <w:pPr>
        <w:spacing w:after="0" w:line="175" w:lineRule="exact"/>
        <w:rPr>
          <w:rFonts w:ascii="Times New Roman" w:cs="Times New Roman" w:eastAsia="Times New Roman" w:hAnsi="Times New Roman"/>
          <w:sz w:val="18"/>
          <w:szCs w:val="18"/>
          <w:color w:val="auto"/>
        </w:rPr>
      </w:pPr>
    </w:p>
    <w:p>
      <w:pPr>
        <w:jc w:val="both"/>
        <w:ind w:left="323" w:hanging="323"/>
        <w:spacing w:after="0" w:line="258" w:lineRule="auto"/>
        <w:tabs>
          <w:tab w:leader="none" w:pos="32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hereby confirms that, to its actual knowledge, it has no claim, set-off, counterclaim, defense or other cause of action against Landlord arising out of the Lease for events occurring prior to the Effective Date. To the extent that any such claim, set-off, counterclaim, defense or other cause of action may exist with respect to which Tenant has actual knowledge as of the Effective Date of this Amendment for events occurring prior to the Effective Date; such claim, set-off, counterclaim, defense, or other cause of action is hereby expressly and knowingly waived and released by Tenant.</w:t>
      </w:r>
    </w:p>
    <w:p>
      <w:pPr>
        <w:spacing w:after="0" w:line="183" w:lineRule="exact"/>
        <w:rPr>
          <w:rFonts w:ascii="Times New Roman" w:cs="Times New Roman" w:eastAsia="Times New Roman" w:hAnsi="Times New Roman"/>
          <w:sz w:val="18"/>
          <w:szCs w:val="18"/>
          <w:color w:val="auto"/>
        </w:rPr>
      </w:pPr>
    </w:p>
    <w:p>
      <w:pPr>
        <w:jc w:val="both"/>
        <w:ind w:left="323" w:hanging="323"/>
        <w:spacing w:after="0" w:line="258" w:lineRule="auto"/>
        <w:tabs>
          <w:tab w:leader="none" w:pos="32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hereby confirms that, to its actual knowledge, it has no claim, set-off, counterclaim, defense or other cause of action against Tenant arising out of the Lease for events occurring prior to the Effective Date. To the extent that any such claim, set-off, counterclaim, defense or other cause of action may exist with respect to which Landlord has actual knowledge as of the Effective Date of this Amendment for events occurring prior to the Effective Date, such claim, set-off, counterclaim, defense, or other cause of action is hereby expressly and knowingly waived and released by Landlord.</w:t>
      </w:r>
    </w:p>
    <w:p>
      <w:pPr>
        <w:spacing w:after="0" w:line="179" w:lineRule="exact"/>
        <w:rPr>
          <w:sz w:val="20"/>
          <w:szCs w:val="20"/>
          <w:color w:val="auto"/>
        </w:rPr>
      </w:pPr>
    </w:p>
    <w:p>
      <w:pPr>
        <w:jc w:val="center"/>
        <w:ind w:right="-262"/>
        <w:spacing w:after="0"/>
        <w:rPr>
          <w:sz w:val="20"/>
          <w:szCs w:val="20"/>
          <w:color w:val="auto"/>
        </w:rPr>
      </w:pPr>
      <w:r>
        <w:rPr>
          <w:rFonts w:ascii="Times New Roman" w:cs="Times New Roman" w:eastAsia="Times New Roman" w:hAnsi="Times New Roman"/>
          <w:sz w:val="18"/>
          <w:szCs w:val="18"/>
          <w:b w:val="1"/>
          <w:bCs w:val="1"/>
          <w:i w:val="1"/>
          <w:iCs w:val="1"/>
          <w:color w:val="auto"/>
        </w:rPr>
        <w:t>[BALANCE OF THIS PAGE BLANK; 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379730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3"/>
          </w:cols>
          <w:pgMar w:left="517" w:top="742" w:right="7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have executed this Amendment No. 6 to Lease Agreement as of the date first above written.</w:t>
      </w:r>
    </w:p>
    <w:p>
      <w:pPr>
        <w:spacing w:after="0" w:line="24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LANDLORD:</w:t>
      </w:r>
    </w:p>
    <w:p>
      <w:pPr>
        <w:spacing w:after="0" w:line="22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b w:val="1"/>
          <w:bCs w:val="1"/>
          <w:color w:val="auto"/>
        </w:rPr>
        <w:t>BOMAX HOLDINGS LLC</w:t>
      </w:r>
    </w:p>
    <w:p>
      <w:pPr>
        <w:spacing w:after="0" w:line="22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By:/s/ Mark Junger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3657600</wp:posOffset>
            </wp:positionH>
            <wp:positionV relativeFrom="paragraph">
              <wp:posOffset>17145</wp:posOffset>
            </wp:positionV>
            <wp:extent cx="24942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Mark Junger, Manager</w:t>
      </w:r>
    </w:p>
    <w:p>
      <w:pPr>
        <w:spacing w:after="0" w:line="22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TENANT:</w:t>
      </w:r>
    </w:p>
    <w:p>
      <w:pPr>
        <w:spacing w:after="0" w:line="22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b w:val="1"/>
          <w:bCs w:val="1"/>
          <w:color w:val="auto"/>
        </w:rPr>
        <w:t>TRANSACT TECHNOLOGIES INCORPORATED</w:t>
      </w:r>
    </w:p>
    <w:p>
      <w:pPr>
        <w:spacing w:after="0" w:line="22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By:/s/ John Dillon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3657600</wp:posOffset>
            </wp:positionH>
            <wp:positionV relativeFrom="paragraph">
              <wp:posOffset>17145</wp:posOffset>
            </wp:positionV>
            <wp:extent cx="24942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Name: John Dillon</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Title: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365760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540"/>
          </w:cols>
          <w:pgMar w:left="980" w:top="738" w:right="137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[Floorplan of Potential Recapture Space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Excluded Outdoor Space to be added.]</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514350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019"/>
      </w:cols>
      <w:pgMar w:left="1440" w:top="7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lowerRoman"/>
      <w:start w:val="1"/>
    </w:lvl>
    <w:lvl w:ilvl="1">
      <w:lvlJc w:val="left"/>
      <w:lvlText w:val="%2."/>
      <w:numFmt w:val="upperLetter"/>
      <w:start w:val="1"/>
    </w:lvl>
  </w:abstractNum>
  <w:abstractNum w:abstractNumId="3">
    <w:nsid w:val="515F007C"/>
    <w:multiLevelType w:val="hybridMultilevel"/>
    <w:lvl w:ilvl="0">
      <w:lvlJc w:val="left"/>
      <w:lvlText w:val="(%1)"/>
      <w:numFmt w:val="lowerRoman"/>
      <w:start w:val="5"/>
    </w:lvl>
    <w:lvl w:ilvl="1">
      <w:lvlJc w:val="left"/>
      <w:lvlText w:val="%2."/>
      <w:numFmt w:val="upperLetter"/>
      <w:start w:val="2"/>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2"/>
    </w:lvl>
  </w:abstractNum>
  <w:abstractNum w:abstractNumId="6">
    <w:nsid w:val="4DB127F8"/>
    <w:multiLevelType w:val="hybridMultilevel"/>
    <w:lvl w:ilvl="0">
      <w:lvlJc w:val="left"/>
      <w:lvlText w:val="%1."/>
      <w:numFmt w:val="decimal"/>
      <w:start w:val="4"/>
    </w:lvl>
  </w:abstractNum>
  <w:abstractNum w:abstractNumId="7">
    <w:nsid w:val="216231B"/>
    <w:multiLevelType w:val="hybridMultilevel"/>
    <w:lvl w:ilvl="0">
      <w:lvlJc w:val="left"/>
      <w:lvlText w:val="%1."/>
      <w:numFmt w:val="decimal"/>
      <w:start w:val="5"/>
    </w:lvl>
    <w:lvl w:ilvl="1">
      <w:lvlJc w:val="left"/>
      <w:lvlText w:val="(%2)"/>
      <w:numFmt w:val="lowerLetter"/>
      <w:start w:val="1"/>
    </w:lvl>
  </w:abstractNum>
  <w:abstractNum w:abstractNumId="8">
    <w:nsid w:val="1F16E9E8"/>
    <w:multiLevelType w:val="hybridMultilevel"/>
    <w:lvl w:ilvl="0">
      <w:lvlJc w:val="left"/>
      <w:lvlText w:val="%1"/>
      <w:numFmt w:val="decimal"/>
      <w:start w:val="1"/>
    </w:lvl>
    <w:lvl w:ilvl="1">
      <w:lvlJc w:val="left"/>
      <w:lvlText w:val="(%2)"/>
      <w:numFmt w:val="lowerLetter"/>
      <w:start w:val="2"/>
    </w:lvl>
  </w:abstractNum>
  <w:abstractNum w:abstractNumId="9">
    <w:nsid w:val="1190CDE7"/>
    <w:multiLevelType w:val="hybridMultilevel"/>
    <w:lvl w:ilvl="0">
      <w:lvlJc w:val="left"/>
      <w:lvlText w:val="%1."/>
      <w:numFmt w:val="decimal"/>
      <w:start w:val="6"/>
    </w:lvl>
    <w:lvl w:ilvl="1">
      <w:lvlJc w:val="left"/>
      <w:lvlText w:val="%2"/>
      <w:numFmt w:val="lowerLetter"/>
      <w:start w:val="1"/>
    </w:lvl>
  </w:abstractNum>
  <w:abstractNum w:abstractNumId="10">
    <w:nsid w:val="66EF438D"/>
    <w:multiLevelType w:val="hybridMultilevel"/>
    <w:lvl w:ilvl="0">
      <w:lvlJc w:val="left"/>
      <w:lvlText w:val="%1"/>
      <w:numFmt w:val="lowerLetter"/>
      <w:start w:val="1"/>
    </w:lvl>
    <w:lvl w:ilvl="1">
      <w:lvlJc w:val="left"/>
      <w:lvlText w:val="%2."/>
      <w:numFmt w:val="decimal"/>
      <w:start w:val="7"/>
    </w:lvl>
  </w:abstractNum>
  <w:abstractNum w:abstractNumId="11">
    <w:nsid w:val="140E0F76"/>
    <w:multiLevelType w:val="hybridMultilevel"/>
    <w:lvl w:ilvl="0">
      <w:lvlJc w:val="left"/>
      <w:lvlText w:val="(%1)"/>
      <w:numFmt w:val="lowerLetter"/>
      <w:start w:val="1"/>
    </w:lvl>
    <w:lvl w:ilvl="1">
      <w:lvlJc w:val="left"/>
      <w:lvlText w:val="%2"/>
      <w:numFmt w:val="decimal"/>
      <w:start w:val="1"/>
    </w:lvl>
  </w:abstractNum>
  <w:abstractNum w:abstractNumId="12">
    <w:nsid w:val="3352255A"/>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2026-04-03T15:46:56Z</dcterms:created>
  <dcterms:modified xsi:type="dcterms:W3CDTF">2026-04-03T15:46:56Z</dcterms:modified>
</cp:coreProperties>
</file>