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10-K</w:t>
      </w:r>
    </w:p>
    <w:p>
      <w:pPr>
        <w:spacing w:after="0" w:line="254"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7" w:lineRule="exact"/>
        <w:rPr>
          <w:sz w:val="24"/>
          <w:szCs w:val="24"/>
          <w:color w:val="auto"/>
        </w:rPr>
      </w:pPr>
    </w:p>
    <w:p>
      <w:pPr>
        <w:ind w:left="580" w:hanging="573"/>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580" w:hanging="573"/>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 (d) OF THE SECURITIES EXCHANGE ACT OF 1934</w:t>
      </w:r>
    </w:p>
    <w:p>
      <w:pPr>
        <w:sectPr>
          <w:pgSz w:w="11900" w:h="16838" w:orient="portrait"/>
          <w:cols w:equalWidth="0" w:num="1">
            <w:col w:w="11420"/>
          </w:cols>
          <w:pgMar w:left="240" w:top="219" w:right="239" w:bottom="0" w:gutter="0" w:footer="0" w:header="0"/>
        </w:sectPr>
      </w:pPr>
    </w:p>
    <w:p>
      <w:pPr>
        <w:spacing w:after="0" w:line="200" w:lineRule="exact"/>
        <w:rPr>
          <w:sz w:val="24"/>
          <w:szCs w:val="24"/>
          <w:color w:val="auto"/>
        </w:rPr>
      </w:pPr>
    </w:p>
    <w:p>
      <w:pPr>
        <w:spacing w:after="0" w:line="285"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ectPr>
          <w:pgSz w:w="11900" w:h="16838" w:orient="portrait"/>
          <w:cols w:equalWidth="0" w:num="3">
            <w:col w:w="6500" w:space="720"/>
            <w:col w:w="300" w:space="720"/>
            <w:col w:w="3180"/>
          </w:cols>
          <w:pgMar w:left="240" w:top="219" w:right="239" w:bottom="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0-21121</w:t>
      </w:r>
    </w:p>
    <w:p>
      <w:pPr>
        <w:sectPr>
          <w:pgSz w:w="11900" w:h="16838" w:orient="portrait"/>
          <w:cols w:equalWidth="0" w:num="1">
            <w:col w:w="11420"/>
          </w:cols>
          <w:pgMar w:left="240" w:top="219" w:right="239" w:bottom="0" w:gutter="0" w:footer="0" w:header="0"/>
          <w:type w:val="continuous"/>
        </w:sectPr>
      </w:pPr>
    </w:p>
    <w:p>
      <w:pPr>
        <w:spacing w:after="0" w:line="46"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1807845</wp:posOffset>
            </wp:positionH>
            <wp:positionV relativeFrom="paragraph">
              <wp:posOffset>5080</wp:posOffset>
            </wp:positionV>
            <wp:extent cx="3649345" cy="863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9345" cy="863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0" w:lineRule="exact"/>
        <w:rPr>
          <w:sz w:val="24"/>
          <w:szCs w:val="24"/>
          <w:color w:val="auto"/>
        </w:rPr>
      </w:pPr>
    </w:p>
    <w:tbl>
      <w:tblPr>
        <w:tblLayout w:type="fixed"/>
        <w:tblInd w:w="1160" w:type="dxa"/>
        <w:tblCellMar>
          <w:top w:w="0" w:type="dxa"/>
          <w:left w:w="0" w:type="dxa"/>
          <w:bottom w:w="0" w:type="dxa"/>
          <w:right w:w="0" w:type="dxa"/>
        </w:tblCellMar>
      </w:tblPr>
      <w:tr>
        <w:trPr>
          <w:trHeight w:val="231"/>
        </w:trPr>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gridSpan w:val="2"/>
          </w:tcPr>
          <w:p>
            <w:pPr>
              <w:jc w:val="right"/>
              <w:ind w:right="1611"/>
              <w:spacing w:after="0"/>
              <w:rPr>
                <w:sz w:val="20"/>
                <w:szCs w:val="20"/>
                <w:color w:val="auto"/>
              </w:rPr>
            </w:pPr>
            <w:r>
              <w:rPr>
                <w:rFonts w:ascii="Arial" w:cs="Arial" w:eastAsia="Arial" w:hAnsi="Arial"/>
                <w:sz w:val="18"/>
                <w:szCs w:val="18"/>
                <w:b w:val="1"/>
                <w:bCs w:val="1"/>
                <w:color w:val="auto"/>
              </w:rPr>
              <w:t>06-1456680</w:t>
            </w:r>
          </w:p>
        </w:tc>
      </w:tr>
      <w:tr>
        <w:trPr>
          <w:trHeight w:val="218"/>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180" w:type="dxa"/>
            <w:vAlign w:val="bottom"/>
          </w:tcPr>
          <w:p>
            <w:pPr>
              <w:spacing w:after="0"/>
              <w:rPr>
                <w:sz w:val="18"/>
                <w:szCs w:val="18"/>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397"/>
        </w:trPr>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9"/>
              </w:rPr>
              <w:t>One Hamden Center, 2319 Whitney Avenue, Suite 3B,</w:t>
            </w:r>
          </w:p>
        </w:tc>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1"/>
        </w:trPr>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5"/>
              </w:rPr>
              <w:t>Hamden, CT</w:t>
            </w:r>
          </w:p>
        </w:tc>
        <w:tc>
          <w:tcPr>
            <w:tcW w:w="4440" w:type="dxa"/>
            <w:vAlign w:val="bottom"/>
            <w:gridSpan w:val="2"/>
          </w:tcPr>
          <w:p>
            <w:pPr>
              <w:jc w:val="right"/>
              <w:ind w:right="1831"/>
              <w:spacing w:after="0"/>
              <w:rPr>
                <w:sz w:val="20"/>
                <w:szCs w:val="20"/>
                <w:color w:val="auto"/>
              </w:rPr>
            </w:pPr>
            <w:r>
              <w:rPr>
                <w:rFonts w:ascii="Arial" w:cs="Arial" w:eastAsia="Arial" w:hAnsi="Arial"/>
                <w:sz w:val="18"/>
                <w:szCs w:val="18"/>
                <w:b w:val="1"/>
                <w:bCs w:val="1"/>
                <w:color w:val="auto"/>
              </w:rPr>
              <w:t>06518</w:t>
            </w:r>
          </w:p>
        </w:tc>
      </w:tr>
      <w:tr>
        <w:trPr>
          <w:trHeight w:val="209"/>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(Address of principal executive offices)</w:t>
            </w:r>
          </w:p>
        </w:tc>
        <w:tc>
          <w:tcPr>
            <w:tcW w:w="180" w:type="dxa"/>
            <w:vAlign w:val="bottom"/>
          </w:tcPr>
          <w:p>
            <w:pPr>
              <w:spacing w:after="0"/>
              <w:rPr>
                <w:sz w:val="18"/>
                <w:szCs w:val="18"/>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3"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9" w:lineRule="exact"/>
        <w:rPr>
          <w:sz w:val="24"/>
          <w:szCs w:val="24"/>
          <w:color w:val="auto"/>
        </w:rPr>
      </w:pPr>
    </w:p>
    <w:p>
      <w:pPr>
        <w:ind w:left="1240"/>
        <w:spacing w:after="0"/>
        <w:tabs>
          <w:tab w:leader="none" w:pos="5580" w:val="left"/>
        </w:tabs>
        <w:rPr>
          <w:sz w:val="20"/>
          <w:szCs w:val="20"/>
          <w:color w:val="auto"/>
        </w:rPr>
      </w:pPr>
      <w:r>
        <w:rPr>
          <w:rFonts w:ascii="Arial" w:cs="Arial" w:eastAsia="Arial" w:hAnsi="Arial"/>
          <w:sz w:val="18"/>
          <w:szCs w:val="18"/>
          <w:b w:val="1"/>
          <w:bCs w:val="1"/>
          <w:color w:val="auto"/>
        </w:rPr>
        <w:t>Title of Each Class - Common Stock, par value $.01 per</w:t>
      </w:r>
      <w:r>
        <w:rPr>
          <w:sz w:val="20"/>
          <w:szCs w:val="20"/>
          <w:color w:val="auto"/>
        </w:rPr>
        <w:tab/>
      </w:r>
      <w:r>
        <w:rPr>
          <w:rFonts w:ascii="Arial" w:cs="Arial" w:eastAsia="Arial" w:hAnsi="Arial"/>
          <w:sz w:val="16"/>
          <w:szCs w:val="16"/>
          <w:b w:val="1"/>
          <w:bCs w:val="1"/>
          <w:color w:val="auto"/>
        </w:rPr>
        <w:t>Name of Exchange on which Registered - NASDAQ Global</w:t>
      </w:r>
    </w:p>
    <w:p>
      <w:pPr>
        <w:spacing w:after="0" w:line="23" w:lineRule="exact"/>
        <w:rPr>
          <w:sz w:val="24"/>
          <w:szCs w:val="24"/>
          <w:color w:val="auto"/>
        </w:rPr>
      </w:pPr>
    </w:p>
    <w:p>
      <w:pPr>
        <w:ind w:left="3120"/>
        <w:spacing w:after="0"/>
        <w:tabs>
          <w:tab w:leader="none" w:pos="5580" w:val="left"/>
        </w:tabs>
        <w:rPr>
          <w:sz w:val="20"/>
          <w:szCs w:val="20"/>
          <w:color w:val="auto"/>
        </w:rPr>
      </w:pPr>
      <w:r>
        <w:rPr>
          <w:rFonts w:ascii="Arial" w:cs="Arial" w:eastAsia="Arial" w:hAnsi="Arial"/>
          <w:sz w:val="18"/>
          <w:szCs w:val="18"/>
          <w:b w:val="1"/>
          <w:bCs w:val="1"/>
          <w:color w:val="auto"/>
        </w:rPr>
        <w:t>share</w:t>
      </w:r>
      <w:r>
        <w:rPr>
          <w:sz w:val="20"/>
          <w:szCs w:val="20"/>
          <w:color w:val="auto"/>
        </w:rPr>
        <w:tab/>
      </w:r>
      <w:r>
        <w:rPr>
          <w:rFonts w:ascii="Arial" w:cs="Arial" w:eastAsia="Arial" w:hAnsi="Arial"/>
          <w:sz w:val="18"/>
          <w:szCs w:val="18"/>
          <w:b w:val="1"/>
          <w:bCs w:val="1"/>
          <w:color w:val="auto"/>
        </w:rPr>
        <w:t>Market</w:t>
      </w:r>
    </w:p>
    <w:p>
      <w:pPr>
        <w:spacing w:after="0" w:line="6"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right="60"/>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0" w:lineRule="exact"/>
        <w:rPr>
          <w:sz w:val="24"/>
          <w:szCs w:val="24"/>
          <w:color w:val="auto"/>
        </w:rPr>
      </w:pPr>
    </w:p>
    <w:p>
      <w:pPr>
        <w:jc w:val="both"/>
        <w:ind w:right="160"/>
        <w:spacing w:after="0" w:line="22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0" w:lineRule="exact"/>
        <w:rPr>
          <w:sz w:val="24"/>
          <w:szCs w:val="24"/>
          <w:color w:val="auto"/>
        </w:rPr>
      </w:pPr>
    </w:p>
    <w:p>
      <w:pPr>
        <w:jc w:val="both"/>
        <w:spacing w:after="0" w:line="224"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0" w:lineRule="exact"/>
        <w:rPr>
          <w:sz w:val="24"/>
          <w:szCs w:val="24"/>
          <w:color w:val="auto"/>
        </w:rPr>
      </w:pPr>
    </w:p>
    <w:p>
      <w:pPr>
        <w:jc w:val="both"/>
        <w:spacing w:after="0" w:line="26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19" w:right="239" w:bottom="0" w:gutter="0" w:footer="0" w:header="0"/>
          <w:type w:val="continuous"/>
        </w:sectPr>
      </w:pPr>
    </w:p>
    <w:p>
      <w:pPr>
        <w:spacing w:after="0" w:line="206"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Large accelerated filer o</w:t>
      </w:r>
    </w:p>
    <w:p>
      <w:pPr>
        <w:spacing w:after="0" w:line="17"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23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58" w:lineRule="exact"/>
        <w:rPr>
          <w:sz w:val="24"/>
          <w:szCs w:val="24"/>
          <w:color w:val="auto"/>
        </w:rPr>
      </w:pPr>
    </w:p>
    <w:p>
      <w:pPr>
        <w:sectPr>
          <w:pgSz w:w="11900" w:h="16838" w:orient="portrait"/>
          <w:cols w:equalWidth="0" w:num="3">
            <w:col w:w="6180" w:space="180"/>
            <w:col w:w="1960" w:space="80"/>
            <w:col w:w="3020"/>
          </w:cols>
          <w:pgMar w:left="240" w:top="219"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1" w:lineRule="exact"/>
        <w:rPr>
          <w:sz w:val="24"/>
          <w:szCs w:val="24"/>
          <w:color w:val="auto"/>
        </w:rPr>
      </w:pPr>
    </w:p>
    <w:p>
      <w:pPr>
        <w:sectPr>
          <w:pgSz w:w="11900" w:h="16838" w:orient="portrait"/>
          <w:cols w:equalWidth="0" w:num="3">
            <w:col w:w="8380" w:space="140"/>
            <w:col w:w="440" w:space="120"/>
            <w:col w:w="2340"/>
          </w:cols>
          <w:pgMar w:left="240" w:top="219" w:right="239" w:bottom="0" w:gutter="0" w:footer="0" w:header="0"/>
          <w:type w:val="continuous"/>
        </w:sectPr>
      </w:pPr>
    </w:p>
    <w:p>
      <w:pPr>
        <w:spacing w:after="0" w:line="46"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$64,500,000 based on the last sale price on June 30, 2012.</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2013, the number of shares outstanding of the Company’s common stock, $0.01 par value, was 8,651,684.</w:t>
      </w:r>
    </w:p>
    <w:p>
      <w:pPr>
        <w:sectPr>
          <w:pgSz w:w="11900" w:h="16838" w:orient="portrait"/>
          <w:cols w:equalWidth="0" w:num="1">
            <w:col w:w="11420"/>
          </w:cols>
          <w:pgMar w:left="240" w:top="219"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Portions of the TransAct Technologies Incorporated Proxy Statement to be filed with the Securities and Exchange Commission (SEC) within 120 days after the year covered by this Form 10-K with respect to the 2013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gridSpan w:val="19"/>
          </w:tcPr>
          <w:p>
            <w:pPr>
              <w:jc w:val="center"/>
              <w:ind w:right="2040"/>
              <w:spacing w:after="0"/>
              <w:rPr>
                <w:sz w:val="20"/>
                <w:szCs w:val="20"/>
                <w:color w:val="auto"/>
              </w:rPr>
            </w:pPr>
            <w:r>
              <w:rPr>
                <w:rFonts w:ascii="Arial" w:cs="Arial" w:eastAsia="Arial" w:hAnsi="Arial"/>
                <w:sz w:val="18"/>
                <w:szCs w:val="18"/>
                <w:b w:val="1"/>
                <w:bCs w:val="1"/>
                <w:color w:val="auto"/>
                <w:w w:val="99"/>
              </w:rPr>
              <w:t>TRANSACT TECHNOLOGIES INCORPORATED</w:t>
            </w:r>
          </w:p>
        </w:tc>
        <w:tc>
          <w:tcPr>
            <w:tcW w:w="1520" w:type="dxa"/>
            <w:vAlign w:val="bottom"/>
          </w:tcPr>
          <w:p>
            <w:pPr>
              <w:spacing w:after="0"/>
              <w:rPr>
                <w:sz w:val="17"/>
                <w:szCs w:val="17"/>
                <w:color w:val="auto"/>
              </w:rPr>
            </w:pPr>
          </w:p>
        </w:tc>
      </w:tr>
      <w:tr>
        <w:trPr>
          <w:trHeight w:val="43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gridSpan w:val="8"/>
          </w:tcPr>
          <w:p>
            <w:pPr>
              <w:jc w:val="center"/>
              <w:ind w:right="1700"/>
              <w:spacing w:after="0"/>
              <w:rPr>
                <w:sz w:val="20"/>
                <w:szCs w:val="20"/>
                <w:color w:val="auto"/>
              </w:rPr>
            </w:pPr>
            <w:r>
              <w:rPr>
                <w:rFonts w:ascii="Arial" w:cs="Arial" w:eastAsia="Arial" w:hAnsi="Arial"/>
                <w:sz w:val="18"/>
                <w:szCs w:val="18"/>
                <w:b w:val="1"/>
                <w:bCs w:val="1"/>
                <w:color w:val="auto"/>
                <w:w w:val="87"/>
              </w:rPr>
              <w:t>INDEX</w:t>
            </w:r>
          </w:p>
        </w:tc>
        <w:tc>
          <w:tcPr>
            <w:tcW w:w="2200" w:type="dxa"/>
            <w:vAlign w:val="bottom"/>
            <w:gridSpan w:val="5"/>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gridSpan w:val="13"/>
          </w:tcPr>
          <w:p>
            <w:pPr>
              <w:jc w:val="center"/>
              <w:ind w:right="38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52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line="194"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080" w:type="dxa"/>
            <w:vAlign w:val="bottom"/>
            <w:gridSpan w:val="12"/>
          </w:tcPr>
          <w:p>
            <w:pPr>
              <w:spacing w:after="0"/>
              <w:rPr>
                <w:sz w:val="16"/>
                <w:szCs w:val="16"/>
                <w:color w:val="auto"/>
              </w:rPr>
            </w:pPr>
          </w:p>
        </w:tc>
        <w:tc>
          <w:tcPr>
            <w:tcW w:w="560" w:type="dxa"/>
            <w:vAlign w:val="bottom"/>
            <w:tcBorders>
              <w:top w:val="single" w:sz="8" w:color="0000EE"/>
            </w:tcBorders>
            <w:gridSpan w:val="3"/>
          </w:tcPr>
          <w:p>
            <w:pPr>
              <w:spacing w:after="0"/>
              <w:rPr>
                <w:sz w:val="16"/>
                <w:szCs w:val="16"/>
                <w:color w:val="auto"/>
              </w:rPr>
            </w:pPr>
          </w:p>
        </w:tc>
        <w:tc>
          <w:tcPr>
            <w:tcW w:w="3820" w:type="dxa"/>
            <w:vAlign w:val="bottom"/>
            <w:gridSpan w:val="10"/>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1</w:t>
            </w:r>
          </w:p>
        </w:tc>
      </w:tr>
      <w:tr>
        <w:trPr>
          <w:trHeight w:val="193"/>
        </w:trPr>
        <w:tc>
          <w:tcPr>
            <w:tcW w:w="1160" w:type="dxa"/>
            <w:vAlign w:val="bottom"/>
          </w:tcPr>
          <w:p>
            <w:pPr>
              <w:spacing w:after="0"/>
              <w:rPr>
                <w:sz w:val="16"/>
                <w:szCs w:val="16"/>
                <w:color w:val="auto"/>
              </w:rPr>
            </w:pPr>
          </w:p>
        </w:tc>
        <w:tc>
          <w:tcPr>
            <w:tcW w:w="8740" w:type="dxa"/>
            <w:vAlign w:val="bottom"/>
            <w:gridSpan w:val="3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8">
              <w:r>
                <w:rPr>
                  <w:rFonts w:ascii="Arial" w:cs="Arial" w:eastAsia="Arial" w:hAnsi="Arial"/>
                  <w:sz w:val="18"/>
                  <w:szCs w:val="18"/>
                  <w:color w:val="0000EE"/>
                </w:rPr>
                <w:t>Risk Factors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4</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8740" w:type="dxa"/>
            <w:vAlign w:val="bottom"/>
            <w:gridSpan w:val="3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1B. </w:t>
            </w:r>
            <w:hyperlink w:anchor="page13">
              <w:r>
                <w:rPr>
                  <w:rFonts w:ascii="Arial" w:cs="Arial" w:eastAsia="Arial" w:hAnsi="Arial"/>
                  <w:sz w:val="18"/>
                  <w:szCs w:val="18"/>
                  <w:color w:val="0000EE"/>
                </w:rPr>
                <w:t>Unresolved Staff Comments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8</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12"/>
          </w:tcPr>
          <w:p>
            <w:pPr>
              <w:spacing w:after="0" w:line="194" w:lineRule="exact"/>
              <w:rPr>
                <w:sz w:val="20"/>
                <w:szCs w:val="20"/>
                <w:color w:val="auto"/>
              </w:rPr>
            </w:pPr>
            <w:r>
              <w:rPr>
                <w:rFonts w:ascii="Arial" w:cs="Arial" w:eastAsia="Arial" w:hAnsi="Arial"/>
                <w:sz w:val="18"/>
                <w:szCs w:val="18"/>
                <w:color w:val="0000EE"/>
              </w:rPr>
              <w:t>Properties</w:t>
            </w:r>
          </w:p>
        </w:tc>
        <w:tc>
          <w:tcPr>
            <w:tcW w:w="6080" w:type="dxa"/>
            <w:vAlign w:val="bottom"/>
            <w:gridSpan w:val="17"/>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9</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3.</w:t>
            </w:r>
          </w:p>
        </w:tc>
        <w:tc>
          <w:tcPr>
            <w:tcW w:w="8100" w:type="dxa"/>
            <w:vAlign w:val="bottom"/>
            <w:gridSpan w:val="29"/>
          </w:tcPr>
          <w:p>
            <w:pPr>
              <w:spacing w:after="0" w:line="194"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9</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4.</w:t>
            </w:r>
          </w:p>
        </w:tc>
        <w:tc>
          <w:tcPr>
            <w:tcW w:w="8100" w:type="dxa"/>
            <w:vAlign w:val="bottom"/>
            <w:gridSpan w:val="29"/>
          </w:tcPr>
          <w:p>
            <w:pPr>
              <w:spacing w:after="0" w:line="194"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9</w:t>
            </w:r>
          </w:p>
        </w:tc>
      </w:tr>
      <w:tr>
        <w:trPr>
          <w:trHeight w:val="407"/>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bottom w:val="single" w:sz="8" w:color="0000EE"/>
            </w:tcBorders>
            <w:gridSpan w:val="5"/>
          </w:tcPr>
          <w:p>
            <w:pPr>
              <w:jc w:val="center"/>
              <w:ind w:right="20"/>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PART II.</w:t>
              </w:r>
            </w:hyperlink>
          </w:p>
        </w:tc>
        <w:tc>
          <w:tcPr>
            <w:tcW w:w="376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5.</w:t>
            </w:r>
          </w:p>
        </w:tc>
        <w:tc>
          <w:tcPr>
            <w:tcW w:w="8100" w:type="dxa"/>
            <w:vAlign w:val="bottom"/>
            <w:gridSpan w:val="29"/>
          </w:tcPr>
          <w:p>
            <w:pPr>
              <w:spacing w:after="0" w:line="194"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Market for Registrant’s Common Equity, Related Stockholder Matters and Issuer Purchases of Equity Securities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9</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Selected Financial Data</w:t>
              </w:r>
            </w:hyperlink>
          </w:p>
        </w:tc>
        <w:tc>
          <w:tcPr>
            <w:tcW w:w="6280" w:type="dxa"/>
            <w:vAlign w:val="bottom"/>
            <w:tcBorders>
              <w:top w:val="single" w:sz="8" w:color="0000EE"/>
            </w:tcBorders>
            <w:gridSpan w:val="20"/>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11</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7.</w:t>
            </w:r>
          </w:p>
        </w:tc>
        <w:tc>
          <w:tcPr>
            <w:tcW w:w="8100" w:type="dxa"/>
            <w:vAlign w:val="bottom"/>
            <w:gridSpan w:val="29"/>
          </w:tcPr>
          <w:p>
            <w:pPr>
              <w:spacing w:after="0" w:line="194"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11</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8740" w:type="dxa"/>
            <w:vAlign w:val="bottom"/>
            <w:gridSpan w:val="3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29">
              <w:r>
                <w:rPr>
                  <w:rFonts w:ascii="Arial" w:cs="Arial" w:eastAsia="Arial" w:hAnsi="Arial"/>
                  <w:sz w:val="18"/>
                  <w:szCs w:val="18"/>
                  <w:color w:val="0000EE"/>
                </w:rPr>
                <w:t>Quantitative and Qualitative Disclosures About Market Risk</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23</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15"/>
          </w:tcPr>
          <w:p>
            <w:pPr>
              <w:spacing w:after="0" w:line="194" w:lineRule="exact"/>
              <w:rPr>
                <w:sz w:val="20"/>
                <w:szCs w:val="20"/>
                <w:color w:val="auto"/>
              </w:rPr>
            </w:pPr>
            <w:r>
              <w:rPr>
                <w:rFonts w:ascii="Arial" w:cs="Arial" w:eastAsia="Arial" w:hAnsi="Arial"/>
                <w:sz w:val="18"/>
                <w:szCs w:val="18"/>
                <w:color w:val="0000EE"/>
                <w:w w:val="88"/>
              </w:rPr>
              <w:t>Financial Statements and Supplementary Data</w:t>
            </w:r>
          </w:p>
        </w:tc>
        <w:tc>
          <w:tcPr>
            <w:tcW w:w="1020" w:type="dxa"/>
            <w:vAlign w:val="bottom"/>
            <w:tcBorders>
              <w:top w:val="single" w:sz="8" w:color="0000EE"/>
            </w:tcBorders>
            <w:gridSpan w:val="5"/>
          </w:tcPr>
          <w:p>
            <w:pPr>
              <w:spacing w:after="0"/>
              <w:rPr>
                <w:sz w:val="16"/>
                <w:szCs w:val="16"/>
                <w:color w:val="auto"/>
              </w:rPr>
            </w:pPr>
          </w:p>
        </w:tc>
        <w:tc>
          <w:tcPr>
            <w:tcW w:w="3780" w:type="dxa"/>
            <w:vAlign w:val="bottom"/>
            <w:gridSpan w:val="9"/>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24</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Item 9.</w:t>
            </w:r>
          </w:p>
        </w:tc>
        <w:tc>
          <w:tcPr>
            <w:tcW w:w="8100" w:type="dxa"/>
            <w:vAlign w:val="bottom"/>
            <w:gridSpan w:val="29"/>
          </w:tcPr>
          <w:p>
            <w:pPr>
              <w:spacing w:after="0" w:line="194" w:lineRule="exact"/>
              <w:rPr>
                <w:rFonts w:ascii="Arial" w:cs="Arial" w:eastAsia="Arial" w:hAnsi="Arial"/>
                <w:sz w:val="18"/>
                <w:szCs w:val="18"/>
                <w:color w:val="0000EE"/>
              </w:rPr>
            </w:pPr>
            <w:hyperlink w:anchor="page30">
              <w:r>
                <w:rPr>
                  <w:rFonts w:ascii="Arial" w:cs="Arial" w:eastAsia="Arial" w:hAnsi="Arial"/>
                  <w:sz w:val="18"/>
                  <w:szCs w:val="18"/>
                  <w:color w:val="0000EE"/>
                </w:rPr>
                <w:t>Changes in and Disagreements with Accountants on Accounting and Financial Disclosure</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24</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8740" w:type="dxa"/>
            <w:vAlign w:val="bottom"/>
            <w:gridSpan w:val="3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30">
              <w:r>
                <w:rPr>
                  <w:rFonts w:ascii="Arial" w:cs="Arial" w:eastAsia="Arial" w:hAnsi="Arial"/>
                  <w:sz w:val="18"/>
                  <w:szCs w:val="18"/>
                  <w:color w:val="0000EE"/>
                </w:rPr>
                <w:t>Controls and Procedures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24</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8740" w:type="dxa"/>
            <w:vAlign w:val="bottom"/>
            <w:gridSpan w:val="3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Item 9B. </w:t>
            </w:r>
            <w:hyperlink w:anchor="page30">
              <w:r>
                <w:rPr>
                  <w:rFonts w:ascii="Arial" w:cs="Arial" w:eastAsia="Arial" w:hAnsi="Arial"/>
                  <w:sz w:val="18"/>
                  <w:szCs w:val="18"/>
                  <w:color w:val="0000EE"/>
                </w:rPr>
                <w:t>Other Information</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24</w:t>
            </w:r>
          </w:p>
        </w:tc>
      </w:tr>
      <w:tr>
        <w:trPr>
          <w:trHeight w:val="407"/>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0000EE"/>
            </w:tcBorders>
            <w:gridSpan w:val="6"/>
          </w:tcPr>
          <w:p>
            <w:pPr>
              <w:jc w:val="center"/>
              <w:ind w:right="20"/>
              <w:spacing w:after="0"/>
              <w:rPr>
                <w:rFonts w:ascii="Arial" w:cs="Arial" w:eastAsia="Arial" w:hAnsi="Arial"/>
                <w:sz w:val="18"/>
                <w:szCs w:val="18"/>
                <w:color w:val="0000EE"/>
                <w:w w:val="84"/>
              </w:rPr>
            </w:pPr>
            <w:hyperlink w:anchor="page30">
              <w:r>
                <w:rPr>
                  <w:rFonts w:ascii="Arial" w:cs="Arial" w:eastAsia="Arial" w:hAnsi="Arial"/>
                  <w:sz w:val="18"/>
                  <w:szCs w:val="18"/>
                  <w:color w:val="0000EE"/>
                  <w:w w:val="84"/>
                </w:rPr>
                <w:t>PART III.</w:t>
              </w:r>
            </w:hyperlink>
          </w:p>
        </w:tc>
        <w:tc>
          <w:tcPr>
            <w:tcW w:w="3740" w:type="dxa"/>
            <w:vAlign w:val="bottom"/>
            <w:gridSpan w:val="7"/>
          </w:tcPr>
          <w:p>
            <w:pPr>
              <w:spacing w:after="0"/>
              <w:rPr>
                <w:sz w:val="24"/>
                <w:szCs w:val="24"/>
                <w:color w:val="auto"/>
              </w:rPr>
            </w:pPr>
          </w:p>
        </w:tc>
        <w:tc>
          <w:tcPr>
            <w:tcW w:w="152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10.</w:t>
            </w:r>
          </w:p>
        </w:tc>
        <w:tc>
          <w:tcPr>
            <w:tcW w:w="4060" w:type="dxa"/>
            <w:vAlign w:val="bottom"/>
            <w:tcBorders>
              <w:bottom w:val="single" w:sz="8" w:color="0000EE"/>
            </w:tcBorders>
            <w:gridSpan w:val="17"/>
          </w:tcPr>
          <w:p>
            <w:pPr>
              <w:spacing w:after="0" w:line="194" w:lineRule="exact"/>
              <w:rPr>
                <w:sz w:val="20"/>
                <w:szCs w:val="20"/>
                <w:color w:val="auto"/>
              </w:rPr>
            </w:pPr>
            <w:r>
              <w:rPr>
                <w:rFonts w:ascii="Arial" w:cs="Arial" w:eastAsia="Arial" w:hAnsi="Arial"/>
                <w:sz w:val="18"/>
                <w:szCs w:val="18"/>
                <w:color w:val="0000EE"/>
                <w:w w:val="89"/>
              </w:rPr>
              <w:t>Directors, Executive Officers and Corporate Governance</w:t>
            </w:r>
          </w:p>
        </w:tc>
        <w:tc>
          <w:tcPr>
            <w:tcW w:w="4040" w:type="dxa"/>
            <w:vAlign w:val="bottom"/>
            <w:gridSpan w:val="12"/>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24</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11.</w:t>
            </w:r>
          </w:p>
        </w:tc>
        <w:tc>
          <w:tcPr>
            <w:tcW w:w="8100" w:type="dxa"/>
            <w:vAlign w:val="bottom"/>
            <w:gridSpan w:val="29"/>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25</w:t>
            </w: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12.</w:t>
            </w:r>
          </w:p>
        </w:tc>
        <w:tc>
          <w:tcPr>
            <w:tcW w:w="8100" w:type="dxa"/>
            <w:vAlign w:val="bottom"/>
            <w:gridSpan w:val="29"/>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25</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13.</w:t>
            </w:r>
          </w:p>
        </w:tc>
        <w:tc>
          <w:tcPr>
            <w:tcW w:w="7200" w:type="dxa"/>
            <w:vAlign w:val="bottom"/>
            <w:tcBorders>
              <w:top w:val="single" w:sz="8" w:color="0000EE"/>
            </w:tcBorders>
            <w:gridSpan w:val="27"/>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900" w:type="dxa"/>
            <w:vAlign w:val="bottom"/>
            <w:gridSpan w:val="2"/>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25</w:t>
            </w: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14.</w:t>
            </w:r>
          </w:p>
        </w:tc>
        <w:tc>
          <w:tcPr>
            <w:tcW w:w="5380" w:type="dxa"/>
            <w:vAlign w:val="bottom"/>
            <w:tcBorders>
              <w:top w:val="single" w:sz="8" w:color="0000EE"/>
            </w:tcBorders>
            <w:gridSpan w:val="23"/>
          </w:tcPr>
          <w:p>
            <w:pPr>
              <w:spacing w:after="0" w:line="194" w:lineRule="exact"/>
              <w:rPr>
                <w:rFonts w:ascii="Arial" w:cs="Arial" w:eastAsia="Arial" w:hAnsi="Arial"/>
                <w:sz w:val="18"/>
                <w:szCs w:val="18"/>
                <w:color w:val="0000EE"/>
              </w:rPr>
            </w:pPr>
            <w:hyperlink w:anchor="page32">
              <w:r>
                <w:rPr>
                  <w:rFonts w:ascii="Arial" w:cs="Arial" w:eastAsia="Arial" w:hAnsi="Arial"/>
                  <w:sz w:val="18"/>
                  <w:szCs w:val="18"/>
                  <w:color w:val="0000EE"/>
                </w:rPr>
                <w:t>Principal Accounting Fees and Services</w:t>
              </w:r>
            </w:hyperlink>
          </w:p>
        </w:tc>
        <w:tc>
          <w:tcPr>
            <w:tcW w:w="2720" w:type="dxa"/>
            <w:vAlign w:val="bottom"/>
            <w:gridSpan w:val="6"/>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25</w:t>
            </w:r>
          </w:p>
        </w:tc>
      </w:tr>
      <w:tr>
        <w:trPr>
          <w:trHeight w:val="407"/>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gridSpan w:val="13"/>
          </w:tcPr>
          <w:p>
            <w:pPr>
              <w:jc w:val="center"/>
              <w:ind w:right="3760"/>
              <w:spacing w:after="0"/>
              <w:rPr>
                <w:rFonts w:ascii="Arial" w:cs="Arial" w:eastAsia="Arial" w:hAnsi="Arial"/>
                <w:sz w:val="18"/>
                <w:szCs w:val="18"/>
                <w:color w:val="0000EE"/>
                <w:w w:val="82"/>
              </w:rPr>
            </w:pPr>
            <w:hyperlink w:anchor="page32">
              <w:r>
                <w:rPr>
                  <w:rFonts w:ascii="Arial" w:cs="Arial" w:eastAsia="Arial" w:hAnsi="Arial"/>
                  <w:sz w:val="18"/>
                  <w:szCs w:val="18"/>
                  <w:color w:val="0000EE"/>
                  <w:w w:val="82"/>
                </w:rPr>
                <w:t>PART IV.</w:t>
              </w:r>
            </w:hyperlink>
          </w:p>
        </w:tc>
        <w:tc>
          <w:tcPr>
            <w:tcW w:w="152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w w:val="95"/>
              </w:rPr>
              <w:t>Item 15.</w:t>
            </w:r>
          </w:p>
        </w:tc>
        <w:tc>
          <w:tcPr>
            <w:tcW w:w="600" w:type="dxa"/>
            <w:vAlign w:val="bottom"/>
            <w:tcBorders>
              <w:bottom w:val="single" w:sz="8" w:color="0000EE"/>
            </w:tcBorders>
            <w:gridSpan w:val="3"/>
          </w:tcPr>
          <w:p>
            <w:pPr>
              <w:spacing w:after="0" w:line="194" w:lineRule="exact"/>
              <w:rPr>
                <w:sz w:val="20"/>
                <w:szCs w:val="20"/>
                <w:color w:val="auto"/>
              </w:rPr>
            </w:pPr>
            <w:r>
              <w:rPr>
                <w:rFonts w:ascii="Arial" w:cs="Arial" w:eastAsia="Arial" w:hAnsi="Arial"/>
                <w:sz w:val="18"/>
                <w:szCs w:val="18"/>
                <w:color w:val="0000EE"/>
                <w:w w:val="91"/>
              </w:rPr>
              <w:t>Exhibits</w:t>
            </w:r>
          </w:p>
        </w:tc>
        <w:tc>
          <w:tcPr>
            <w:tcW w:w="3120" w:type="dxa"/>
            <w:vAlign w:val="bottom"/>
            <w:gridSpan w:val="13"/>
          </w:tcPr>
          <w:p>
            <w:pPr>
              <w:spacing w:after="0"/>
              <w:rPr>
                <w:sz w:val="16"/>
                <w:szCs w:val="16"/>
                <w:color w:val="auto"/>
              </w:rPr>
            </w:pPr>
          </w:p>
        </w:tc>
        <w:tc>
          <w:tcPr>
            <w:tcW w:w="620" w:type="dxa"/>
            <w:vAlign w:val="bottom"/>
            <w:tcBorders>
              <w:top w:val="single" w:sz="8" w:color="0000EE"/>
            </w:tcBorders>
            <w:gridSpan w:val="5"/>
          </w:tcPr>
          <w:p>
            <w:pPr>
              <w:spacing w:after="0"/>
              <w:rPr>
                <w:sz w:val="16"/>
                <w:szCs w:val="16"/>
                <w:color w:val="auto"/>
              </w:rPr>
            </w:pPr>
          </w:p>
        </w:tc>
        <w:tc>
          <w:tcPr>
            <w:tcW w:w="3760" w:type="dxa"/>
            <w:vAlign w:val="bottom"/>
            <w:gridSpan w:val="8"/>
          </w:tcPr>
          <w:p>
            <w:pPr>
              <w:spacing w:after="0"/>
              <w:rPr>
                <w:sz w:val="16"/>
                <w:szCs w:val="16"/>
                <w:color w:val="auto"/>
              </w:rPr>
            </w:pPr>
          </w:p>
        </w:tc>
        <w:tc>
          <w:tcPr>
            <w:tcW w:w="1520" w:type="dxa"/>
            <w:vAlign w:val="bottom"/>
          </w:tcPr>
          <w:p>
            <w:pPr>
              <w:jc w:val="right"/>
              <w:ind w:right="1071"/>
              <w:spacing w:after="0" w:line="194" w:lineRule="exact"/>
              <w:rPr>
                <w:sz w:val="20"/>
                <w:szCs w:val="20"/>
                <w:color w:val="auto"/>
              </w:rPr>
            </w:pPr>
            <w:r>
              <w:rPr>
                <w:rFonts w:ascii="Arial" w:cs="Arial" w:eastAsia="Arial" w:hAnsi="Arial"/>
                <w:sz w:val="18"/>
                <w:szCs w:val="18"/>
                <w:color w:val="auto"/>
              </w:rPr>
              <w:t>26</w:t>
            </w:r>
          </w:p>
        </w:tc>
      </w:tr>
      <w:tr>
        <w:trPr>
          <w:trHeight w:val="445"/>
        </w:trPr>
        <w:tc>
          <w:tcPr>
            <w:tcW w:w="1160" w:type="dxa"/>
            <w:vAlign w:val="bottom"/>
          </w:tcPr>
          <w:p>
            <w:pPr>
              <w:spacing w:after="0"/>
              <w:rPr>
                <w:sz w:val="24"/>
                <w:szCs w:val="24"/>
                <w:color w:val="auto"/>
              </w:rPr>
            </w:pPr>
          </w:p>
        </w:tc>
        <w:tc>
          <w:tcPr>
            <w:tcW w:w="8740" w:type="dxa"/>
            <w:vAlign w:val="bottom"/>
            <w:gridSpan w:val="30"/>
          </w:tcPr>
          <w:p>
            <w:pPr>
              <w:spacing w:after="0"/>
              <w:rPr>
                <w:sz w:val="20"/>
                <w:szCs w:val="20"/>
                <w:color w:val="auto"/>
              </w:rPr>
            </w:pPr>
            <w:r>
              <w:rPr>
                <w:rFonts w:ascii="Arial" w:cs="Arial" w:eastAsia="Arial" w:hAnsi="Arial"/>
                <w:sz w:val="18"/>
                <w:szCs w:val="18"/>
                <w:color w:val="auto"/>
              </w:rPr>
              <w:t>SIGNATURES</w:t>
            </w:r>
          </w:p>
        </w:tc>
        <w:tc>
          <w:tcPr>
            <w:tcW w:w="1520" w:type="dxa"/>
            <w:vAlign w:val="bottom"/>
          </w:tcPr>
          <w:p>
            <w:pPr>
              <w:spacing w:after="0"/>
              <w:rPr>
                <w:sz w:val="24"/>
                <w:szCs w:val="24"/>
                <w:color w:val="auto"/>
              </w:rPr>
            </w:pPr>
          </w:p>
        </w:tc>
      </w:tr>
      <w:tr>
        <w:trPr>
          <w:trHeight w:val="388"/>
        </w:trPr>
        <w:tc>
          <w:tcPr>
            <w:tcW w:w="1160" w:type="dxa"/>
            <w:vAlign w:val="bottom"/>
          </w:tcPr>
          <w:p>
            <w:pPr>
              <w:spacing w:after="0"/>
              <w:rPr>
                <w:sz w:val="24"/>
                <w:szCs w:val="24"/>
                <w:color w:val="auto"/>
              </w:rPr>
            </w:pPr>
          </w:p>
        </w:tc>
        <w:tc>
          <w:tcPr>
            <w:tcW w:w="8740" w:type="dxa"/>
            <w:vAlign w:val="bottom"/>
            <w:gridSpan w:val="30"/>
          </w:tcPr>
          <w:p>
            <w:pPr>
              <w:spacing w:after="0"/>
              <w:rPr>
                <w:sz w:val="20"/>
                <w:szCs w:val="20"/>
                <w:color w:val="auto"/>
              </w:rPr>
            </w:pPr>
            <w:r>
              <w:rPr>
                <w:rFonts w:ascii="Arial" w:cs="Arial" w:eastAsia="Arial" w:hAnsi="Arial"/>
                <w:sz w:val="18"/>
                <w:szCs w:val="18"/>
                <w:color w:val="0000EE"/>
              </w:rPr>
              <w:t>Signatures</w:t>
            </w:r>
          </w:p>
        </w:tc>
        <w:tc>
          <w:tcPr>
            <w:tcW w:w="1520" w:type="dxa"/>
            <w:vAlign w:val="bottom"/>
          </w:tcPr>
          <w:p>
            <w:pPr>
              <w:jc w:val="right"/>
              <w:ind w:right="1071"/>
              <w:spacing w:after="0"/>
              <w:rPr>
                <w:sz w:val="20"/>
                <w:szCs w:val="20"/>
                <w:color w:val="auto"/>
              </w:rPr>
            </w:pPr>
            <w:r>
              <w:rPr>
                <w:rFonts w:ascii="Arial" w:cs="Arial" w:eastAsia="Arial" w:hAnsi="Arial"/>
                <w:sz w:val="18"/>
                <w:szCs w:val="18"/>
                <w:color w:val="auto"/>
              </w:rPr>
              <w:t>26</w:t>
            </w:r>
          </w:p>
        </w:tc>
      </w:tr>
      <w:tr>
        <w:trPr>
          <w:trHeight w:val="20"/>
        </w:trPr>
        <w:tc>
          <w:tcPr>
            <w:tcW w:w="1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5640" w:type="dxa"/>
            <w:vAlign w:val="bottom"/>
            <w:gridSpan w:val="1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45"/>
        </w:trPr>
        <w:tc>
          <w:tcPr>
            <w:tcW w:w="1160" w:type="dxa"/>
            <w:vAlign w:val="bottom"/>
          </w:tcPr>
          <w:p>
            <w:pPr>
              <w:spacing w:after="0"/>
              <w:rPr>
                <w:sz w:val="24"/>
                <w:szCs w:val="24"/>
                <w:color w:val="auto"/>
              </w:rPr>
            </w:pPr>
          </w:p>
        </w:tc>
        <w:tc>
          <w:tcPr>
            <w:tcW w:w="8740" w:type="dxa"/>
            <w:vAlign w:val="bottom"/>
            <w:gridSpan w:val="30"/>
          </w:tcPr>
          <w:p>
            <w:pPr>
              <w:spacing w:after="0"/>
              <w:rPr>
                <w:sz w:val="20"/>
                <w:szCs w:val="20"/>
                <w:color w:val="auto"/>
              </w:rPr>
            </w:pPr>
            <w:r>
              <w:rPr>
                <w:rFonts w:ascii="Arial" w:cs="Arial" w:eastAsia="Arial" w:hAnsi="Arial"/>
                <w:sz w:val="18"/>
                <w:szCs w:val="18"/>
                <w:color w:val="auto"/>
              </w:rPr>
              <w:t>CONSOLIDATED FINANCIAL STATEMENTS</w:t>
            </w:r>
          </w:p>
        </w:tc>
        <w:tc>
          <w:tcPr>
            <w:tcW w:w="1520" w:type="dxa"/>
            <w:vAlign w:val="bottom"/>
          </w:tcPr>
          <w:p>
            <w:pPr>
              <w:spacing w:after="0"/>
              <w:rPr>
                <w:sz w:val="24"/>
                <w:szCs w:val="24"/>
                <w:color w:val="auto"/>
              </w:rPr>
            </w:pPr>
          </w:p>
        </w:tc>
      </w:tr>
      <w:tr>
        <w:trPr>
          <w:trHeight w:val="388"/>
        </w:trPr>
        <w:tc>
          <w:tcPr>
            <w:tcW w:w="1160" w:type="dxa"/>
            <w:vAlign w:val="bottom"/>
          </w:tcPr>
          <w:p>
            <w:pPr>
              <w:spacing w:after="0"/>
              <w:rPr>
                <w:sz w:val="24"/>
                <w:szCs w:val="24"/>
                <w:color w:val="auto"/>
              </w:rPr>
            </w:pPr>
          </w:p>
        </w:tc>
        <w:tc>
          <w:tcPr>
            <w:tcW w:w="31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Index to Consolidated Financial Statements</w:t>
              </w:r>
            </w:hyperlink>
          </w:p>
        </w:tc>
        <w:tc>
          <w:tcPr>
            <w:tcW w:w="5640" w:type="dxa"/>
            <w:vAlign w:val="bottom"/>
            <w:gridSpan w:val="16"/>
          </w:tcPr>
          <w:p>
            <w:pPr>
              <w:spacing w:after="0"/>
              <w:rPr>
                <w:sz w:val="24"/>
                <w:szCs w:val="24"/>
                <w:color w:val="auto"/>
              </w:rPr>
            </w:pPr>
          </w:p>
        </w:tc>
        <w:tc>
          <w:tcPr>
            <w:tcW w:w="1520" w:type="dxa"/>
            <w:vAlign w:val="bottom"/>
          </w:tcPr>
          <w:p>
            <w:pPr>
              <w:jc w:val="right"/>
              <w:ind w:right="1051"/>
              <w:spacing w:after="0"/>
              <w:rPr>
                <w:sz w:val="20"/>
                <w:szCs w:val="20"/>
                <w:color w:val="auto"/>
              </w:rPr>
            </w:pPr>
            <w:r>
              <w:rPr>
                <w:rFonts w:ascii="Arial" w:cs="Arial" w:eastAsia="Arial" w:hAnsi="Arial"/>
                <w:sz w:val="18"/>
                <w:szCs w:val="18"/>
                <w:color w:val="auto"/>
              </w:rPr>
              <w:t>F-1</w:t>
            </w:r>
          </w:p>
        </w:tc>
      </w:tr>
      <w:tr>
        <w:trPr>
          <w:trHeight w:val="445"/>
        </w:trPr>
        <w:tc>
          <w:tcPr>
            <w:tcW w:w="1160" w:type="dxa"/>
            <w:vAlign w:val="bottom"/>
          </w:tcPr>
          <w:p>
            <w:pPr>
              <w:spacing w:after="0"/>
              <w:rPr>
                <w:sz w:val="24"/>
                <w:szCs w:val="24"/>
                <w:color w:val="auto"/>
              </w:rPr>
            </w:pPr>
          </w:p>
        </w:tc>
        <w:tc>
          <w:tcPr>
            <w:tcW w:w="8740" w:type="dxa"/>
            <w:vAlign w:val="bottom"/>
            <w:gridSpan w:val="30"/>
          </w:tcPr>
          <w:p>
            <w:pPr>
              <w:spacing w:after="0"/>
              <w:rPr>
                <w:sz w:val="20"/>
                <w:szCs w:val="20"/>
                <w:color w:val="auto"/>
              </w:rPr>
            </w:pPr>
            <w:r>
              <w:rPr>
                <w:rFonts w:ascii="Arial" w:cs="Arial" w:eastAsia="Arial" w:hAnsi="Arial"/>
                <w:sz w:val="18"/>
                <w:szCs w:val="18"/>
                <w:color w:val="auto"/>
              </w:rPr>
              <w:t>EXHIBITS</w:t>
            </w:r>
          </w:p>
        </w:tc>
        <w:tc>
          <w:tcPr>
            <w:tcW w:w="1520" w:type="dxa"/>
            <w:vAlign w:val="bottom"/>
          </w:tcPr>
          <w:p>
            <w:pPr>
              <w:spacing w:after="0"/>
              <w:rPr>
                <w:sz w:val="24"/>
                <w:szCs w:val="24"/>
                <w:color w:val="auto"/>
              </w:rPr>
            </w:pPr>
          </w:p>
        </w:tc>
      </w:tr>
      <w:tr>
        <w:trPr>
          <w:trHeight w:val="388"/>
        </w:trPr>
        <w:tc>
          <w:tcPr>
            <w:tcW w:w="1160" w:type="dxa"/>
            <w:vAlign w:val="bottom"/>
          </w:tcPr>
          <w:p>
            <w:pPr>
              <w:spacing w:after="0"/>
              <w:rPr>
                <w:sz w:val="24"/>
                <w:szCs w:val="24"/>
                <w:color w:val="auto"/>
              </w:rPr>
            </w:pPr>
          </w:p>
        </w:tc>
        <w:tc>
          <w:tcPr>
            <w:tcW w:w="8740" w:type="dxa"/>
            <w:vAlign w:val="bottom"/>
            <w:gridSpan w:val="3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Index to Exhibits</w:t>
              </w:r>
            </w:hyperlink>
          </w:p>
        </w:tc>
        <w:tc>
          <w:tcPr>
            <w:tcW w:w="1520" w:type="dxa"/>
            <w:vAlign w:val="bottom"/>
          </w:tcPr>
          <w:p>
            <w:pPr>
              <w:spacing w:after="0"/>
              <w:rPr>
                <w:sz w:val="24"/>
                <w:szCs w:val="24"/>
                <w:color w:val="auto"/>
              </w:rPr>
            </w:pPr>
          </w:p>
        </w:tc>
      </w:tr>
      <w:tr>
        <w:trPr>
          <w:trHeight w:val="670"/>
        </w:trPr>
        <w:tc>
          <w:tcPr>
            <w:tcW w:w="1160" w:type="dxa"/>
            <w:vAlign w:val="bottom"/>
            <w:tcBorders>
              <w:bottom w:val="single" w:sz="8" w:color="808080"/>
            </w:tcBorders>
          </w:tcPr>
          <w:p>
            <w:pPr>
              <w:spacing w:after="0"/>
              <w:rPr>
                <w:sz w:val="24"/>
                <w:szCs w:val="24"/>
                <w:color w:val="auto"/>
              </w:rPr>
            </w:pPr>
          </w:p>
        </w:tc>
        <w:tc>
          <w:tcPr>
            <w:tcW w:w="6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Ithaca® and Printrex® brand names. Known and respected worldwide for innovative designs and real-world service reliability, our thermal, inkjet and impact printers generate top-quality transaction records such as receipts, tickets, coupons, register journals and other documents as well as printed logging and plotting of data. We focus on the following core markets: food safety, banking and point-of-sale (“POS”), casino and gaming, lottery, oil and gas and medical and mobile.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have one primary operating facility and eastern region service center located in Ithaca, NY, our casino and gaming sales headquarters and western region service center in Las Vegas, NV, a European sales and service center in the United Kingdom, a sales office located in Macau and three other sales or administrative offices located in the United States. Our executive offices are located at One Hamden Center, 2319 Whitney Avenue, Suite 3B, Hamden, CT, 06518, with a telephone number of (203) 859-6800.</w:t>
      </w:r>
    </w:p>
    <w:p>
      <w:pPr>
        <w:spacing w:after="0" w:line="22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August 19, 2011, we completed the acquisition of Printrex, Inc. (“Printrex”) for $4,000,000 in cash and potential future contingent consideration. Printrex is a leading manufacturer of specialty printers primarily sold into the oil and gas exploration and medical and mobile markets. Printrex serves commercial and industrial customers primarily in the United States, Canada, Europe and Asia. This acquisition was completed to complement our existing product offerings.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one reportable segment, the design, development, assembly and sale of transaction-based and specialty printing solutions and related services, supplies and spare parts.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Printers</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TransAct designs, develops, assembles and markets a broad array of transaction-based and specialty printers utilizing inkjet, thermal and impact printing technology for applications, primarily in the food safety, banking, POS, casino and gaming, lottery, oil and gas and medical and mobile markets. Our printers are configurable and offer customers the ability to choose from a variety of features and functions. Options typically include interface configuration, paper cutting devices, paper handling capacities and cabinetry color. In addition to our configurable printers, we design and assemble custom printers for certain OEM customers. In collaboration with these customers, we provide engineering and manufacturing expertise for the design and development of specialized printers.</w:t>
      </w:r>
    </w:p>
    <w:p>
      <w:pPr>
        <w:spacing w:after="0" w:line="22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Food safety, banking and POS: </w:t>
      </w:r>
      <w:r>
        <w:rPr>
          <w:rFonts w:ascii="Arial" w:cs="Arial" w:eastAsia="Arial" w:hAnsi="Arial"/>
          <w:sz w:val="16"/>
          <w:szCs w:val="16"/>
          <w:color w:val="auto"/>
        </w:rPr>
        <w:t>Our banking and POS printers include hundreds of optional configurations that can be selected to meet particular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We believe that this is a significant competitive strength, as it allows us to satisfy a wide variety of printing applications that our customers request. In the banking market, we sell printers that are used by banks, credit unions and other financial institutions to print and/or validate receipts at bank teller stations. In the POS market, we sell several models of printers utilizing inkjet, thermal and impact printing technology. Our printers are used primarily by retailers in the restaurant (including fine dining, casual dining, and fast food), hospitality, and specialty retail industries to print receipts for consumers, validate checks, or print on linerless labels or other inserted media. During 2012 in an effort to address the Food Safety Modernization Act, we developed a food safety terminal that prints easy-to-read expiration and "enjoy by" date labels using thermal printing technology to help restaurants effectively manage food spoilage.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primarily sell our products directly to end-user banks and financial institutions through the use of our internal sales force. In the food safety market, we sell our products directly to end-users through the use of our internal sales force with the assistance of sales representatives from a large food safety distributor.</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We supply lottery printers to Lottomattica’s GTECH Corporation (“GTECH”), our largest customer and the world’s largest provider of lottery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terminals. These printers are designed for high-volume, high-speed printing of lottery tickets for various lottery applications. Sales of our lottery products are made directly to GTECH and managed by an internal sales representative.</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Casino and gaming: </w:t>
      </w:r>
      <w:r>
        <w:rPr>
          <w:rFonts w:ascii="Arial" w:cs="Arial" w:eastAsia="Arial" w:hAnsi="Arial"/>
          <w:sz w:val="18"/>
          <w:szCs w:val="18"/>
          <w:color w:val="auto"/>
        </w:rPr>
        <w:t>We sell several models of printers used in slot machines and video lottery terminals (“VLT’s”) and other gaming machines that print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tickets or receipts instead of issuing coins (“ticket-in, ticket-out” or “TITO”) at casinos, racetracks (“racinos”) and other gaming venues worldwide. These printers utilize thermal printing technology and can print tickets or receipts in monochrome or two-color (depending upon the model), and offer various other features such as jam resistant bezels and a dual port interface that enables casinos to print coupons and promotions. In addition, we sell printers using thermal and impact printing technology for use in non-casino establishments, including game types such as Amusements with Prizes (“AWP”), Skills with Prizes (“SWP”), Fixed Odds Betting Terminals (“FOBT”) and other off-premise gaming type machines around the world. We sell our products primarily to (1) slot machine manufacturers, who incorporate our printers into slot machines and, in turn, sell completed slot machines directly to casinos and other gaming establishments and (2) through regional distributors (four in the United States and Asia, one in Europe and Africa, one in Latin America and one in Australia). We also maintain a dedicated internal sales force to solicit sales from slot manufacturers and casinos, as well as to manage sales through our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403225</wp:posOffset>
            </wp:positionV>
            <wp:extent cx="725233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8" w:right="239" w:bottom="971" w:gutter="0" w:footer="0" w:header="0"/>
        </w:sectPr>
      </w:pPr>
    </w:p>
    <w:bookmarkStart w:id="4" w:name="page5"/>
    <w:bookmarkEnd w:id="4"/>
    <w:p>
      <w:pPr>
        <w:jc w:val="both"/>
        <w:spacing w:after="0" w:line="215" w:lineRule="auto"/>
        <w:rPr>
          <w:sz w:val="20"/>
          <w:szCs w:val="20"/>
          <w:color w:val="auto"/>
        </w:rPr>
      </w:pPr>
      <w:r>
        <w:rPr>
          <w:rFonts w:ascii="Arial" w:cs="Arial" w:eastAsia="Arial" w:hAnsi="Arial"/>
          <w:sz w:val="18"/>
          <w:szCs w:val="18"/>
          <w:color w:val="auto"/>
        </w:rPr>
        <w:t>We have also developed a new software solution, the EPICENTRAL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Print System (“EPICENTRAL</w:t>
      </w:r>
      <w:r>
        <w:rPr>
          <w:rFonts w:ascii="Arial" w:cs="Arial" w:eastAsia="Arial" w:hAnsi="Arial"/>
          <w:sz w:val="24"/>
          <w:szCs w:val="24"/>
          <w:color w:val="auto"/>
          <w:vertAlign w:val="superscript"/>
        </w:rPr>
        <w:t>TM</w:t>
      </w:r>
      <w:r>
        <w:rPr>
          <w:rFonts w:ascii="Arial" w:cs="Arial" w:eastAsia="Arial" w:hAnsi="Arial"/>
          <w:sz w:val="18"/>
          <w:szCs w:val="18"/>
          <w:color w:val="auto"/>
        </w:rPr>
        <w:t>”), that enables casino operators to create promotional coupons and marketing messages and print them in real-time at the slot machine. With EPICENTRAL</w:t>
      </w:r>
      <w:r>
        <w:rPr>
          <w:rFonts w:ascii="Arial" w:cs="Arial" w:eastAsia="Arial" w:hAnsi="Arial"/>
          <w:sz w:val="24"/>
          <w:szCs w:val="24"/>
          <w:color w:val="auto"/>
          <w:vertAlign w:val="superscript"/>
        </w:rPr>
        <w:t>TM</w:t>
      </w:r>
      <w:r>
        <w:rPr>
          <w:rFonts w:ascii="Arial" w:cs="Arial" w:eastAsia="Arial" w:hAnsi="Arial"/>
          <w:sz w:val="18"/>
          <w:szCs w:val="18"/>
          <w:color w:val="auto"/>
        </w:rPr>
        <w:t>, casinos will be able to utilize the system to create multiple promotions and incentives to either increase customer time spent on the casino floor or encourage additional visits to generate more revenue to the casinos.</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color w:val="auto"/>
        </w:rPr>
        <w:t>Printrex printers include wide format, rack mounted and vehicle mounted thermal printers used by customers to log and plot oil field and down hole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drilling data in the oil and gas exploration industry. During 2012, we launched two new color printers for this market, the Printrex 920 and Printrex</w:t>
      </w:r>
    </w:p>
    <w:p>
      <w:pPr>
        <w:spacing w:after="0" w:line="1" w:lineRule="exact"/>
        <w:rPr>
          <w:sz w:val="20"/>
          <w:szCs w:val="20"/>
          <w:color w:val="auto"/>
        </w:rPr>
      </w:pPr>
    </w:p>
    <w:p>
      <w:pPr>
        <w:jc w:val="both"/>
        <w:ind w:firstLine="7"/>
        <w:spacing w:after="0" w:line="284" w:lineRule="auto"/>
        <w:tabs>
          <w:tab w:leader="none" w:pos="4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Printrex 920 is the first full-color printer designed from the ground up to perform in the adverse environment of a well logging truck or off-shore platform. Using thermal printer technology, it can print in black and white, or in full color using proprietary color paper without the need for inkjet cartridges or ribbons. The Printrex 980 is the fastest full color printer available for plotting continuous logs in the data centers of the large oil field service companies. This printer uses proprietary inkjet cartridges. In addition, we sell wide format thermal printers used to print test results in ophthalmology devices in the medical industry, as well as vehicle mounted printers used to print schematics and certain other critical information in emergency services vehicles. We primarily sell our Printrex products directly to oil field service and drilling companies and OEM’s, as well as through regional distributors in the United States, Europe, Canada and Asia. We also maintain a dedicated internal sales force and one manufacturer’s representative located in Texas.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Through TSG, we proactively market the sale of consumable products (including inkjet cartridges, ribbons, receipt paper, color thermal paper and other printing supplies), replacement parts, maintenance and repair services and paper testing services for all of our products and certain competitor’s products. Our maintenance services include the sale of extended warranties, multi-year maintenance contracts, 24-hour guaranteed replacement product service called TransAct Xpress</w:t>
      </w:r>
      <w:r>
        <w:rPr>
          <w:rFonts w:ascii="Arial" w:cs="Arial" w:eastAsia="Arial" w:hAnsi="Arial"/>
          <w:sz w:val="23"/>
          <w:szCs w:val="23"/>
          <w:color w:val="auto"/>
          <w:vertAlign w:val="superscript"/>
        </w:rPr>
        <w:t>SM</w:t>
      </w:r>
      <w:r>
        <w:rPr>
          <w:rFonts w:ascii="Arial" w:cs="Arial" w:eastAsia="Arial" w:hAnsi="Arial"/>
          <w:sz w:val="17"/>
          <w:szCs w:val="17"/>
          <w:color w:val="auto"/>
        </w:rPr>
        <w:t>, and other repair services for our printers. Within the United States, we provide repair services through our eastern region service center in Ithaca, NY and our western region service center in Las Vegas, NV. Internationally, we provide repair services through our European service center located in Doncaster, United Kingdom, and through partners strategically located around the world.</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our services.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design our products to optimize product performance, quality, reliability and durability. These designs combine cost efficient materials, sourcing and assembly methods with high standards of workmanship. Approximately 85% of our printer production is through two third-party contract manufacturers in Asia, with the remaining 15% of products assembled in our Ithaca, NY facility largely on a configure-to-order basis using components and subassemblies that have been sourced from vendors and contract manufacturers around the world.</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procure component parts and subassemblies for use in the assembly of our products in Ithaca, NY. Critical component parts and subassemblies include inkjet, thermal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purchases of component parts have declined while purchases of fully-assembled printers produced by our contract manufacturers have increased.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buy substantially all of our thermal print mechanisms, an important component of our thermal printers, and fully assembled printers for several of our printer models, from one foreign contract manufacturer, and to a much lesser extent, a second foreign contract manufacturer. Although we believe that other contract manufacturers could provide similar thermal print mechanisms or fully assembled printers, on comparable terms, a change in contract manufacturers could cause a delay in manufacturing and possible loss of sales, which may have a material adverse effect on our operating results. Although we do not have a supply agreement with our foreign contract manufacturer, our relationship with them remains strong and we have no reason to believe that they will discontinue their supply of thermal print mechanisms to us during 2013 or that their terms to us will be any less favorable than they have been historically.</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the HP inkjet cartridge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any less favorable than they have been historically. The inkjet cartridges we purchase from HP are used not only in our inkjet printers for the banking and POS market, but also in other manufacturer’s printing devices across several other markets.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ZINK Imaging Inc. (“ZINK”) is the sole supplier of proprietary color thermal paper used in our Printrex 920 oil and gas printer. We have a supply agreement with ZINK to exclusively supply us with ZINK color thermal paper for the oil and gas industry at fixed prices through December 31, 2014. The loss of the supply of ZINK color thermal paper would have a material adverse effect on the sale of Printrex 920 printers and Zink color thermal paper.</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us with Canon Consumables until May 2017. Prices under this agreement are fixed through May 2013, but may be changed due to significant exchange rate fluctuations between the Japanese yen and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significantly expanded our patent portfolio over the past ten years, and expect to continue to do so in the future. We currently license certain technology to two companies in the casino and gaming industry and believe our patent portfolio could provide additional opportunities to license our intellectual property in the future. We hold 29 United States and 25 foreign patents and have 8 United States and 13 foreign patent applications pending pertaining to our products. The duration of these patents range from 5 to 17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relied upon by the Company to protect our proprietary position will be adequate or that our competitors will not independently develop technologies that are substantially equivalent or superior to our technologies.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any of the markets we serve are materially affected by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GTECH is our most significant customer. In December 2009, we signed a new five-year agreement effective November 20, 2009, with GTECH (the “GTECH Thermal Printer Agreement”). Under the terms of the agreement, we provide GTECH with their latest generation thermal lottery printers for various lottery applications. The terms of the agreement require that GTECH exclusively purchase all of its requirements for thermal on-line lottery printers from us and that we exclusively sell such printers to GTECH through January 2015. We previously had an additional OEM purchase agreement with GTECH that provided for the sale of older generation thermal on-line lottery printers and spare parts, at fixed prices, through its expiration date of June 28, 2012. This agreement was not renewed as the underlying thermal printers and related spare parts were discontinued at the end of 2012.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Sales to GTECH and other customers representing 10% or more of our total net sales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Pr>
          <w:p>
            <w:pPr>
              <w:spacing w:after="0"/>
              <w:rPr>
                <w:sz w:val="19"/>
                <w:szCs w:val="19"/>
                <w:color w:val="auto"/>
              </w:rPr>
            </w:pPr>
          </w:p>
        </w:tc>
        <w:tc>
          <w:tcPr>
            <w:tcW w:w="2580" w:type="dxa"/>
            <w:vAlign w:val="bottom"/>
            <w:gridSpan w:val="6"/>
          </w:tcPr>
          <w:p>
            <w:pPr>
              <w:jc w:val="center"/>
              <w:ind w:right="20"/>
              <w:spacing w:after="0"/>
              <w:rPr>
                <w:sz w:val="20"/>
                <w:szCs w:val="20"/>
                <w:color w:val="auto"/>
              </w:rPr>
            </w:pPr>
            <w:r>
              <w:rPr>
                <w:rFonts w:ascii="Arial" w:cs="Arial" w:eastAsia="Arial" w:hAnsi="Arial"/>
                <w:sz w:val="18"/>
                <w:szCs w:val="18"/>
                <w:color w:val="auto"/>
                <w:w w:val="87"/>
              </w:rPr>
              <w:t>Year ended December 31,</w:t>
            </w:r>
          </w:p>
        </w:tc>
      </w:tr>
      <w:tr>
        <w:trPr>
          <w:trHeight w:val="220"/>
        </w:trPr>
        <w:tc>
          <w:tcPr>
            <w:tcW w:w="5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2012</w:t>
            </w: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Customer A</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backlog of firm orders was approximately $4,776,000 as of February 28, 2013, compared to $7,261,000 as of February 29, 2012. Based on customers’ current delivery requirements, we expect to ship our entire current backlog during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market for transaction-based and specialty printing solutions is extremely competitive, and we expect such competition to continue in the future.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banking and POS market, our major competitor is Epson America, Inc., which holds a dominant market position of the POS markets into which we sell. We also compete, to a much lesser extent, with Transaction Printer Group (“TPG”), Star Micronics America, Inc., Citizen -- CBM America Corporation, Pertech Resources, Inc., Addmaster, and Samsung/Bixolon. Certain competitors of ours have greater financial resources, lower costs attributable to higher volume production and sometimes offer lower prices than us.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the food safety market, we compete with Avery Dennison Corporation, Ecolab Inc. and Integrated Control Corp. We compete in this market based largely on our ability to provide highly specialized products, custom engineering and ongoing technical support.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the lottery market (consisting principally of on-line lottery transaction printing), we hold a leading position, based largely on our long-term purchase agreements with GTECH. We compete in this market based solely on our ability to provide specialized, custom-engineered products to GTECH.</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casino and gaming market (consisting principally of slot machine and video lottery terminal transaction printing and promotional coupon printing), we compete with several companies including FutureLogic, Inc., Nanoptix, Inc., Custom Engineering SPA and others. Certain of our products sold for casino and gaming applications compete based upon our ability to provide highly specialized products, custom engineering and ongoing technical support.</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the Printrex market, we compete with the Imaging Systems Group, Inc. (“iSys”), Neuralog Inc., GSI Group and others. We compete in this market based largely on our ability to provide specialized, custom-engineered products.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TSG business is highly fragmented, and we compete with numerous competitors of various sizes, including POS and internet resellers, depending on the geographic area.</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strategy for competing in our markets is to continue to develop new products (hardware and software) and product line extensions,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inkjet, thermal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ectPr>
          <w:pgSz w:w="11900" w:h="16838" w:orient="portrait"/>
          <w:cols w:equalWidth="0" w:num="1">
            <w:col w:w="11420"/>
          </w:cols>
          <w:pgMar w:left="240" w:top="481" w:right="239" w:bottom="0" w:gutter="0" w:footer="0" w:header="0"/>
        </w:sectPr>
      </w:pPr>
    </w:p>
    <w:bookmarkStart w:id="6" w:name="page7"/>
    <w:bookmarkEnd w:id="6"/>
    <w:p>
      <w:pPr>
        <w:jc w:val="both"/>
        <w:spacing w:after="0" w:line="28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493395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$4,239,000, $3,418,000 and $3,000,000 in 2012, 2011 and 2010, respectively, on engineering, design and product development efforts in connection with specialized engineering and design to introduce new hardware and software products and to customize or improve existing products.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3"/>
          <w:szCs w:val="23"/>
          <w:color w:val="auto"/>
          <w:vertAlign w:val="superscript"/>
        </w:rPr>
        <w:t>TM</w:t>
      </w:r>
      <w:r>
        <w:rPr>
          <w:rFonts w:ascii="Arial" w:cs="Arial" w:eastAsia="Arial" w:hAnsi="Arial"/>
          <w:sz w:val="17"/>
          <w:szCs w:val="17"/>
          <w:color w:val="auto"/>
        </w:rPr>
        <w:t>, that enables casino customers to print coupons and promotions at the slot machine. Unamortized development costs for such software were approximately $528,000 and $682,000 as of December 31, 2012 and 2011, respectively. The total amount charged to cost of sales for capitalized software development costs were approximately $189,000 and $62,000 in 2012 and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2012, TransAct and our subsidiaries employed 140 persons, of whom 124 were full-time and 16 were temporary employees. None of our employees are unionized, and we consider our relationships with our employees to be good.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financial information regarding our geographic areas see Note 16 – Geographic Area Information in the Notes to the Consolidated Financial Statements. Risks attendant to our foreign operations are described in Item 1A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We make available free of charge through our internet website, </w:t>
      </w:r>
      <w:r>
        <w:rPr>
          <w:rFonts w:ascii="Arial" w:cs="Arial" w:eastAsia="Arial" w:hAnsi="Arial"/>
          <w:sz w:val="18"/>
          <w:szCs w:val="18"/>
          <w:b w:val="1"/>
          <w:bCs w:val="1"/>
          <w:u w:val="single" w:color="auto"/>
          <w:color w:val="auto"/>
        </w:rPr>
        <w:t>www.transact-tech.com</w:t>
      </w:r>
      <w:r>
        <w:rPr>
          <w:rFonts w:ascii="Arial" w:cs="Arial" w:eastAsia="Arial" w:hAnsi="Arial"/>
          <w:sz w:val="18"/>
          <w:szCs w:val="18"/>
          <w:color w:val="auto"/>
        </w:rPr>
        <w:t>, our annual report on Form 10-K, quarterly reports on Form 10-Q, current reports on Form 8-K, and all amendments to those reports as soon as reasonably practicable after such material is electronically filed with or furnished to the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22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222" w:lineRule="exact"/>
        <w:rPr>
          <w:sz w:val="20"/>
          <w:szCs w:val="20"/>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17"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printers;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products and consumables and the generation of sales from those products;</w:t>
      </w:r>
    </w:p>
    <w:p>
      <w:pPr>
        <w:spacing w:after="0" w:line="29" w:lineRule="exact"/>
        <w:rPr>
          <w:rFonts w:ascii="Arial" w:cs="Arial" w:eastAsia="Arial" w:hAnsi="Arial"/>
          <w:sz w:val="16"/>
          <w:szCs w:val="16"/>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ectPr>
          <w:pgSz w:w="11900" w:h="16838" w:orient="portrait"/>
          <w:cols w:equalWidth="0" w:num="1">
            <w:col w:w="11420"/>
          </w:cols>
          <w:pgMar w:left="240" w:top="481" w:right="239" w:bottom="0" w:gutter="0" w:footer="0" w:header="0"/>
        </w:sectPr>
      </w:pPr>
    </w:p>
    <w:bookmarkStart w:id="8" w:name="page9"/>
    <w:bookmarkEnd w:id="8"/>
    <w:p>
      <w:pPr>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340995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success of newly introduced printers such as the Ithaca® 9700 food safety terminal and the Printrex® 920 and Printrex® 980 oil and gas color printers is dependent on how quickly customers in the related markets accept them given the very little market penetration the printers currently have experienced since they are so new and innovative and have limited competition. Additionally, the success of new technology, such as printing coupons and promotions at the slot machine using our EPICENTRAL™ Print System, is dependent on our casino customers' acceptance of such technology. While we have designed our EPICENTRAL™ Print System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by activist shareholders.</w:t>
      </w:r>
    </w:p>
    <w:p>
      <w:pPr>
        <w:spacing w:after="0" w:line="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received multiple public notices during 2012 from a significant shareholder that encouraged our Board of Directors to undertake an extensive review of all strategic opportunities that, in the opinion of such shareholder, would best position us for future growth in addition to maximizing shareholder value. During 2012, the Board of Directors publicly responded to this shareholder addressing his concerns and ensuring that any decisions made would be for the benefit of all shareholders of the Company. If shareholder activism continues or increases, particularly with respect to matters which our Board of Directors, in exercising their fiduciary duties, disagree with or have determined not to pursue, our business could be adversely affected because:</w:t>
      </w:r>
    </w:p>
    <w:p>
      <w:pPr>
        <w:spacing w:after="0" w:line="196" w:lineRule="exact"/>
        <w:rPr>
          <w:sz w:val="20"/>
          <w:szCs w:val="20"/>
          <w:color w:val="auto"/>
        </w:rPr>
      </w:pPr>
    </w:p>
    <w:p>
      <w:pPr>
        <w:ind w:left="640" w:hanging="322"/>
        <w:spacing w:after="0" w:line="25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actions by activist shareholders can be costly and time-consuming, disrupting our operations and diverting the attention of management; and</w:t>
      </w:r>
    </w:p>
    <w:p>
      <w:pPr>
        <w:spacing w:after="0" w:line="1" w:lineRule="exact"/>
        <w:rPr>
          <w:rFonts w:ascii="Arial" w:cs="Arial" w:eastAsia="Arial" w:hAnsi="Arial"/>
          <w:sz w:val="18"/>
          <w:szCs w:val="18"/>
          <w:color w:val="auto"/>
        </w:rPr>
      </w:pPr>
    </w:p>
    <w:p>
      <w:pPr>
        <w:ind w:left="640" w:hanging="322"/>
        <w:spacing w:after="0" w:line="25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resellers to sell our products and services.</w:t>
      </w:r>
    </w:p>
    <w:p>
      <w:pPr>
        <w:spacing w:after="0" w:line="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a variety of distribution channels, including OEMs and distributors, to market our products. We may be adversely impacted by any conflicts that could arise between and among our various sales channels.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resellers exposes us to numerous risks, including:</w:t>
      </w:r>
    </w:p>
    <w:p>
      <w:pPr>
        <w:spacing w:after="0" w:line="246"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17"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resellers’ financial condition deteriorate;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resellers leveraging their buying power to change the terms of pricing, payment and product delivery schedules;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competition should a reseller decide to manufacture printers internally or source printers from a competitor.</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General economic conditions and the related deterioration in the global business environment could have a material adverse effect on our business, operating results and financial condition.</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Global consumer confidence has eroded amidst concerns over, among other things, declining asset values, inflation, volatility in energy costs, geopolitical issues, the availability and cost of credit, rising unemployment, and the stability and solvency of financial institutions, financial markets, businesses and sovereign nations. These concerns have slowed global economic growth and have resulted in recessions in numerous countries, including many of those in North America, Europe and Asia, where the Company does substantially all of its business. As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392430</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expect that sales to one large customer will continue to represent a material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customer service and support, and the continued implementation and improvement of our operational, financial and management information systems.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can be no assurance that we will be able to successfully implement our growth strategy, or that we can successfully manage expanded operations.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significant competition in developing and selling our printers, transaction supplies and services. Principal competitors have substantial marketing, financial, development and personnel resources. To remain competitive, we believe we must continue to provide:</w:t>
      </w:r>
    </w:p>
    <w:p>
      <w:pPr>
        <w:spacing w:after="0" w:line="218" w:lineRule="exact"/>
        <w:rPr>
          <w:sz w:val="20"/>
          <w:szCs w:val="20"/>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Technologically advanced printers that satisfy the user demands;</w:t>
      </w:r>
    </w:p>
    <w:p>
      <w:pPr>
        <w:spacing w:after="0" w:line="17"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in printers or supplies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217" w:lineRule="exact"/>
        <w:rPr>
          <w:sz w:val="20"/>
          <w:szCs w:val="20"/>
          <w:color w:val="auto"/>
        </w:rPr>
      </w:pPr>
    </w:p>
    <w:p>
      <w:pPr>
        <w:jc w:val="both"/>
        <w:spacing w:after="0" w:line="326" w:lineRule="auto"/>
        <w:rPr>
          <w:sz w:val="20"/>
          <w:szCs w:val="20"/>
          <w:color w:val="auto"/>
        </w:rPr>
      </w:pPr>
      <w:r>
        <w:rPr>
          <w:rFonts w:ascii="Arial" w:cs="Arial" w:eastAsia="Arial" w:hAnsi="Arial"/>
          <w:sz w:val="14"/>
          <w:szCs w:val="14"/>
          <w:b w:val="1"/>
          <w:bCs w:val="1"/>
          <w:i w:val="1"/>
          <w:iCs w:val="1"/>
          <w:color w:val="auto"/>
        </w:rPr>
        <w:t>We have outsourced a large portion of the assembly of our printers to two contract manufacturers and will be dependent on them for the manufacturing of such printers. A failure by these contract manufacturers, or any disruption in such manufacturing, may adversely affect our business results.</w:t>
      </w:r>
    </w:p>
    <w:p>
      <w:pPr>
        <w:jc w:val="both"/>
        <w:ind w:right="20"/>
        <w:spacing w:after="0" w:line="254" w:lineRule="auto"/>
        <w:rPr>
          <w:sz w:val="20"/>
          <w:szCs w:val="20"/>
          <w:color w:val="auto"/>
        </w:rPr>
      </w:pPr>
      <w:r>
        <w:rPr>
          <w:rFonts w:ascii="Arial" w:cs="Arial" w:eastAsia="Arial" w:hAnsi="Arial"/>
          <w:sz w:val="18"/>
          <w:szCs w:val="18"/>
          <w:color w:val="auto"/>
        </w:rPr>
        <w:t>In an effort to achieve additional cost savings and operation benefits, we have continued to outsource the manufacturing and assembly of our printers to contract manufacturers in Asia.</w:t>
      </w:r>
    </w:p>
    <w:p>
      <w:pPr>
        <w:spacing w:after="0" w:line="21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However, to the extent we rely on a third-party service provider for manufacturing services, we may incur increased business continuity risks. We will no longer be able to exercise control over the assembly of certain of our printers or any related operations or processes, including the internal controls associated with operations and processes conducted and the quality of our products assembled by contract manufacturers. If we are unable to effectively develop and implement our outsourcing strategy, we may not realize cost structure efficiencies and our operating and financial results could be materially adversely affected.</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if either contract manufacturer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printers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disruption in the supply of such component parts and consumable products could have a material adverse effect on our operations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1" w:name="page12"/>
    <w:bookmarkEnd w:id="11"/>
    <w:p>
      <w:pPr>
        <w:spacing w:after="0" w:line="253"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218" w:lineRule="exact"/>
        <w:rPr>
          <w:sz w:val="20"/>
          <w:szCs w:val="20"/>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17"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 and</w:t>
      </w:r>
    </w:p>
    <w:p>
      <w:pPr>
        <w:spacing w:after="0" w:line="6" w:lineRule="exact"/>
        <w:rPr>
          <w:rFonts w:ascii="Arial" w:cs="Arial" w:eastAsia="Arial" w:hAnsi="Arial"/>
          <w:sz w:val="18"/>
          <w:szCs w:val="18"/>
          <w:color w:val="auto"/>
        </w:rPr>
      </w:pPr>
    </w:p>
    <w:p>
      <w:pPr>
        <w:ind w:left="640" w:hanging="313"/>
        <w:spacing w:after="0" w:line="25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2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6"/>
          <w:szCs w:val="16"/>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are currently involved in regarding alleged misappropriation of unspecified trade secrets and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47" w:lineRule="exact"/>
        <w:rPr>
          <w:sz w:val="20"/>
          <w:szCs w:val="20"/>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17"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capital stock may contribute to its price volatility.</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common stock is traded on the NASDAQ Global Market. During the year ended December 31, 2012, the average daily trading volume for our common stock as reported by the NASDAQ Global Market was approximately 17,000 shares. We are uncertain whether a more active trading market in our common stock will develop. In addition, many investment banks no longer find it profitable to provide securities research on micro-cap and small-cap companies. During 2012, an analyst who previously followed our common stock discontinued coverage of it which may further reduce our trading volume. As a result, relatively small trades may have a significant impact on the market price of our common stock, which could increase the volatility and depress the price of our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currently have significant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2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computer software costs may not be recoverable.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To the extent technological feasibility of products is not achieved, related capitalized computer software costs may not be recoverable.</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Properties.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facilities as of December 31, 2012 are listed below and we believe that all facilities generally are in good condition, adequately maintained and suitable for their present and currently contemplated uses.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Size</w:t>
            </w:r>
          </w:p>
        </w:tc>
        <w:tc>
          <w:tcPr>
            <w:tcW w:w="8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Lease</w:t>
            </w:r>
          </w:p>
        </w:tc>
      </w:tr>
      <w:tr>
        <w:trPr>
          <w:trHeight w:val="213"/>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(Approx.</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Owned or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31"/>
        </w:trPr>
        <w:tc>
          <w:tcPr>
            <w:tcW w:w="14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480" w:type="dxa"/>
            <w:vAlign w:val="bottom"/>
          </w:tcPr>
          <w:p>
            <w:pPr>
              <w:spacing w:after="0"/>
              <w:rPr>
                <w:sz w:val="20"/>
                <w:szCs w:val="20"/>
                <w:color w:val="auto"/>
              </w:rPr>
            </w:pPr>
          </w:p>
        </w:tc>
        <w:tc>
          <w:tcPr>
            <w:tcW w:w="3200" w:type="dxa"/>
            <w:vAlign w:val="bottom"/>
          </w:tcPr>
          <w:p>
            <w:pPr>
              <w:ind w:left="740"/>
              <w:spacing w:after="0"/>
              <w:rPr>
                <w:sz w:val="20"/>
                <w:szCs w:val="20"/>
                <w:color w:val="auto"/>
              </w:rPr>
            </w:pPr>
            <w:r>
              <w:rPr>
                <w:rFonts w:ascii="Arial" w:cs="Arial" w:eastAsia="Arial" w:hAnsi="Arial"/>
                <w:sz w:val="18"/>
                <w:szCs w:val="18"/>
                <w:b w:val="1"/>
                <w:bCs w:val="1"/>
                <w:color w:val="auto"/>
              </w:rPr>
              <w:t>Operations Conducted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Sq. Ft.)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3"/>
              </w:rPr>
              <w:t>Leased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1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Executive  offices  and  Printrex  and  TSG</w:t>
            </w: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2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Hamden, Connecticut</w:t>
            </w: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23, 2017</w:t>
            </w:r>
          </w:p>
        </w:tc>
      </w:tr>
      <w:tr>
        <w:trPr>
          <w:trHeight w:val="201"/>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4"/>
              </w:rPr>
              <w:t>Global engineering, design, assembly and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1440" w:type="dxa"/>
            <w:vAlign w:val="bottom"/>
          </w:tcPr>
          <w:p>
            <w:pPr>
              <w:spacing w:after="0"/>
              <w:rPr>
                <w:sz w:val="20"/>
                <w:szCs w:val="20"/>
                <w:color w:val="auto"/>
              </w:rPr>
            </w:pPr>
            <w:r>
              <w:rPr>
                <w:rFonts w:ascii="Arial" w:cs="Arial" w:eastAsia="Arial" w:hAnsi="Arial"/>
                <w:sz w:val="18"/>
                <w:szCs w:val="18"/>
                <w:color w:val="auto"/>
              </w:rPr>
              <w:t>Ithaca, New York</w:t>
            </w:r>
          </w:p>
        </w:tc>
        <w:tc>
          <w:tcPr>
            <w:tcW w:w="4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 facility</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73,900</w:t>
            </w: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May 31, 2016</w:t>
            </w:r>
          </w:p>
        </w:tc>
      </w:tr>
      <w:tr>
        <w:trPr>
          <w:trHeight w:val="202"/>
        </w:trPr>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Service center and casino and gaming sales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December 31,</w:t>
            </w:r>
          </w:p>
        </w:tc>
      </w:tr>
      <w:tr>
        <w:trPr>
          <w:trHeight w:val="22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Las Vegas, Nevada</w:t>
            </w:r>
          </w:p>
        </w:tc>
        <w:tc>
          <w:tcPr>
            <w:tcW w:w="48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13,700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01"/>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8"/>
              </w:rPr>
              <w:t>February 28,</w:t>
            </w:r>
          </w:p>
        </w:tc>
      </w:tr>
      <w:tr>
        <w:trPr>
          <w:trHeight w:val="224"/>
        </w:trPr>
        <w:tc>
          <w:tcPr>
            <w:tcW w:w="1440" w:type="dxa"/>
            <w:vAlign w:val="bottom"/>
          </w:tcPr>
          <w:p>
            <w:pPr>
              <w:spacing w:after="0"/>
              <w:rPr>
                <w:sz w:val="20"/>
                <w:szCs w:val="20"/>
                <w:color w:val="auto"/>
              </w:rPr>
            </w:pPr>
            <w:r>
              <w:rPr>
                <w:rFonts w:ascii="Arial" w:cs="Arial" w:eastAsia="Arial" w:hAnsi="Arial"/>
                <w:sz w:val="18"/>
                <w:szCs w:val="18"/>
                <w:color w:val="auto"/>
                <w:w w:val="88"/>
              </w:rPr>
              <w:t>San Jose, California</w:t>
            </w:r>
          </w:p>
        </w:tc>
        <w:tc>
          <w:tcPr>
            <w:tcW w:w="4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Engineering office</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1,340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02"/>
        </w:trPr>
        <w:tc>
          <w:tcPr>
            <w:tcW w:w="1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Doncaster,</w:t>
            </w: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United</w:t>
            </w:r>
          </w:p>
        </w:tc>
        <w:tc>
          <w:tcPr>
            <w:tcW w:w="3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Kingdom</w:t>
            </w:r>
          </w:p>
        </w:tc>
        <w:tc>
          <w:tcPr>
            <w:tcW w:w="48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 office and service center</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2016</w:t>
            </w:r>
          </w:p>
        </w:tc>
      </w:tr>
      <w:tr>
        <w:trPr>
          <w:trHeight w:val="213"/>
        </w:trPr>
        <w:tc>
          <w:tcPr>
            <w:tcW w:w="1920" w:type="dxa"/>
            <w:vAlign w:val="bottom"/>
            <w:gridSpan w:val="2"/>
          </w:tcPr>
          <w:p>
            <w:pPr>
              <w:spacing w:after="0"/>
              <w:rPr>
                <w:sz w:val="20"/>
                <w:szCs w:val="20"/>
                <w:color w:val="auto"/>
              </w:rPr>
            </w:pPr>
            <w:r>
              <w:rPr>
                <w:rFonts w:ascii="Arial" w:cs="Arial" w:eastAsia="Arial" w:hAnsi="Arial"/>
                <w:sz w:val="18"/>
                <w:szCs w:val="18"/>
                <w:color w:val="auto"/>
              </w:rPr>
              <w:t>Georgia and New York</w:t>
            </w:r>
          </w:p>
        </w:tc>
        <w:tc>
          <w:tcPr>
            <w:tcW w:w="3200" w:type="dxa"/>
            <w:vAlign w:val="bottom"/>
          </w:tcPr>
          <w:p>
            <w:pPr>
              <w:spacing w:after="0"/>
              <w:rPr>
                <w:sz w:val="20"/>
                <w:szCs w:val="20"/>
                <w:color w:val="auto"/>
              </w:rPr>
            </w:pPr>
            <w:r>
              <w:rPr>
                <w:rFonts w:ascii="Arial" w:cs="Arial" w:eastAsia="Arial" w:hAnsi="Arial"/>
                <w:sz w:val="18"/>
                <w:szCs w:val="18"/>
                <w:color w:val="auto"/>
              </w:rPr>
              <w:t>Two regional sales offices</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300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01"/>
        </w:trPr>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Month-to-</w:t>
            </w:r>
          </w:p>
        </w:tc>
      </w:tr>
      <w:tr>
        <w:trPr>
          <w:trHeight w:val="238"/>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Macau, China</w:t>
            </w:r>
          </w:p>
        </w:tc>
        <w:tc>
          <w:tcPr>
            <w:tcW w:w="48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160" w:type="dxa"/>
            <w:vAlign w:val="bottom"/>
            <w:gridSpan w:val="2"/>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month</w:t>
            </w:r>
          </w:p>
        </w:tc>
      </w:tr>
      <w:tr>
        <w:trPr>
          <w:trHeight w:val="20"/>
        </w:trPr>
        <w:tc>
          <w:tcPr>
            <w:tcW w:w="14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18"/>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103,320</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has since filed an appeal of the Court’s ruling.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common stock is traded on the NASDAQ Global Market under the symbol TACT. As of February 28, 2013, there were 453 holders of record of the common stock. The high and low bid sales prices of the common stock reported during each quarter of the years ended December 31, 2012 and 2011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9"/>
                <w:szCs w:val="19"/>
                <w:color w:val="auto"/>
              </w:rPr>
            </w:pPr>
          </w:p>
        </w:tc>
      </w:tr>
      <w:tr>
        <w:trPr>
          <w:trHeight w:val="220"/>
        </w:trPr>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December 31, 2012</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8"/>
                <w:szCs w:val="18"/>
                <w:color w:val="auto"/>
                <w:w w:val="88"/>
              </w:rPr>
              <w:t>December 31, 2011</w:t>
            </w:r>
          </w:p>
        </w:tc>
        <w:tc>
          <w:tcPr>
            <w:tcW w:w="80" w:type="dxa"/>
            <w:vAlign w:val="bottom"/>
          </w:tcPr>
          <w:p>
            <w:pPr>
              <w:spacing w:after="0"/>
              <w:rPr>
                <w:sz w:val="19"/>
                <w:szCs w:val="19"/>
                <w:color w:val="auto"/>
              </w:rPr>
            </w:pPr>
          </w:p>
        </w:tc>
      </w:tr>
      <w:tr>
        <w:trPr>
          <w:trHeight w:val="220"/>
        </w:trPr>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High</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19"/>
                <w:szCs w:val="19"/>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r>
    </w:tbl>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During 2012, our Board of Directors declared a quarterly cash dividend of $0.06 per share for a total of approximately $526,000 which was paid on December 12, 2012 to common shareholders of record at the close of business on November 21, 2012. On February 4, 2013, our Board of Directors approved the first quarter 2013 dividend on its common stock in the amount of $0.06 per share payable on or about March 13, 2013 to common shareholders of record at the close of business on February 20,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fourth quarter of 2012, we repurchased 50,536 shares of our common stock for approximately $375,000, at an average price of $7.42. For the year ended December 31, 2012, we repurchased 721,184 shares of common stock for approximately $5,938,000, at an average price of $8.23 per share, under the Stock Repurchase Program. From January 1, 2005 through December 31, 2012, we repurchased a total of 2,182,877 shares of common stock for approximately $17,333,000 under all of our stock repurchase programs, at an average price of $7.94 per share. At December 31, 2012, approximately $6,206,000 remains authorized for future repurchases under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PERFORMANCE GRAPH</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2007 through December 31, 2012, with the CRSP Total Return Index for the Nasdaq Stock Market (U.S.) and the Nasdaq Computer Manufacturer Stocks Index. The graph assumes that $100 was invested on December 31, 2007 in each of TransAct’s common stock, the CRSP Total Return Index for the Nasdaq Stock Market (U.S.) and the Nasdaq Computer Manufacturer Stocks Index, and that all dividends were reinvested.</w:t>
      </w:r>
    </w:p>
    <w:p>
      <w:pPr>
        <w:spacing w:after="0" w:line="21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-6350</wp:posOffset>
            </wp:positionV>
            <wp:extent cx="5580380" cy="405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0380" cy="405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12/31/07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12/31/08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12/31/09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12/31/10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8"/>
              </w:rPr>
              <w:t>12/31/11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12/31/12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2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TransAct Technologies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3"/>
        </w:trPr>
        <w:tc>
          <w:tcPr>
            <w:tcW w:w="1160" w:type="dxa"/>
            <w:vAlign w:val="bottom"/>
          </w:tcPr>
          <w:p>
            <w:pPr>
              <w:spacing w:after="0"/>
              <w:rPr>
                <w:sz w:val="18"/>
                <w:szCs w:val="18"/>
                <w:color w:val="auto"/>
              </w:rPr>
            </w:pPr>
          </w:p>
        </w:tc>
        <w:tc>
          <w:tcPr>
            <w:tcW w:w="2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Incorporated Common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1160" w:type="dxa"/>
            <w:vAlign w:val="bottom"/>
          </w:tcPr>
          <w:p>
            <w:pPr>
              <w:spacing w:after="0"/>
              <w:rPr>
                <w:sz w:val="19"/>
                <w:szCs w:val="19"/>
                <w:color w:val="auto"/>
              </w:rPr>
            </w:pPr>
          </w:p>
        </w:tc>
        <w:tc>
          <w:tcPr>
            <w:tcW w:w="2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144.89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150.73</w:t>
            </w:r>
          </w:p>
        </w:tc>
        <w:tc>
          <w:tcPr>
            <w:tcW w:w="1140" w:type="dxa"/>
            <w:vAlign w:val="bottom"/>
          </w:tcPr>
          <w:p>
            <w:pPr>
              <w:spacing w:after="0"/>
              <w:rPr>
                <w:sz w:val="19"/>
                <w:szCs w:val="19"/>
                <w:color w:val="auto"/>
              </w:rPr>
            </w:pPr>
          </w:p>
        </w:tc>
      </w:tr>
      <w:tr>
        <w:trPr>
          <w:trHeight w:val="201"/>
        </w:trPr>
        <w:tc>
          <w:tcPr>
            <w:tcW w:w="116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CRSP Total Return Index for the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2640" w:type="dxa"/>
            <w:vAlign w:val="bottom"/>
          </w:tcPr>
          <w:p>
            <w:pPr>
              <w:ind w:left="640"/>
              <w:spacing w:after="0"/>
              <w:rPr>
                <w:sz w:val="20"/>
                <w:szCs w:val="20"/>
                <w:color w:val="auto"/>
              </w:rPr>
            </w:pPr>
            <w:r>
              <w:rPr>
                <w:rFonts w:ascii="Arial" w:cs="Arial" w:eastAsia="Arial" w:hAnsi="Arial"/>
                <w:sz w:val="18"/>
                <w:szCs w:val="18"/>
                <w:color w:val="auto"/>
              </w:rPr>
              <w:t>Nasdaq Stock Market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640" w:type="dxa"/>
            <w:vAlign w:val="bottom"/>
          </w:tcPr>
          <w:p>
            <w:pPr>
              <w:ind w:left="64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61.17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104.69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123.85</w:t>
            </w:r>
          </w:p>
        </w:tc>
        <w:tc>
          <w:tcPr>
            <w:tcW w:w="114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Computer Manufacturer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6"/>
        </w:trPr>
        <w:tc>
          <w:tcPr>
            <w:tcW w:w="1160" w:type="dxa"/>
            <w:vAlign w:val="bottom"/>
          </w:tcPr>
          <w:p>
            <w:pPr>
              <w:spacing w:after="0"/>
              <w:rPr>
                <w:sz w:val="19"/>
                <w:szCs w:val="19"/>
                <w:color w:val="auto"/>
              </w:rPr>
            </w:pPr>
          </w:p>
        </w:tc>
        <w:tc>
          <w:tcPr>
            <w:tcW w:w="2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Stocks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196.39</w:t>
            </w:r>
          </w:p>
        </w:tc>
        <w:tc>
          <w:tcPr>
            <w:tcW w:w="1140" w:type="dxa"/>
            <w:vAlign w:val="bottom"/>
          </w:tcPr>
          <w:p>
            <w:pPr>
              <w:spacing w:after="0"/>
              <w:rPr>
                <w:sz w:val="19"/>
                <w:szCs w:val="19"/>
                <w:color w:val="auto"/>
              </w:rPr>
            </w:pPr>
          </w:p>
        </w:tc>
      </w:tr>
      <w:tr>
        <w:trPr>
          <w:trHeight w:val="890"/>
        </w:trPr>
        <w:tc>
          <w:tcPr>
            <w:tcW w:w="11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summarized from our audited financial statements of the past five years: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7"/>
          </w:tcPr>
          <w:p>
            <w:pPr>
              <w:jc w:val="center"/>
              <w:ind w:left="291"/>
              <w:spacing w:after="0"/>
              <w:rPr>
                <w:sz w:val="20"/>
                <w:szCs w:val="20"/>
                <w:color w:val="auto"/>
              </w:rPr>
            </w:pPr>
            <w:r>
              <w:rPr>
                <w:rFonts w:ascii="Arial" w:cs="Arial" w:eastAsia="Arial" w:hAnsi="Arial"/>
                <w:sz w:val="18"/>
                <w:szCs w:val="18"/>
                <w:color w:val="auto"/>
                <w:w w:val="87"/>
              </w:rPr>
              <w:t>Year ended December 31,</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4"/>
              </w:rPr>
              <w:t>2009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3760" w:type="dxa"/>
            <w:vAlign w:val="bottom"/>
          </w:tcPr>
          <w:p>
            <w:pPr>
              <w:ind w:left="32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68,386</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65,969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63,194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58,346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62,207</w:t>
            </w:r>
          </w:p>
        </w:tc>
      </w:tr>
      <w:tr>
        <w:trPr>
          <w:trHeight w:val="213"/>
        </w:trPr>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18,829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20,950</w:t>
            </w:r>
          </w:p>
        </w:tc>
      </w:tr>
      <w:tr>
        <w:trPr>
          <w:trHeight w:val="213"/>
        </w:trPr>
        <w:tc>
          <w:tcPr>
            <w:tcW w:w="376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20,380</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17,637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16,687</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15,533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19,089</w:t>
            </w:r>
          </w:p>
        </w:tc>
      </w:tr>
      <w:tr>
        <w:trPr>
          <w:trHeight w:val="213"/>
        </w:trPr>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w:t>
            </w:r>
          </w:p>
        </w:tc>
      </w:tr>
      <w:tr>
        <w:trPr>
          <w:trHeight w:val="213"/>
        </w:trPr>
        <w:tc>
          <w:tcPr>
            <w:tcW w:w="37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3,904</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1,444</w:t>
            </w:r>
          </w:p>
        </w:tc>
      </w:tr>
      <w:tr>
        <w:trPr>
          <w:trHeight w:val="213"/>
        </w:trPr>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per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3760" w:type="dxa"/>
            <w:vAlign w:val="bottom"/>
          </w:tcPr>
          <w:p>
            <w:pPr>
              <w:ind w:left="1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13"/>
        </w:trPr>
        <w:tc>
          <w:tcPr>
            <w:tcW w:w="3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r>
      <w:tr>
        <w:trPr>
          <w:trHeight w:val="466"/>
        </w:trPr>
        <w:tc>
          <w:tcPr>
            <w:tcW w:w="3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84"/>
              </w:rPr>
              <w:t>2009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37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45,228</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42,740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43,621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34,899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32,234</w:t>
            </w:r>
          </w:p>
        </w:tc>
      </w:tr>
      <w:tr>
        <w:trPr>
          <w:trHeight w:val="213"/>
        </w:trPr>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15,051</w:t>
            </w:r>
          </w:p>
        </w:tc>
      </w:tr>
      <w:tr>
        <w:trPr>
          <w:trHeight w:val="224"/>
        </w:trPr>
        <w:tc>
          <w:tcPr>
            <w:tcW w:w="3760" w:type="dxa"/>
            <w:vAlign w:val="bottom"/>
          </w:tcPr>
          <w:p>
            <w:pPr>
              <w:ind w:left="3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33,369</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35,313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31,134</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26,354</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23,282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2012, we transitioned our business to focus on sales of value-added products and technologies in diversified growth markets while moving away from the low margin, commoditized POS market. To that end, we successfully launched three new products that we believe present the opportunity to significantly change TransAct in terms of growing our printing solution and related consumables revenue as well as expanding our gross margin and operating income margin. We developed two of these new printers a for the oil and gas exploration market which we believe represents a worldwide growth opportunity for us based on studies which show that the U.S. will likely become energy independent in the next twenty years. Our Printrex® 980 printer, the fastest color office printer designed specifically for high-volume printing of oil and gas logging reports, has already won orders and each of these printers has the opportunity to drive significant recurring consumable revenue based on proprietary inkjet cartridges, inkjet print heads and other items that these printers consume as our customers use the printer. Our new Printrex® 920, a thermal truck-mounted printer designed for the rugged and demanding exploration and production market, prints color logging reports at the well site utilizing proprietary color thermal paper which also represents another lucrative recurring consumable revenue stream for us. We have already received positive initial responses from the industry to our new color thermal printing technology which would replace the black and white printing of logging reports done today for drilling, casing and wire-line analysis. The Printrex® 920 printer has to be integrated into the many oil and gas explorations systems around the world and we are working closely with customers in this market to finalize this integration. Although this integration will take several months, once complete we expect orders to begin.</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began shipping our new food safety and nutritional labeling terminal, the Ithaca® 9700 food safety terminal, in the fourth quarter of 2012. Initial orders included customers such as McDonalds as well as field tests and trials at several other widely-known restaurant chains. While we anticipate that it will take several months to get the field trials and testing completed at the different venues, we expect the Ithaca® 9700 food safety terminal to be a significant contributor to our sales in 2013.</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also benefited from a full year of sales of Printrex printers and the related TSG products in 2012 which provided gross margins above TransAct’s historical average. We also continued to focus on increasing our overall gross profit and leveraging such increase to our operating income primarily by focusing our sales effort on higher margin printers in addition to our continual effort of reducing costs of our foreign-sourced printers. We increased our overall sales 4% and our U.S. casino and gaming printer sales 17%, primarily from new casino openings and market share gains. While our total printer shipments slightly decreased 1% to approximately 199,000 in 2012, the average selling price of printers sold during the year increased by 7%. In addition, our gross margin for 2012 increased from 2011 reaching a record high. Excluding the legal fees incurred in connection with the lawsuit discussed in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and in Note 11 to the Consolidated Financial Statements, our operating margin and diluted earnings per share were relatively consistent with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During 2012, our total net sales increased 4% to approximately $68,386,000. See the table below for a breakdown of our sales by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rPr>
              <w:t>December 31, 2012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24,955</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tcPr>
          <w:p>
            <w:pPr>
              <w:ind w:left="480"/>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68,386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65,969</w:t>
            </w:r>
          </w:p>
        </w:tc>
        <w:tc>
          <w:tcPr>
            <w:tcW w:w="2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of our food safety, banking and POS products decreased 5% in 2012 compared to 2011. In the banking market, we focus mainly on supplying printers for use in bank teller stations at banks and financial institutions primarily in the U.S. Opportunities in the banking market are project oriented and, as a result, our banking printer sales can fluctuate significantly year-to-year. During 2012, our banking printer sales increased 110% primarily due to sales from a large order for our Ithaca® 280 thermal receipt printer to a new banking customer that did not occur in 2011. In the POS market, we focus primarily on supplying printers that print receipts or linerless labels for customers in the restaurant, hospitality and specialty retail markets. Sales of our POS printers decreased 20% in 2012 primarily driven by a decrease in both domestic and international sales of our two POS printer products to McDonald’s, the Ithaca® 8000 and Ithaca® 8040, for its combined beverage initiative and its POS system upgrade which includes grill initiative printer upgrades, as the rollout of printers for these initiatives is substantially complete. However, beginning in the second half of 2012, we began to ship Ithaca 8000® printers to McDonald’s for a new application that we expect to continue into 2013. We also intend to pursue sales to McDonald’s and other national restaurant chains for the previously discussed new food safety terminal during 2013. During 2012, in an effort to address the Food Safety Modernization Act, we developed a food safety terminal, the Ithaca® 9700 as previously discussed, that prints easy-to-read expiration and "enjoy by" date labels to help restaurants effectively manage food spoilage. We received our first revenue contributions from this product in the fourth quarter 2012.</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Sales of our casino and gaming printers increased 17% in 2012 compared to 2011. In our casino and gaming market, our focus lies primarily in supplying printers for use in slot machines at casinos and racetracks, as well as in other gaming devices that print tickets or receipts, worldwide. Additionally, we supplement these printer sales with revenue from the EPICENTRAL™ Print System for which we had seven executed contracts as of January 31, 2013. Domestic sales of our casino and gaming printers increased 31%, mostly due from a combination of new casino openings and continued market share gains in the casino market, as we believe the overall replacement cycle of slot machines was lower in 2012 as compared to 2011. International sales also increased by 6%, primarily due to a 14% increase in casino ticket printer sales during 2012 driven by a 100% increase in sales to a Canadian OEM which were partially offset by a 10% decrease in our off-premise thermal gaming printers. Our casino and gaming sales for 2012 also included revenue contribution from our first completed installation of the EPICENTRAL™ Print System at Nisqually Red Wind Casino in Olympia, Washington.</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lottery market, we continue to hold a leading position based on our long-term exclusive purchase agreement with GTECH, our largest customer and the world’s largest provider of lottery terminals. GTECH has been our customer since 1995, and we continue to maintain a good relationship with them. In 2009 we expanded our long-standing relationship with GTECH by executing a new exclusive purchase agreement to develop and supply them with their next generation online thermal lottery printer. Pursuant to the new agreement, GTECH will exclusively purchase all of its requirements for thermal on-line lottery printers from us and we will exclusively sell such printers to GTECH through November 2014. Currently, we fulfill substantially all of GTECH’s printer requirements for lottery terminal installations and upgrades worldwide. During 2012, total printer sales to GTECH decreased approximately 27%, compared to 2011. Our sales to GTECH each year are directly dependent on the timing and number of new and upgraded lottery terminal installations GTECH performs and are not indicative of GTECH’s overall business or revenue.</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Sales in the Printrex market include wide format, rack mounted and vehicle mounted thermal printers used by customers to log and plot oil field and down hole well drilling data in the oil and gas exploration industry. During 2012, we developed the Printrex® 920 and Printrex® 980 oil and gas color printers, as previously discussed, that we believe will provide customers with more value as data printed in color is easier to read and analyze than the same data printed in black and white. Sales in this market also includes wide format printers used to print test results in ophthalmology devices in the medical industry, as well as vehicle mounted printers used to print schematics and certain other critical information in emergency services vehicles. Printrex printer sales increased by approximately $3,000,000 primarily due to a full twelve months of sales being reported in 2012 as compared to approximately four and one-half months of sales in 2011 as we acquired Printrex on August 19, 2011.</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TSG group, which sells service, replacement parts and consumable products, including receipt paper, ribbons and inkjet cartridges, continues to offer a recurring revenue stream for the Company. TSG sales decreased 7% in 2012 from 2011 primarily due to lower sales of consumables compared to 2011 from the effect of a loss of sales to two OEM customers partially offset by incremental Printrex TSG sales from the full twelve months of sales being reported in 2012 as compared to approximately four and one-half months of sales in 2011 and an increase in service revenue during 2012 from several new contracts for paper testing services that did not occur in 2011. Companies who produce and sell paper products that are used in our printers, utilize this new service for a fee to have their product qualified for use in our printers.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Operationally, our gross margin increased to a record high 38.0% compared to 37.3% in 2011. Our gross margin increased due primarily to a more favorable sales mix combined with a continued effort of cost control, specifically in lower production costs, in addition to sales of higher margin Printrex printers in 2012 compared to 2011 due to the full twelve months of sales being reported in 2012 as compared to approximately four and one-half months of sales in 2011. Our operating margin for 2012 was 8.2% compared to 10.6% in 2011. Excluding the legal fees incurred in connection with the lawsuit discussed in Item 3.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and in Note 11 to the Consolidated Financial Statements, our operating margin for 2012 was 10.4% in 2012, which is relatively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We reported net income of $3,621,000 and net income per diluted share of $0.40 for 2012, compared to net income of $4,676,000 and net income per diluted share of $0.49 in 2011. In terms of cash flow for 2012, we generated $8,030,000 of cash from operating activities and utilized $5,938,000 for treasury share repurchases, $1,117,000 for capital expenditures and capitalized software development and $526,000 for our first cash dividend payment to shareholders resulting in cash and cash equivalents of $7,537,000 and no debt on our Consolidated Balance Sheet at December 31,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Our typical contracts include the sale of printers, which are sometimes accompanied by separately-priced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developed a new software solution,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enables casino operators 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We also determine whether revenue arrangements consist of more than one unit of accounting at inception of the arrangement and recognize revenue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standardized credit granting and review policies and procedures for all customer accounts, including: credit reviews of all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2012 was approximately $66,000, or less than 1.0%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inventories are stated at the lower of cost (principally standard cost, which approximates actual cost on a first-in, first-out basis)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8" w:name="page19"/>
    <w:bookmarkEnd w:id="18"/>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$2,328,000 of unamortized definite-lived intangible assets at December 31, 2012. We have determined that no goodwill impairment has occurred based on our assessment as of December 31, 2012 when the impairment review is performed.</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or tax reserve,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or tax reserves would increase net income in the period such determination was made.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 an estimated liability related to contingencies based on our estimates of the probable outcomes pursuant to ASC 450,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 As of December 31, 2012 and 2011, a contingent liability of $960,000 and $680,000, respectively, was recorded in connection with a contingent consideration arrangement entered into as part of the Printrex acquisition. The increase of $280,000 was the result of our revised estimate of the expected payout in connection with this arrangement primarily due to changes in probabilities and increases in revenue and gross margin estimates, and was charged to general and administrative expense during 2012. See Note 3 to the Consolidated Financial Statements for further discussion.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calculate share-based compensation expense in accordance with ASC 718, “Compensation – Stock Compensation”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a high level of judgment. To the extent any of the assumptions were to change from year to year, the fair value of new option grants may vary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 Year ended December 31, 2012 compared to year ended December 31, 2011</w:t>
      </w:r>
    </w:p>
    <w:p>
      <w:pPr>
        <w:spacing w:after="0" w:line="2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maintenance and repair services, by market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2012 and 2011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29,129</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24,955</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11,634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4,673</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13,466</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14,428</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68,386</w:t>
            </w:r>
          </w:p>
        </w:tc>
        <w:tc>
          <w:tcPr>
            <w:tcW w:w="2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65,969</w:t>
            </w:r>
          </w:p>
        </w:tc>
        <w:tc>
          <w:tcPr>
            <w:tcW w:w="2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18,454</w:t>
            </w:r>
          </w:p>
        </w:tc>
        <w:tc>
          <w:tcPr>
            <w:tcW w:w="2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16,668</w:t>
            </w:r>
          </w:p>
        </w:tc>
        <w:tc>
          <w:tcPr>
            <w:tcW w:w="2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600" w:firstLine="7"/>
        <w:spacing w:after="0" w:line="253" w:lineRule="auto"/>
        <w:tabs>
          <w:tab w:leader="none" w:pos="1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for 2012 increased $2,417,000, or 4%, from 2011. Printer sales volume decreased 1% to approximately 199,000 units as a 26% decline in lottery printer unit volume was almost entirely offset by an 18% increase in unit volume from the casino and gaming market. The average selling price of our printers increased approximately 7% from 2011 to 2012 due primarily to higher sales of casino and gaming printers as well as our first full year of sales of Printrex printers, both of which have significantly higher average selling prices than all our other printers. Overall, international sales increased $1,786,000, or 11%, primarily driven by higher sales in both the international casino and gaming and lottery markets.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Food safety, banking and POS</w:t>
      </w:r>
      <w:r>
        <w:rPr>
          <w:rFonts w:ascii="Arial" w:cs="Arial" w:eastAsia="Arial" w:hAnsi="Arial"/>
          <w:sz w:val="18"/>
          <w:szCs w:val="18"/>
          <w:color w:val="auto"/>
        </w:rPr>
        <w:t>: Revenue from the food safety, banking and POS market includes sales of printers used by banks, credit unions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food safety terminals, hardware devices that consist of a touchscreen and one or two thermal print mechanisms, that print easy-to-read expiration and "enjoy by" date labels to help restaurants effectively manage food spoilage. A summary of sales of our worldwide food safety, banking and POS printers for the years ended December 31, 2012 and 2011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3"/>
          </w:tcPr>
          <w:p>
            <w:pPr>
              <w:ind w:left="1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(367)</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9,484</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(459)</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decrease in domestic food safety, banking and POS printer revenue from 2011 was primarily driven by a decrease in U.S. sales of our two POS printer products to McDonald’s, the Ithaca® 8000 and Ithaca® 8040, for its combined beverage initiative and its POS system upgrade which includes grill initiative printer upgrades, as the U.S. rollout of printers for these initiatives is substantially complete. However, beginning in the second half of 2012, we began to ship Ithaca 8000® printers to McDonald’s for a new application that we expect to continue into 2013. This decrease in sales was largely offset by higher sales of our banking printers mainly due to sales from a large order for our Ithaca® 280 thermal receipt printer to a new banking customer which we completed shipments to in the third quarter of 2012. Although we are currently pursuing several banking opportunities, due to the project-oriented nature of these sales, we cannot predict the level of future sales. Sales for 2012 also benefited from the first revenue contributions from our newly launched Ithaca® 9700 food service terminal.</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International banking and POS printer sales for 2012 decreased 38% from 2011 due primarily to lower sales for the aforementioned McDonald’s POS system upgrade and grill initiative as well as the combined beverage initiative to its Canadian stores in 2012 compared to 2011.</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and</w:t>
      </w:r>
      <w:r>
        <w:rPr>
          <w:rFonts w:ascii="Arial" w:cs="Arial" w:eastAsia="Arial" w:hAnsi="Arial"/>
          <w:sz w:val="18"/>
          <w:szCs w:val="18"/>
          <w:i w:val="1"/>
          <w:iCs w:val="1"/>
          <w:color w:val="auto"/>
        </w:rPr>
        <w:t xml:space="preserve"> gaming</w:t>
      </w:r>
      <w:r>
        <w:rPr>
          <w:rFonts w:ascii="Arial" w:cs="Arial" w:eastAsia="Arial" w:hAnsi="Arial"/>
          <w:sz w:val="18"/>
          <w:szCs w:val="18"/>
          <w:color w:val="auto"/>
        </w:rPr>
        <w:t>: Revenue from the casino and gaming market includes sales of printers used in slot machines, video lottery terminals (“VLTs”),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new software solution, the EPICENTRAL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print system, that enables casino operators to create promotional coupons and marketing messages and to print them real-time at the slot machine. A summary of sales of our worldwide casino and gaming printers for the years ended December 31, 2012 and 2011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14,283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14,846</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13,948</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29,129</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24,955</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4,174</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0"/>
        </w:trPr>
        <w:tc>
          <w:tcPr>
            <w:tcW w:w="27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640" w:type="dxa"/>
            <w:vAlign w:val="bottom"/>
            <w:tcBorders>
              <w:top w:val="single" w:sz="8" w:color="CCEEFF"/>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809"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The increase in domestic sales of our casino and gaming printers is primarily due to an increase of 31% in sales of our thermal casino printers. We believe that our increased casino printer sales during 2012 resulted from a combination of new casino openings and continued market share gains. Revenue in 2012 also benefited from the first contribution of EPICENTRAL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software sales.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International casino and gaming printer sales increased due primarily to a 14% increase in thermal casino printer sales during 2012 primarily driven by a 100% increase in sales to a Canadian OEM as well as 9% higher sales to our European distributor. Sales of our off-premise thermal gaming printers decreased 10% in 2012 compared to 2011 due largely to a 47% decrease in sales to distribution and an OEM customer in Australia and Asia as well as a 77% decrease in sales to a Canadian OEM. These decreases were somewhat offset by 29% higher sales of off-premise printers to our European distributor. Sales of our off-premise gaming printers are largely project-oriented and we therefore cannot predict the level of future sales.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to GTECH and its subsidiaries for various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 summary of sales of our worldwide lottery printers for the years ended December 31, 2012 and 2011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10,574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1,060</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11,634</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14,933</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2013 to be approximately $4 to $5 million.</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rack mounted and vehicle mounted black/white and color thermal printers</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customers to log and plot oil field and down hole well drilling data in the oil and gas exploration industry. It also includes high-speed color inkjet desktop printers used to print logs at data centers of the large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years ended December 31, 2012 and 2011 is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85"/>
              </w:rPr>
              <w:t>137.6%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4,673</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173.3%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increase in sales is primarily due to a full twelve months of sales being reported in 2012 as compared to approximately four and one-half months of sales in 2011 as we acquired Printrex on August 19, 2011.</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Revenue from TSG includes sales of consumable products (inkjet cartridges, ribbons, receipt paper, color thermal paper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A summary of sales in our worldwide TSG market for the years ended December 31, 2012 and 2011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1,182</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13,466</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14,428</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decrease in domestic revenue from TSG is primarily due to a 19% decrease in sales of consumables from the effect of a loss of sales to two OEM customers partially offset by an increase in service revenue of approximately $582,000 during 2012 from several new contracts for paper testing services that did not occur in 2011. Additionally, Printrex TSG sales increased by approximately $272,000 to reflect a full twelve months of sales being reported in 2012 as compared to approximately four and one-half months of sales in 2011. Internationally, TSG revenue increased due primarily to higher sales of replacement parts as compared to 2011. We expect TSG sales in 2013 to be higher than in 2012, especially in the second half of 2013, as we expect to begin to benefit from sales of consumables from our newly launched Printrex color oil and gas printers.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24,626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r>
    </w:tbl>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Gross profit increased $1,356,000, or 6%, and gross margin improved 70 basis points due primarily to a favorable sales mix as we sold more higher margin casino and gaming and Printrex printers, and fewer lower margin lottery printers in 2012 compared to 2011. We expect our gross margin for 2013 to be higher than in 2012 as we expect to benefit from increased sales of our new, value-added products as well significantly reduced sales of our lower margin lottery printers..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339" w:gutter="0" w:footer="0" w:header="0"/>
        </w:sectPr>
      </w:pPr>
    </w:p>
    <w:bookmarkStart w:id="21" w:name="page22"/>
    <w:bookmarkEnd w:id="21"/>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4,239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r>
    </w:tbl>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$821,000, or 24%, due primarily to the full twelve months effect of the addition of engineering staff and related expenses from the acquisition of Printrex of approximately $657,000, and higher outside testing and prototype expenses related to new product development from the four new products we launched in the fourth quarter of 2012. We expect engineering, design and product development expenses in 2013 to be relatively consistent with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6,637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bl>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$235,000, or 4%, primarily due to higher expenses from the full twelve months effect from the acquisition of Printrex of approximately $365,000, including the addition of new sales staff, partially offset by lower promotional marketing expenses in 2012 as compared to 2011. We expect selling and marketing expenses to be higher in 2013 than in 2012 primarily due to planned expansion of our sales staff and higher trade show and promotional marketing expenses as we focus our selling and marketing efforts on our newly launched, value-added products in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7,833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bl>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$200,000, or 3%, due primarily to an increase in accrued contingent consideration of $280,000 (as discussed in more detail in Note 3 to the Consolidated Financial Statements) and higher amortization of intangible assets of $227,000, both in connection with the acquisition of Printrex. These increases were partially offset by lower recruitment fees of $175,000 as compared to 2011. We expect general and administrative expenses in 2013 to be relatively consistent with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December 31,</w:t>
            </w: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Percent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Percent of</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Percent of</w:t>
            </w:r>
          </w:p>
        </w:tc>
      </w:tr>
      <w:tr>
        <w:trPr>
          <w:trHeight w:val="221"/>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Total Sales - 2012</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Total Sales - 2011</w:t>
            </w:r>
          </w:p>
        </w:tc>
      </w:tr>
      <w:tr>
        <w:trPr>
          <w:trHeight w:val="20"/>
        </w:trPr>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1,533</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in Note 11 to the Consolidated Financial Statements, in June 2012, Avery Dennison Corporation (“AD”) filed a civil complaint against the Company. In connection with this lawsuit, we incurred legal fees and other related expenses of $1,533,000 in 2012. In November 2012, the Court denied AD’s request for a preliminary injunction against us although AD has since filed an appeal of the Court’s ruling. As a result of AD’s actions, we may incur additional legal fees related to this lawsuit in 2013 and beyond, although we cannot predict the timing and extent of such legal fees.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5"/>
          </w:tcPr>
          <w:p>
            <w:pPr>
              <w:ind w:left="260"/>
              <w:spacing w:after="0"/>
              <w:rPr>
                <w:sz w:val="20"/>
                <w:szCs w:val="20"/>
                <w:color w:val="auto"/>
              </w:rPr>
            </w:pPr>
            <w:r>
              <w:rPr>
                <w:rFonts w:ascii="Arial" w:cs="Arial" w:eastAsia="Arial" w:hAnsi="Arial"/>
                <w:sz w:val="18"/>
                <w:szCs w:val="18"/>
                <w:color w:val="auto"/>
              </w:rPr>
              <w:t>December 31,</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Percent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Percent of</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Percent of</w:t>
            </w:r>
          </w:p>
        </w:tc>
      </w:tr>
      <w:tr>
        <w:trPr>
          <w:trHeight w:val="221"/>
        </w:trPr>
        <w:tc>
          <w:tcPr>
            <w:tcW w:w="3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2012</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9"/>
              </w:rPr>
              <w:t>2011</w:t>
            </w:r>
          </w:p>
        </w:tc>
        <w:tc>
          <w:tcPr>
            <w:tcW w:w="160" w:type="dxa"/>
            <w:vAlign w:val="bottom"/>
          </w:tcPr>
          <w:p>
            <w:pPr>
              <w:spacing w:after="0"/>
              <w:rPr>
                <w:sz w:val="19"/>
                <w:szCs w:val="19"/>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Total Sales - 2012</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Total Sales - 2011</w:t>
            </w:r>
          </w:p>
        </w:tc>
      </w:tr>
      <w:tr>
        <w:trPr>
          <w:trHeight w:val="20"/>
        </w:trPr>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disclosed in Note 8 to the Consolidated Financial Statements, in January 2012, we determined that we no longer needed to maintain the existing Printrex manufacturing facility in San Jose, California, along with certain redundant headcount. During 2012, we recorded a restructuring charge of $138,000 for employee termination benefits related to these employee reductions as well as moving costs. The closing of the San Jose manufacturing operations was completed as of December 31, 2012.</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were replaced by our thermal lottery printers. During 2011, we recorded a restructuring charge of $184,000 in connection with this facility closure. As of June 30, 2011, all New Britain activities ceased. Please also refer to Note 8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628"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5,602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bl>
    <w:p>
      <w:pPr>
        <w:spacing w:after="0" w:line="228"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decrease in our operating income and operating margin was primarily due to the legal fees incurred from the AD lawsuit and higher operating expenses attributable to the Printrex acquisition of approximately $1,145,000 which were partially offset by higher gross profit as previously discussed.</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$6,000 in 2012 compared to net interest income of $18,000 in 2011. The decrease in net interest income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interest income earned a lower average cash balance, as we used a significant amount of our cash (approximately $6,464,000) to repurchase our common stock and pay cash dividends in 2012. Interest expense related to the unused revolving credit line fee and amortization of deferred financing costs on our revolving credit facility with TD Bank remained consistent in 2012 and 2011. See “Liquidity and Capital Resources” below for more information.</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$23,000 in 2012 compared to other income of $1,000 in 2011. The change from 2011 was primarily due to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transaction exchange losses recorded by our U.K. subsidiary in 2012 compared to a small gain in 2011.</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2012 of $1,964,000 at an effective tax rate of 35.2% compared to $2,332,000 at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33.3% for 2011. The effective tax rate for 2012 is higher because it does not include a benefit from the federal research and development (“R&amp;D”) credit, which is normally included in our tax rate, as this credit expired at the end of 2011 and was not renewed until January 2, 2013 as a component of the American Taxpayer Relief Act of 2012 (the “Act”). Since the Act was not signed until 2013, the cumulative 2012 impact of the R&amp;D credit will be reflected as a discrete item in the first quarter of 2013. Had the R&amp;D credit been included in our effective tax rate for 2012, it would have lowered our income tax provision and effective tax rate, by approximately $220,000 and 400 basis points, respectively. As a result of this accounting treatment, we expect our annual effective tax rate for 2013 to be between 32 and 33%.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2012 of $3,621,000, or $0.40, per diluted share, compared to $4,676,000, or $0.49, per diluted share, for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2011 compared to year ended December 31, 2010</w:t>
      </w:r>
    </w:p>
    <w:p>
      <w:pPr>
        <w:spacing w:after="0" w:line="25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maintenance and repair services, by market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2011 and 2010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4"/>
              </w:rPr>
              <w:t>December 31, 2010</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24,955</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25,678</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1,710</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14,428</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14,846</w:t>
            </w: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65,969</w:t>
            </w:r>
          </w:p>
        </w:tc>
        <w:tc>
          <w:tcPr>
            <w:tcW w:w="2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63,194</w:t>
            </w:r>
          </w:p>
        </w:tc>
        <w:tc>
          <w:tcPr>
            <w:tcW w:w="2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16,668</w:t>
            </w:r>
          </w:p>
        </w:tc>
        <w:tc>
          <w:tcPr>
            <w:tcW w:w="2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19,093</w:t>
            </w:r>
          </w:p>
        </w:tc>
        <w:tc>
          <w:tcPr>
            <w:tcW w:w="2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600" w:firstLine="7"/>
        <w:spacing w:after="0" w:line="253" w:lineRule="auto"/>
        <w:tabs>
          <w:tab w:leader="none" w:pos="1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2011 increased $2,775,000, or 4%, from 2010. Printer sales volume increased 6% to approximately 201,000 units while the average selling price of our printers remained relatively flat from 2010 to 2011. The increase in unit volume was driven primarily by the lottery market where our unit volume increased 93% compared to 2010, somewhat offset by a 34% decline in unit volume from the banking and POS market. Overall, international sales decreased $2,425,000, or 13%, primarily driven by lower sales to the casino and gaming market.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and POS</w:t>
      </w:r>
      <w:r>
        <w:rPr>
          <w:rFonts w:ascii="Arial" w:cs="Arial" w:eastAsia="Arial" w:hAnsi="Arial"/>
          <w:sz w:val="18"/>
          <w:szCs w:val="18"/>
          <w:color w:val="auto"/>
        </w:rPr>
        <w:t>: Sales of our banking and POS printers worldwide decreased $4,585,000, or 32%, from 2010 and a summary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4"/>
              </w:rPr>
              <w:t>December 31, 2010</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13,447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9,943</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14,528</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0"/>
        </w:trPr>
        <w:tc>
          <w:tcPr>
            <w:tcW w:w="27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660" w:type="dxa"/>
            <w:vAlign w:val="bottom"/>
            <w:tcBorders>
              <w:top w:val="single" w:sz="8" w:color="CCEEFF"/>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The decrease in domestic banking and POS printer revenue from 2010 was primarily driven by lower sales of our POS printers due to the shipment of a large order for our Ithaca® 280 thermal receipt printer to an existing retail customer as part of a POS system upgrade project in all its U.S. stores in 2010 that did not repeat in 2011. This decrease was coupled with a 37% decrease in U.S. sales of our two printer products for McDonald’s for its combined beverage initiative and its POS system upgrade and grill initiatives. Sales of our banking printers decreased 37% primarily due to sales to a bank customer to upgrade its bank teller stations utilizing our BANKjet® 2500 bank teller printer in 2010 that did not recur in 2011.</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banking and POS printer sales for 2011 decreased 10% from 2010 due primarily to lower sales to international distributors in Europe, Latin America and the Pacific Rim. This decrease was largely offset by the roll out of the McDonald’s POS system upgrade and grill initiative as well as the combined beverage initiative to its Canadian stores in 2011 compared to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and</w:t>
      </w:r>
      <w:r>
        <w:rPr>
          <w:rFonts w:ascii="Arial" w:cs="Arial" w:eastAsia="Arial" w:hAnsi="Arial"/>
          <w:sz w:val="18"/>
          <w:szCs w:val="18"/>
          <w:i w:val="1"/>
          <w:iCs w:val="1"/>
          <w:color w:val="auto"/>
        </w:rPr>
        <w:t xml:space="preserve"> gaming</w:t>
      </w:r>
      <w:r>
        <w:rPr>
          <w:rFonts w:ascii="Arial" w:cs="Arial" w:eastAsia="Arial" w:hAnsi="Arial"/>
          <w:sz w:val="18"/>
          <w:szCs w:val="18"/>
          <w:color w:val="auto"/>
        </w:rPr>
        <w:t>: Sales of our worldwide casino and gaming printers decreased $723,000, or 3%, from 2010 and a summary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4"/>
              </w:rPr>
              <w:t>December 31, 2010</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13,948</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16,391</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24,955</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25,678</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domestic sales of our casino and gaming printers is primarily due to an increase of 16% in sales of our thermal casino printers. We believe that our increased casino printer sales during 2011 resulted from a combination of new casino openings and market share gains, as we believe the overall replacement cycle of slot machines was lower in 2011 as compared to 2010.</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International casino and gaming printer sales decreased due primarily to a 15% decline in thermal casino printer sales resulting largely from a 27% decrease in our thermal casino printer sales to our OEM and distributor customers in Canada and Europe. This decline was primarily due to higher sales of VLT gaming machines into Italy during 2010 from the government-approved installation of approximately 50,000 VLT games, of which only 30,000 have shipped so far. Since the Italian government significantly slowed the pace of installations in 2011, our resulting printer sales were significantly lower in 2011 compared to 2010. Sales of our off-premise thermal gaming printers decreased 14% in 2011 compared to 2010 due largely to a 16% decrease in sales to a distributor and OEM customer in Australia and Asia as well as an 18% decrease in sales to our European distributor.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lottery printers to GTECH for various lottery applications and a summary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4"/>
              </w:rPr>
              <w:t>December 31, 2010</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6,744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14,933</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6,791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to GTECH for 2011 reached a near record level. However, our sales to GTECH are directly dependent on the timing and number of new and upgraded lottery terminal installations GTECH performs, and as a result, may fluctuate significantly quarter-to-quarter and year-to-year and are not indicative of GTECH’s overall business or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00" w:type="dxa"/>
            <w:vAlign w:val="bottom"/>
          </w:tcPr>
          <w:p>
            <w:pPr>
              <w:spacing w:after="0"/>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Sales of our worldwide Printrex printers were as follows: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27"/>
        </w:trPr>
        <w:tc>
          <w:tcPr>
            <w:tcW w:w="5300" w:type="dxa"/>
            <w:vAlign w:val="bottom"/>
            <w:vMerge w:val="continue"/>
          </w:tcPr>
          <w:p>
            <w:pPr>
              <w:spacing w:after="0"/>
              <w:rPr>
                <w:sz w:val="19"/>
                <w:szCs w:val="19"/>
                <w:color w:val="auto"/>
              </w:rPr>
            </w:pPr>
          </w:p>
        </w:tc>
        <w:tc>
          <w:tcPr>
            <w:tcW w:w="1560" w:type="dxa"/>
            <w:vAlign w:val="bottom"/>
            <w:gridSpan w:val="6"/>
          </w:tcPr>
          <w:p>
            <w:pPr>
              <w:jc w:val="right"/>
              <w:ind w:right="100"/>
              <w:spacing w:after="0"/>
              <w:rPr>
                <w:sz w:val="20"/>
                <w:szCs w:val="20"/>
                <w:color w:val="auto"/>
              </w:rPr>
            </w:pPr>
            <w:r>
              <w:rPr>
                <w:rFonts w:ascii="Arial" w:cs="Arial" w:eastAsia="Arial" w:hAnsi="Arial"/>
                <w:sz w:val="18"/>
                <w:szCs w:val="18"/>
                <w:color w:val="auto"/>
                <w:w w:val="91"/>
              </w:rPr>
              <w:t>December 31, 2011</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0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Printrex printers contributed sales of $1,710,000 during 2011. Such sales were included from the period from August 19, 2011, the closing date of our acquisition of Printrex, through December 31, 2011. As Printrex was acquired during the third quarter of 2011, no Printrex printer sales were included in our results for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Sales from TSG decreased $418,000, or 3%, from 2010 and a summary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color w:val="auto"/>
                <w:w w:val="88"/>
              </w:rPr>
              <w:t>Year ended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3"/>
          </w:tcPr>
          <w:p>
            <w:pPr>
              <w:ind w:left="180"/>
              <w:spacing w:after="0"/>
              <w:rPr>
                <w:sz w:val="20"/>
                <w:szCs w:val="20"/>
                <w:color w:val="auto"/>
              </w:rPr>
            </w:pPr>
            <w:r>
              <w:rPr>
                <w:rFonts w:ascii="Arial" w:cs="Arial" w:eastAsia="Arial" w:hAnsi="Arial"/>
                <w:sz w:val="18"/>
                <w:szCs w:val="18"/>
                <w:color w:val="auto"/>
                <w:w w:val="98"/>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3"/>
              </w:rPr>
              <w:t>December 31, 2011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w w:val="94"/>
              </w:rPr>
              <w:t>December 31, 2010</w:t>
            </w:r>
          </w:p>
        </w:tc>
        <w:tc>
          <w:tcPr>
            <w:tcW w:w="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13,554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(242)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14,428</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14,846</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5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(418)</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decrease in domestic revenue from TSG is primarily due to a 4% decrease in sales of consumables, a decline in service revenue related to a price reduction on a large service contract, and testing services revenue recorded in 2010 that did not recur in 2011. These decreases were largely offset by an increase of 51% in sales of replacement parts compared to 2010 in addition to Printrex sales of approximately $182,000. Internationally, TSG revenue decreased due primarily to lower sales of replacement parts as compared to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09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24,626</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22,548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increased $2,078,000, or 9%, and gross margin improved 160 basis points due primarily to (1) a 4% increase in sales in 2011 compared to 2010, (2) lower product and production costs resulting from increased printer production in Asia and (3) the addition of higher margin Printrex printers in 2011 compared to 2010.</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3,418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Engineering, design and product development expenses increased $418,000, or 14%, which was due primarily to the addition of engineering staff and related expenses from the acquisition of Printrex of approximately $241,000, higher outside testing and pre-production expenses related to new product development during 2011 and slightly higher consulting expenses compared to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6,402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r>
    </w:tbl>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Selling and marketing were relatively consistent compared to 2010 as lower sales commissions and promotional marketing expenses were almost fully offset by higher expenses associated with the Printrex acquisition.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7,633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bl>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General and administrative expenses increased $353,000, or 5%, due primarily to higher transaction and integration costs of approximately $129,000 in addition to amortization of intangible assets of approximately $139,000, both related to the acquisition of Printrex.</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8"/>
                <w:szCs w:val="18"/>
                <w:color w:val="auto"/>
              </w:rPr>
              <w:t>December 31,</w:t>
            </w: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Percent</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 of</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Percent of</w:t>
            </w:r>
          </w:p>
        </w:tc>
      </w:tr>
      <w:tr>
        <w:trPr>
          <w:trHeight w:val="221"/>
        </w:trPr>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Total Sales - 2011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Total Sales - 2010</w:t>
            </w:r>
          </w:p>
        </w:tc>
      </w:tr>
      <w:tr>
        <w:trPr>
          <w:trHeight w:val="20"/>
        </w:trPr>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2011, we closed our New Britain, CT service facility which primarily serviced our first generation legacy impact printers for GTECH and incurred certain facility closure and severance costs. We no longer needed to maintain this facility since these printers have been replaced by our thermal lottery printers. Please also refer to Note 8 in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5"/>
          </w:tcPr>
          <w:p>
            <w:pPr>
              <w:ind w:left="320"/>
              <w:spacing w:after="0"/>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Percent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Percent of</w:t>
            </w:r>
          </w:p>
        </w:tc>
      </w:tr>
      <w:tr>
        <w:trPr>
          <w:trHeight w:val="196"/>
        </w:trPr>
        <w:tc>
          <w:tcPr>
            <w:tcW w:w="3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9"/>
              </w:rPr>
              <w:t>Total Sales -</w:t>
            </w:r>
          </w:p>
        </w:tc>
        <w:tc>
          <w:tcPr>
            <w:tcW w:w="96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87"/>
              </w:rPr>
              <w:t>Total Sales -</w:t>
            </w:r>
          </w:p>
        </w:tc>
      </w:tr>
      <w:tr>
        <w:trPr>
          <w:trHeight w:val="225"/>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6,989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r>
    </w:tbl>
    <w:p>
      <w:pPr>
        <w:spacing w:after="0" w:line="228"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increase in our operating income and operating margin was primarily due to higher gross profit resulting from the 4% increase in net sales and a 160 basis point improvement in gross margin in 2011 compared to 2010 which was slightly offset by higher operating expenses due primarily to the Printrex acquisition.</w:t>
      </w:r>
    </w:p>
    <w:p>
      <w:pPr>
        <w:spacing w:after="0" w:line="159" w:lineRule="exact"/>
        <w:rPr>
          <w:sz w:val="20"/>
          <w:szCs w:val="20"/>
          <w:color w:val="auto"/>
        </w:rPr>
      </w:pPr>
    </w:p>
    <w:p>
      <w:pPr>
        <w:jc w:val="both"/>
        <w:ind w:firstLine="53"/>
        <w:spacing w:after="0" w:line="254"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$18,000 in 2011 compared to net interest expense of $9,000 in 2010. The increase in net interest income is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$26,000 of interest expense incurred in 2010 related to certain prior years’ state and local tax liabilities that did not recur in 2011. Interest expense related to the unused revolving credit line fee and amortization of deferred financing costs on our revolving credit facility with TD Bank remained consistent in 2011 and 2010. See “Liquidity and Capital Resources” below for more information.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$1,000 in 2011 compared to other expense of $25,000 in 2010. The change from 2010 was primarily due to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transaction exchange losses recorded by our U.K. subsidiary in 2010 compared to a small gain in 2011.</w:t>
      </w:r>
    </w:p>
    <w:p>
      <w:pPr>
        <w:sectPr>
          <w:pgSz w:w="11900" w:h="16838" w:orient="portrait"/>
          <w:cols w:equalWidth="0" w:num="1">
            <w:col w:w="11420"/>
          </w:cols>
          <w:pgMar w:left="240" w:top="514" w:right="239" w:bottom="0" w:gutter="0" w:footer="0" w:header="0"/>
        </w:sectPr>
      </w:pPr>
    </w:p>
    <w:bookmarkStart w:id="25" w:name="page26"/>
    <w:bookmarkEnd w:id="2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340995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spacing w:after="0" w:line="33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2011 of $2,332,000 at an effective tax rate of 33.3% compared to $1,923,000 at an effective tax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33.0% for 2010. The effective tax rate for 2011 increased slightly as compared to 2010 primarily due to higher state taxes from the acquisition of Printrex.</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2011 of $4,676,000, or $0.49, per diluted share, compared to $3,904,000, or $0.41, per diluted share, for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2012, our cash balance increased $674,000, or 10%, from December 31, 2011 as we used a substantial portion of our cash flow to return shareholders in the form of $5,938,000 of repurchases of our common stock and $526,000 of cash dividends paid to our common shareholders. Even after funding these items and our capital expenditures, we ended 2012 with $7,537,000 in cash and cash equivalents and no debt outstanding. .</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$8,030,000 in 2012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$2,096,000 in 2011. During 2012:</w:t>
      </w:r>
    </w:p>
    <w:p>
      <w:pPr>
        <w:spacing w:after="0" w:line="206" w:lineRule="exact"/>
        <w:rPr>
          <w:sz w:val="20"/>
          <w:szCs w:val="20"/>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net income of $3,621,000.</w:t>
      </w:r>
    </w:p>
    <w:p>
      <w:pPr>
        <w:spacing w:after="0" w:line="17"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$2,278,000, including $366,000 of amortization related to intangible assets acquired from Printrex.</w:t>
      </w:r>
    </w:p>
    <w:p>
      <w:pPr>
        <w:ind w:left="640" w:hanging="313"/>
        <w:spacing w:after="0" w:line="24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$6,332,000 due primarily to significantly higher sales volume during the fourth quarter of 2012 compared to the fourth quarter of 2011.</w:t>
      </w:r>
    </w:p>
    <w:p>
      <w:pPr>
        <w:jc w:val="both"/>
        <w:ind w:left="640" w:hanging="313"/>
        <w:spacing w:after="0" w:line="24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decreased $3,684,000 due primarily to a focused effort at inventory management through a reduction in inventory purchases and sales fulfillment through existing inventory stock throughout 2012. We expect our inventories to increase during 2013 as we increase stocking levels of our newly launched food safety and Printrex products.</w:t>
      </w:r>
    </w:p>
    <w:p>
      <w:pPr>
        <w:spacing w:after="0" w:line="1"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$3,403,000 due to primarily to higher inventory purchases made during the fourth quarter 2012 to support significantly higher sales volume compared to the fourth quarter of 2011.</w:t>
      </w:r>
    </w:p>
    <w:p>
      <w:pPr>
        <w:jc w:val="both"/>
        <w:ind w:left="640" w:hanging="313"/>
        <w:spacing w:after="0" w:line="297"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Accrued liabilities and other liabilities increased $1,182,000 due primarily to an increase in income taxes payable of approximately $589,000 resulting from a higher level of income before income taxes in the fourth quarter 2012 compared to 2011. Additionally, we increased our estimate of accrued contingent consideration associated with the acquisition of Printrex by $280,000 during 2012 based on our revised estimate of the expected payout.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17" w:lineRule="exact"/>
        <w:rPr>
          <w:sz w:val="20"/>
          <w:szCs w:val="20"/>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reported net income of $4,676,000.</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$2,195,000, including $139,000 of amortization related to intangible assets acquired from Printrex.</w:t>
      </w: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non-cash deferred income tax expense of $519,000.</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were $498,000.</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decreased $1,977,000 due to lower sales volume and the timing of sales during the fourth quarter of 2011 compared to the fourth quarter of 2010.</w:t>
      </w: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 increased $568,000 due to lower than anticipated sales volume in the last six months of 2011.</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payable decreased $5,427,000 due to significantly lower inventory purchases and the timing of payments during the fourth quarter of 2011 compared to the fourth quarter of 2010.</w:t>
      </w:r>
    </w:p>
    <w:p>
      <w:pPr>
        <w:ind w:left="640" w:hanging="313"/>
        <w:spacing w:after="0" w:line="283"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$352,000 due primarily to a reduction of income taxes payable resulting from the overpayment of our 2011 tax liability as certain tax credits were higher than anticipated. Correspondingly, we recorded refundable income taxes of $446,000.</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$1,082,000 and $640,000 in 2012 and 2011, respectively. Expenditures in 2012 included $490,000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of new product tooling with the remaining amount primarily for the purchase of computer hardware and software and manufacturing equipment. Expenditures in 2011 included $325,000 for the purchase of new product tooling, $235,000 for the purchase of computer, networking equipment, and software, $56,000 for the purchase of engineering equipment, and the remaining amount primarily for the purchase of manufacturing equipment, leasehold improvements and furniture and fixtures. Additionally, our capitalized software development costs for the EPICENTRAL™ print system were $35,000 and $616,000 in 2012 and 2011, respectively.</w:t>
      </w:r>
    </w:p>
    <w:p>
      <w:pPr>
        <w:spacing w:after="0" w:line="22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Capital expenditures for 2013 are expected to be approximately $1,200,000, primarily for new product tooling and tooling enhancements for our existing products.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August 19, 2011, we completed the purchase of substantially all of the assets of Printrex for $4,000,000 in cash and potential future contingent consideration as previously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7" w:name="page28"/>
    <w:bookmarkEnd w:id="27"/>
    <w:p>
      <w:pPr>
        <w:jc w:val="both"/>
        <w:spacing w:after="0" w:line="295"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We used $6,242,000 of cash from financing activities during 2012 to purchase $5,938,000 of common stock for treasury and $526,000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our first ever cash dividend payment, partially offset by $229,000 of proceeds and incremental tax benefits from stock option exercises. During 2011, we used $1,254,000 of cash from financing activities to purchase $2,680,000 of common stock for treasury and $31,000 in financing costs associated with our amended TD Bank Credit Facility (as discussed below), partially offset by $1,457,000 of proceeds and incremental tax benefits from stock option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working capital decreased approximately 6% to $25,492,000 at December 31, 2012 from $27,222,000 at December 31, 2011. Our current ratio also decreased to 3.5 at December 31, 2012, compared to 5.7 at December 31, 2011. The decrease in our working capital and current ratio was primarily due to higher accounts payable and accrued liabilities balances primarily resulting from increased inventory purchases and the timing of payments in the fourth quarter of 2012 as compared to 2011 in addition to lower inventory balances. These were partially offset by higher accounts receivable balances and cash and cash equivalents, despite the significant treasury share repurchases and cash dividend payments previously discussed, in the fourth quarter of 2012 compared to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treasury stock repurchases, dividend payments and meet our liquidity requirements through at least the next twelve months.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November 22, 2011, we signed a three-year amendment to renew our existing $20,000,000 credit facility (the “TD Bank Credit Facility”) with TD Bank N.A. (“TD Bank). The TD Bank Credit Facility provides for a $20,000,000 revolving credit line expiring on November 28, 2014. Borrowings under the revolving credit line bear a floating rate of interest at the prime rate minus one percent and are secured by a lien on all of our assets. We also pay a fee of 0.25% on unused borrowings under the revolving credit line. The total deferred financing costs relating to expenses incurred to complete the TD Bank Credit Facility was $31,000.</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7, 2012, we signed an amendment to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2012. The following table lists the financial covenants and the performance measurements at December 31, 2012: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Financial Covenant</w:t>
            </w: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Requirement/Restriction</w:t>
            </w:r>
          </w:p>
        </w:tc>
        <w:tc>
          <w:tcPr>
            <w:tcW w:w="3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Calculation at December 31, 2012</w:t>
            </w:r>
          </w:p>
        </w:tc>
      </w:tr>
      <w:tr>
        <w:trPr>
          <w:trHeight w:val="207"/>
        </w:trPr>
        <w:tc>
          <w:tcPr>
            <w:tcW w:w="3600" w:type="dxa"/>
            <w:vAlign w:val="bottom"/>
          </w:tcPr>
          <w:p>
            <w:pPr>
              <w:jc w:val="center"/>
              <w:spacing w:after="0"/>
              <w:rPr>
                <w:sz w:val="20"/>
                <w:szCs w:val="20"/>
                <w:color w:val="auto"/>
              </w:rPr>
            </w:pPr>
            <w:r>
              <w:rPr>
                <w:rFonts w:ascii="Arial" w:cs="Arial" w:eastAsia="Arial" w:hAnsi="Arial"/>
                <w:sz w:val="18"/>
                <w:szCs w:val="18"/>
                <w:color w:val="auto"/>
                <w:w w:val="89"/>
              </w:rPr>
              <w:t>Operating cash flow / Total debt service</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Minimum of 1.25 times</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104.6 times</w:t>
            </w:r>
          </w:p>
        </w:tc>
      </w:tr>
      <w:tr>
        <w:trPr>
          <w:trHeight w:val="213"/>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Funded debt / EBITDA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Maximum of 3.0 times</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undrawn commitments under the TD Bank Credit facility were $20,000,000.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During 2012, our Board of Directors declared a quarterly cash dividend of $0.06 per share in the amount of approximately $526,000 which was paid on December 12, 2012 to common shareholders of record at the close of business on November 21, 2012. On February 4, 2013, our Board of Directors approved the first quarter 2013 dividend on our common stock in the amount of $0.06 per share payable on or about March 13, 2013 to common shareholders of record at the close of business on February 20, 2013. We expect to pay approximately $2,100,000 in cash dividends to our common shareholders during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We use the cost method to account for treasury stock purchases, under which the price paid for the stock is charged to the treasury stock account. Repurchases of our common stock are accounted for as of the settlement date. For the year ended December 31, 2012, we repurchased 721,184 shares of common stock for approximately $5,938,000, at an average price of $8.23per share, under the Stock Repurchase Program. From January 1, 2005 through December 31, 2012, we repurchased a total of 2,182,877 shares of common stock for approximately $17,333,000 under all of our stock repurchase programs, at an average price of $7.94 per share. At December 31, 2012, approximately $6,206,000 remains authorized for future repurchases under the Stock Repurchase Program. The following table summarizes the repurchase of our common stock for the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395605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1020" w:type="dxa"/>
            <w:vAlign w:val="bottom"/>
            <w:gridSpan w:val="3"/>
          </w:tcPr>
          <w:p>
            <w:pPr>
              <w:spacing w:after="0"/>
              <w:rPr>
                <w:sz w:val="20"/>
                <w:szCs w:val="20"/>
                <w:color w:val="auto"/>
              </w:rPr>
            </w:pPr>
            <w:r>
              <w:rPr>
                <w:rFonts w:ascii="Arial" w:cs="Arial" w:eastAsia="Arial" w:hAnsi="Arial"/>
                <w:sz w:val="18"/>
                <w:szCs w:val="18"/>
                <w:color w:val="auto"/>
                <w:w w:val="98"/>
              </w:rPr>
              <w:t>Approximate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9"/>
              </w:rPr>
              <w:t>Dollar Value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of 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020" w:type="dxa"/>
            <w:vAlign w:val="bottom"/>
            <w:gridSpan w:val="3"/>
          </w:tcPr>
          <w:p>
            <w:pPr>
              <w:spacing w:after="0"/>
              <w:rPr>
                <w:sz w:val="20"/>
                <w:szCs w:val="20"/>
                <w:color w:val="auto"/>
              </w:rPr>
            </w:pPr>
            <w:r>
              <w:rPr>
                <w:rFonts w:ascii="Arial" w:cs="Arial" w:eastAsia="Arial" w:hAnsi="Arial"/>
                <w:sz w:val="18"/>
                <w:szCs w:val="18"/>
                <w:color w:val="auto"/>
                <w:w w:val="98"/>
              </w:rPr>
              <w:t>that May Yet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 Part of</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Publicly</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Announced</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under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0"/>
              </w:rPr>
              <w:t>Shares</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Price Paid</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Plans or</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May 2010</w:t>
            </w:r>
          </w:p>
        </w:tc>
        <w:tc>
          <w:tcPr>
            <w:tcW w:w="0" w:type="dxa"/>
            <w:vAlign w:val="bottom"/>
          </w:tcPr>
          <w:p>
            <w:pPr>
              <w:spacing w:after="0"/>
              <w:rPr>
                <w:sz w:val="1"/>
                <w:szCs w:val="1"/>
                <w:color w:val="auto"/>
              </w:rPr>
            </w:pPr>
          </w:p>
        </w:tc>
      </w:tr>
      <w:tr>
        <w:trPr>
          <w:trHeight w:val="225"/>
        </w:trPr>
        <w:tc>
          <w:tcPr>
            <w:tcW w:w="47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per Share</w:t>
            </w:r>
          </w:p>
        </w:tc>
        <w:tc>
          <w:tcPr>
            <w:tcW w:w="8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Programs</w:t>
            </w: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January 1, 2012 – January 31, 2012</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February 1, 2012 – February 29, 2012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7,140,000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March 1, 2012 – March 31, 2012</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19,708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11,998,000*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April 1, 2012 – April 30, 2012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374,228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374,228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8,784,000*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May 1, 2012 – May 31, 2012</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93,302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June 1, 2012 – June 30, 2012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128,680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128,680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6,993,000*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July 1, 2012 – July 31, 2012</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26,960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August 1, 2012 – August 31, 2012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20,309</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20,309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6,631,000*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2012 – September 30, 2012</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October 1, 2012 – October 31, 2012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6,581,000*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November 1, 2012 – November 30, 2012</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6,572,000*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December 1, 2012 – December 31, 2012</w:t>
            </w:r>
          </w:p>
        </w:tc>
        <w:tc>
          <w:tcPr>
            <w:tcW w:w="180" w:type="dxa"/>
            <w:vAlign w:val="bottom"/>
            <w:gridSpan w:val="2"/>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49,336</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49,336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6,206,000*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721,184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721,184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Reflects authorized share increase to $15,000,000 in March 2012.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Shareholders’ equity decreased $1,944,000 to $33,369,000 at December 31, 2012 from $35,313,000 at December 31, 2011. The decrease was primarily due to our purchase of 721,184 shares of treasury stock for $5,938,000 and dividend payments of $526,000. These decreases were partially offset by net income of $3,621,000, compensation expense related to stock options of $520,000, proceeds and the associated incremental tax benefits of approximately $229,000 from the issuance of 51,122 shares of common stock from stock option exercises, and approximately $134,000 from the issuance of 20,055 shares of deferred stock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2012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8"/>
                <w:szCs w:val="18"/>
                <w:color w:val="auto"/>
              </w:rPr>
              <w:t>Payments due by period</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85"/>
              </w:rPr>
              <w:t>1-3 years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3-5 years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&gt; 5 years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contingent consideration</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10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15,761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2,652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and component part inventory. Accrued contingent consideration consists of potential future obligations for performance-based cash payments in connection with the Printrex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Despite continued growing costs of oil, gas and freight, we have generally been able to maintain or improve our profit margins through productivity and efficiency improvements, cost reduction programs and to a lesser extent, price increases, and we expect to be able to do the same during 2013. As such, we do not believe that inflation will have a significant impact on our business during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2012 (principally the U.K. Pound Sterling) would not have a material impact on our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4" w:right="239" w:bottom="7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Company are annexed to this report as pages F-3 through F-18. An index to such materials appears on page F-1.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2012, the Company, with the participation of its CEO and CFO conducted an evaluation of the effectiveness of the design and operation of the Company’s disclosure controls and procedures pursuant to Rule 13a-15 under the Securities Exchange Act of 1934 (the “Exchange Act”). Based on that evaluation, our CEO and CFO concluded that the Company’s disclosure controls and procedures (as defined in Rule 13a-15 of the Exchange Act) were effective as of December 31, 2012. There has been no change in the Company’s internal control over financial reporting during the quarter ended December 31, 2012 that has materially affected, or is reasonably likely to materially affect,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assessed our internal control over financial reporting as of December 31, 2012. Management based its assessment on criteria established in Internal Control–Integrated Framework issued by the Committee of Sponsoring Organizations of the Treadway Commission (“COSO”). Based on our assessment, management has concluded that our internal control over financial reporting was effective as of December 31, 2012</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sections entitled “Election of Directors” and “Executive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28, 2013.</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b w:val="1"/>
                <w:bCs w:val="1"/>
                <w:color w:val="auto"/>
              </w:rPr>
              <w:t>Age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230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Bart C. Shuldman</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Steven A. DeMartino</w:t>
            </w:r>
          </w:p>
        </w:tc>
        <w:tc>
          <w:tcPr>
            <w:tcW w:w="1020" w:type="dxa"/>
            <w:vAlign w:val="bottom"/>
            <w:gridSpan w:val="2"/>
          </w:tcPr>
          <w:p>
            <w:pPr>
              <w:jc w:val="right"/>
              <w:ind w:right="251"/>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Donald E. Brooks</w:t>
            </w:r>
          </w:p>
        </w:tc>
        <w:tc>
          <w:tcPr>
            <w:tcW w:w="102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President-Engineering</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Tracey S. Chernay</w:t>
            </w:r>
          </w:p>
        </w:tc>
        <w:tc>
          <w:tcPr>
            <w:tcW w:w="1020" w:type="dxa"/>
            <w:vAlign w:val="bottom"/>
            <w:gridSpan w:val="2"/>
          </w:tcPr>
          <w:p>
            <w:pPr>
              <w:jc w:val="right"/>
              <w:ind w:right="251"/>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Executive Vice President, Casino and Gaming Sales and Marketing</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Andrew J. Hoffman</w:t>
            </w:r>
          </w:p>
        </w:tc>
        <w:tc>
          <w:tcPr>
            <w:tcW w:w="102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President-Operations</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Benjamin C. Wyatt</w:t>
            </w:r>
          </w:p>
        </w:tc>
        <w:tc>
          <w:tcPr>
            <w:tcW w:w="1020" w:type="dxa"/>
            <w:vAlign w:val="bottom"/>
            <w:gridSpan w:val="2"/>
          </w:tcPr>
          <w:p>
            <w:pPr>
              <w:jc w:val="right"/>
              <w:ind w:right="25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Vice President-Software Products and Business Development</w:t>
            </w:r>
          </w:p>
        </w:tc>
        <w:tc>
          <w:tcPr>
            <w:tcW w:w="2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Chad R. Albano</w:t>
            </w:r>
          </w:p>
        </w:tc>
        <w:tc>
          <w:tcPr>
            <w:tcW w:w="102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Chief Accounting Officer and Corporate Controller</w:t>
            </w:r>
          </w:p>
        </w:tc>
        <w:tc>
          <w:tcPr>
            <w:tcW w:w="2300" w:type="dxa"/>
            <w:vAlign w:val="bottom"/>
          </w:tcPr>
          <w:p>
            <w:pPr>
              <w:spacing w:after="0"/>
              <w:rPr>
                <w:sz w:val="18"/>
                <w:szCs w:val="18"/>
                <w:color w:val="auto"/>
              </w:rPr>
            </w:pPr>
          </w:p>
        </w:tc>
      </w:tr>
      <w:tr>
        <w:trPr>
          <w:trHeight w:val="650"/>
        </w:trPr>
        <w:tc>
          <w:tcPr>
            <w:tcW w:w="20" w:type="dxa"/>
            <w:vAlign w:val="bottom"/>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ART</w:t>
      </w:r>
      <w:r>
        <w:rPr>
          <w:rFonts w:ascii="Arial" w:cs="Arial" w:eastAsia="Arial" w:hAnsi="Arial"/>
          <w:sz w:val="18"/>
          <w:szCs w:val="18"/>
          <w:color w:val="auto"/>
        </w:rPr>
        <w:t xml:space="preserve"> C. S</w:t>
      </w:r>
      <w:r>
        <w:rPr>
          <w:rFonts w:ascii="Arial" w:cs="Arial" w:eastAsia="Arial" w:hAnsi="Arial"/>
          <w:sz w:val="12"/>
          <w:szCs w:val="12"/>
          <w:color w:val="auto"/>
        </w:rPr>
        <w:t>HULDMAN</w:t>
      </w:r>
      <w:r>
        <w:rPr>
          <w:rFonts w:ascii="Arial" w:cs="Arial" w:eastAsia="Arial" w:hAnsi="Arial"/>
          <w:sz w:val="18"/>
          <w:szCs w:val="18"/>
          <w:color w:val="auto"/>
        </w:rPr>
        <w:t xml:space="preserve">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TEVEN</w:t>
      </w:r>
      <w:r>
        <w:rPr>
          <w:rFonts w:ascii="Arial" w:cs="Arial" w:eastAsia="Arial" w:hAnsi="Arial"/>
          <w:sz w:val="18"/>
          <w:szCs w:val="18"/>
          <w:color w:val="auto"/>
        </w:rPr>
        <w:t xml:space="preserve"> A. D</w:t>
      </w:r>
      <w:r>
        <w:rPr>
          <w:rFonts w:ascii="Arial" w:cs="Arial" w:eastAsia="Arial" w:hAnsi="Arial"/>
          <w:sz w:val="12"/>
          <w:szCs w:val="12"/>
          <w:color w:val="auto"/>
        </w:rPr>
        <w:t>E</w:t>
      </w:r>
      <w:r>
        <w:rPr>
          <w:rFonts w:ascii="Arial" w:cs="Arial" w:eastAsia="Arial" w:hAnsi="Arial"/>
          <w:sz w:val="18"/>
          <w:szCs w:val="18"/>
          <w:color w:val="auto"/>
        </w:rPr>
        <w:t>M</w:t>
      </w:r>
      <w:r>
        <w:rPr>
          <w:rFonts w:ascii="Arial" w:cs="Arial" w:eastAsia="Arial" w:hAnsi="Arial"/>
          <w:sz w:val="12"/>
          <w:szCs w:val="12"/>
          <w:color w:val="auto"/>
        </w:rPr>
        <w:t>ARTINO</w:t>
      </w:r>
      <w:r>
        <w:rPr>
          <w:rFonts w:ascii="Arial" w:cs="Arial" w:eastAsia="Arial" w:hAnsi="Arial"/>
          <w:sz w:val="18"/>
          <w:szCs w:val="18"/>
          <w:color w:val="auto"/>
        </w:rPr>
        <w:t xml:space="preserve">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ONALD</w:t>
      </w:r>
      <w:r>
        <w:rPr>
          <w:rFonts w:ascii="Arial" w:cs="Arial" w:eastAsia="Arial" w:hAnsi="Arial"/>
          <w:sz w:val="17"/>
          <w:szCs w:val="17"/>
          <w:color w:val="auto"/>
        </w:rPr>
        <w:t xml:space="preserve"> E. B</w:t>
      </w:r>
      <w:r>
        <w:rPr>
          <w:rFonts w:ascii="Arial" w:cs="Arial" w:eastAsia="Arial" w:hAnsi="Arial"/>
          <w:sz w:val="11"/>
          <w:szCs w:val="11"/>
          <w:color w:val="auto"/>
        </w:rPr>
        <w:t>ROOKS</w:t>
      </w:r>
      <w:r>
        <w:rPr>
          <w:rFonts w:ascii="Arial" w:cs="Arial" w:eastAsia="Arial" w:hAnsi="Arial"/>
          <w:sz w:val="17"/>
          <w:szCs w:val="17"/>
          <w:color w:val="auto"/>
        </w:rPr>
        <w:t xml:space="preserve"> was appointed Senior Vice President of Engineering in April 2012. Previously, Mr. Brooks served as Vice President, Engineering from September 2004 to April 2012, Senior Project Engineer from February 1998 to September 2004,Project Engineer from June 1997 to February 1998, Director of Electrical Engineering from March 1986 to June 1997 and Manager of Electronic Development from December 1983 to March 1986.</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RACEY</w:t>
      </w:r>
      <w:r>
        <w:rPr>
          <w:rFonts w:ascii="Arial" w:cs="Arial" w:eastAsia="Arial" w:hAnsi="Arial"/>
          <w:sz w:val="17"/>
          <w:szCs w:val="17"/>
          <w:color w:val="auto"/>
        </w:rPr>
        <w:t xml:space="preserve"> S. C</w:t>
      </w:r>
      <w:r>
        <w:rPr>
          <w:rFonts w:ascii="Arial" w:cs="Arial" w:eastAsia="Arial" w:hAnsi="Arial"/>
          <w:sz w:val="11"/>
          <w:szCs w:val="11"/>
          <w:color w:val="auto"/>
        </w:rPr>
        <w:t>HERNAY</w:t>
      </w:r>
      <w:r>
        <w:rPr>
          <w:rFonts w:ascii="Arial" w:cs="Arial" w:eastAsia="Arial" w:hAnsi="Arial"/>
          <w:sz w:val="17"/>
          <w:szCs w:val="17"/>
          <w:color w:val="auto"/>
        </w:rPr>
        <w:t xml:space="preserve"> was appointed Executive Vice President, Casino and Gaming Sales and Marketing in June 2010, with responsibility for the sales and marketing of all casino and gaming printer products. Previously, Ms. Chernay served as Senior Vice President, Sales and Marketing from June 2007 to May 2010, Sr.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J. H</w:t>
      </w:r>
      <w:r>
        <w:rPr>
          <w:rFonts w:ascii="Arial" w:cs="Arial" w:eastAsia="Arial" w:hAnsi="Arial"/>
          <w:sz w:val="12"/>
          <w:szCs w:val="12"/>
          <w:color w:val="auto"/>
        </w:rPr>
        <w:t>OFFMAN</w:t>
      </w:r>
      <w:r>
        <w:rPr>
          <w:rFonts w:ascii="Arial" w:cs="Arial" w:eastAsia="Arial" w:hAnsi="Arial"/>
          <w:sz w:val="18"/>
          <w:szCs w:val="18"/>
          <w:color w:val="auto"/>
        </w:rPr>
        <w:t xml:space="preserve"> was appointed Senior Vice President, Operations for TransAct worldwide in November 2004. He served as Vice President, Operations from September 1994 to November 2004.</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w:t>
      </w:r>
      <w:r>
        <w:rPr>
          <w:rFonts w:ascii="Arial" w:cs="Arial" w:eastAsia="Arial" w:hAnsi="Arial"/>
          <w:sz w:val="11"/>
          <w:szCs w:val="11"/>
          <w:color w:val="auto"/>
        </w:rPr>
        <w:t>ENJAMIN</w:t>
      </w:r>
      <w:r>
        <w:rPr>
          <w:rFonts w:ascii="Arial" w:cs="Arial" w:eastAsia="Arial" w:hAnsi="Arial"/>
          <w:sz w:val="16"/>
          <w:szCs w:val="16"/>
          <w:color w:val="auto"/>
        </w:rPr>
        <w:t xml:space="preserve"> C. W</w:t>
      </w:r>
      <w:r>
        <w:rPr>
          <w:rFonts w:ascii="Arial" w:cs="Arial" w:eastAsia="Arial" w:hAnsi="Arial"/>
          <w:sz w:val="11"/>
          <w:szCs w:val="11"/>
          <w:color w:val="auto"/>
        </w:rPr>
        <w:t>YATT</w:t>
      </w:r>
      <w:r>
        <w:rPr>
          <w:rFonts w:ascii="Arial" w:cs="Arial" w:eastAsia="Arial" w:hAnsi="Arial"/>
          <w:sz w:val="16"/>
          <w:szCs w:val="16"/>
          <w:color w:val="auto"/>
        </w:rPr>
        <w:t xml:space="preserve"> was appointed Vice President, Software Products and Business Development in December 2010. Previously, Mr. Wyatt served as Vice President, Business Development for TransAct from May 2008 to November 2010. Prior to joining TransAct, Mr. Wyatt was employed with Pitney Bowes Mail Services where he held the role of Director Business Development since 2006, and Manager Acquisitions and Integration from 2004 to 2006.</w:t>
      </w:r>
    </w:p>
    <w:p>
      <w:pPr>
        <w:spacing w:after="0" w:line="18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w:t>
      </w:r>
      <w:r>
        <w:rPr>
          <w:rFonts w:ascii="Arial" w:cs="Arial" w:eastAsia="Arial" w:hAnsi="Arial"/>
          <w:sz w:val="11"/>
          <w:szCs w:val="11"/>
          <w:color w:val="auto"/>
        </w:rPr>
        <w:t>HAD</w:t>
      </w:r>
      <w:r>
        <w:rPr>
          <w:rFonts w:ascii="Arial" w:cs="Arial" w:eastAsia="Arial" w:hAnsi="Arial"/>
          <w:sz w:val="16"/>
          <w:szCs w:val="16"/>
          <w:color w:val="auto"/>
        </w:rPr>
        <w:t xml:space="preserve"> R. A</w:t>
      </w:r>
      <w:r>
        <w:rPr>
          <w:rFonts w:ascii="Arial" w:cs="Arial" w:eastAsia="Arial" w:hAnsi="Arial"/>
          <w:sz w:val="11"/>
          <w:szCs w:val="11"/>
          <w:color w:val="auto"/>
        </w:rPr>
        <w:t>LBANO</w:t>
      </w:r>
      <w:r>
        <w:rPr>
          <w:rFonts w:ascii="Arial" w:cs="Arial" w:eastAsia="Arial" w:hAnsi="Arial"/>
          <w:sz w:val="16"/>
          <w:szCs w:val="16"/>
          <w:color w:val="auto"/>
        </w:rPr>
        <w:t xml:space="preserve"> was named as TransAct’s Chief Accounting Officer and Corporate Controller on March 1, 2013. Previously, Mr. Albano served as TransAct’s Corporate Controller since December 2011 when he joined the Company. Prior to joining TransAct, Mr. Albano was employed with Stanley Black and Decker, Inc. where he held the role of Senior Manager of Technical Accounting and Reporting since December 2010. Additionally, from June 2006 to December 2010, Mr. Albano was employed with Amphenol, Inc. where he held the role of Director of Finance. Mr. Albano is a certified public accountant.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sections entitled “Executive Compensation and Certain Transactions” and “Compensation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“Security Ownership of Certain Beneficial Owners and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equity compensation plans as of December 31, 2012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securities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available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future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securities to</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issuance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be issued</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2"/>
              </w:rPr>
              <w:t>average</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upon</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exercise</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compensation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exercise of</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price of</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plans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outstanding</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outstanding</w:t>
            </w: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(excluding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options,</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options,</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securities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warrants</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warrants</w:t>
            </w:r>
          </w:p>
        </w:tc>
        <w:tc>
          <w:tcPr>
            <w:tcW w:w="10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reflected in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20" w:type="dxa"/>
            <w:vAlign w:val="bottom"/>
          </w:tcPr>
          <w:p>
            <w:pPr>
              <w:ind w:left="2420"/>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and rights</w:t>
            </w:r>
          </w:p>
        </w:tc>
        <w:tc>
          <w:tcPr>
            <w:tcW w:w="10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and rights</w:t>
            </w: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1996 Stock Plan</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tcPr>
          <w:p>
            <w:pPr>
              <w:ind w:left="620"/>
              <w:spacing w:after="0"/>
              <w:rPr>
                <w:sz w:val="20"/>
                <w:szCs w:val="20"/>
                <w:color w:val="auto"/>
              </w:rPr>
            </w:pPr>
            <w:r>
              <w:rPr>
                <w:rFonts w:ascii="Arial" w:cs="Arial" w:eastAsia="Arial" w:hAnsi="Arial"/>
                <w:sz w:val="18"/>
                <w:szCs w:val="18"/>
                <w:color w:val="auto"/>
              </w:rPr>
              <w:t>1996 Non-Employee Director Plan</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2005 Equity Incentive Plan</w:t>
            </w:r>
          </w:p>
        </w:tc>
        <w:tc>
          <w:tcPr>
            <w:tcW w:w="180" w:type="dxa"/>
            <w:vAlign w:val="bottom"/>
            <w:gridSpan w:val="2"/>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823,043</w:t>
            </w: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302,243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890,543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8.14</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302,243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2001 Employee Stock Plan</w:t>
            </w:r>
          </w:p>
        </w:tc>
        <w:tc>
          <w:tcPr>
            <w:tcW w:w="180" w:type="dxa"/>
            <w:vAlign w:val="bottom"/>
            <w:gridSpan w:val="2"/>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894,543</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302,243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 Technologies Incorporated 2001 Employee Stock Plan was adopted by our Board of Directors, without approval of our security holders, effective February 26, 2001. The Company also maintains the 2005 Equity Incentive Plan which was approved by our shareholders. The number of shares of common stock which may be subject to awards granted under the 2005 Equity Incentive Plan is 1,200,000. No new awards will be available for future issuance under any of our existing equity plans other than the 2005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“Certain Relationships and Related Transactions.”</w:t>
      </w:r>
    </w:p>
    <w:p>
      <w:pPr>
        <w:sectPr>
          <w:pgSz w:w="11900" w:h="16838" w:orient="portrait"/>
          <w:cols w:equalWidth="0" w:num="1">
            <w:col w:w="11420"/>
          </w:cols>
          <w:pgMar w:left="240" w:top="487"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“Independent Registered Public Accounting Firm’s Services and Fees.”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a part of this report are listed in the accompanying Index to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TRANSACT TECHNOLOGIES INCORPORATED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Bart C. Shuldman</w:t>
            </w:r>
          </w:p>
        </w:tc>
      </w:tr>
      <w:tr>
        <w:trPr>
          <w:trHeight w:val="190"/>
        </w:trPr>
        <w:tc>
          <w:tcPr>
            <w:tcW w:w="62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5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Bart C. Shuldman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0"/>
              </w:rPr>
              <w:t>Chairman of the Board and 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46"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88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2540" w:type="dxa"/>
            <w:vAlign w:val="bottom"/>
          </w:tcPr>
          <w:p>
            <w:pPr>
              <w:ind w:left="1140"/>
              <w:spacing w:after="0"/>
              <w:rPr>
                <w:sz w:val="20"/>
                <w:szCs w:val="20"/>
                <w:color w:val="auto"/>
              </w:rPr>
            </w:pPr>
            <w:r>
              <w:rPr>
                <w:rFonts w:ascii="Arial" w:cs="Arial" w:eastAsia="Arial" w:hAnsi="Arial"/>
                <w:sz w:val="18"/>
                <w:szCs w:val="18"/>
                <w:color w:val="auto"/>
              </w:rPr>
              <w:t>Title</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5700" w:type="dxa"/>
            <w:vAlign w:val="bottom"/>
          </w:tcPr>
          <w:p>
            <w:pPr>
              <w:spacing w:after="0"/>
              <w:rPr>
                <w:sz w:val="19"/>
                <w:szCs w:val="19"/>
                <w:color w:val="auto"/>
              </w:rPr>
            </w:pPr>
          </w:p>
        </w:tc>
      </w:tr>
      <w:tr>
        <w:trPr>
          <w:trHeight w:val="455"/>
        </w:trPr>
        <w:tc>
          <w:tcPr>
            <w:tcW w:w="1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13"/>
        </w:trPr>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 Bart C. Shuldman</w:t>
            </w: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07"/>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Bart C. Shuldman</w:t>
            </w:r>
          </w:p>
        </w:tc>
        <w:tc>
          <w:tcPr>
            <w:tcW w:w="254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1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(Principal Executive Officer)</w:t>
            </w: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442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442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4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 Steven A. DeMartino President, Chief Financial Officer,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07"/>
        </w:trPr>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Steven A. DeMartino</w:t>
            </w:r>
          </w:p>
        </w:tc>
        <w:tc>
          <w:tcPr>
            <w:tcW w:w="2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Treasurer and Secretary</w:t>
            </w:r>
          </w:p>
        </w:tc>
        <w:tc>
          <w:tcPr>
            <w:tcW w:w="1300" w:type="dxa"/>
            <w:vAlign w:val="bottom"/>
            <w:tcBorders>
              <w:top w:val="single" w:sz="8" w:color="CCEEFF"/>
            </w:tcBorders>
          </w:tcPr>
          <w:p>
            <w:pPr>
              <w:spacing w:after="0"/>
              <w:rPr>
                <w:sz w:val="17"/>
                <w:szCs w:val="17"/>
                <w:color w:val="auto"/>
              </w:rPr>
            </w:pPr>
          </w:p>
        </w:tc>
        <w:tc>
          <w:tcPr>
            <w:tcW w:w="5700" w:type="dxa"/>
            <w:vAlign w:val="bottom"/>
          </w:tcPr>
          <w:p>
            <w:pPr>
              <w:spacing w:after="0"/>
              <w:rPr>
                <w:sz w:val="17"/>
                <w:szCs w:val="17"/>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(Principal Financial Officer)</w:t>
            </w: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 Chad R. Albano</w:t>
            </w: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Accounting Officer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07"/>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Chad R. Albano</w:t>
            </w:r>
          </w:p>
        </w:tc>
        <w:tc>
          <w:tcPr>
            <w:tcW w:w="2540" w:type="dxa"/>
            <w:vAlign w:val="bottom"/>
          </w:tcPr>
          <w:p>
            <w:pPr>
              <w:spacing w:after="0"/>
              <w:rPr>
                <w:sz w:val="20"/>
                <w:szCs w:val="20"/>
                <w:color w:val="auto"/>
              </w:rPr>
            </w:pPr>
            <w:r>
              <w:rPr>
                <w:rFonts w:ascii="Arial" w:cs="Arial" w:eastAsia="Arial" w:hAnsi="Arial"/>
                <w:sz w:val="18"/>
                <w:szCs w:val="18"/>
                <w:color w:val="auto"/>
              </w:rPr>
              <w:t>and Corporate Controller</w:t>
            </w:r>
          </w:p>
        </w:tc>
        <w:tc>
          <w:tcPr>
            <w:tcW w:w="1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(Principal Accounting Officer)</w:t>
            </w: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 John M. Dillon</w:t>
            </w: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07"/>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John M. Dillon</w:t>
            </w: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 Thomas R. Schwarz</w:t>
            </w: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07"/>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Thomas R. Schwarz</w:t>
            </w: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13"/>
        </w:trPr>
        <w:tc>
          <w:tcPr>
            <w:tcW w:w="1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3"/>
        </w:trPr>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 Graham Y. Tanaka</w:t>
            </w: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2013</w:t>
            </w:r>
          </w:p>
        </w:tc>
        <w:tc>
          <w:tcPr>
            <w:tcW w:w="5700" w:type="dxa"/>
            <w:vAlign w:val="bottom"/>
          </w:tcPr>
          <w:p>
            <w:pPr>
              <w:spacing w:after="0"/>
              <w:rPr>
                <w:sz w:val="18"/>
                <w:szCs w:val="18"/>
                <w:color w:val="auto"/>
              </w:rPr>
            </w:pPr>
          </w:p>
        </w:tc>
      </w:tr>
      <w:tr>
        <w:trPr>
          <w:trHeight w:val="224"/>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Graham Y. Tanaka</w:t>
            </w:r>
          </w:p>
        </w:tc>
        <w:tc>
          <w:tcPr>
            <w:tcW w:w="2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633"/>
        </w:trPr>
        <w:tc>
          <w:tcPr>
            <w:tcW w:w="1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33" w:name="page34"/>
    <w:bookmarkEnd w:id="33"/>
    <w:p>
      <w:pPr>
        <w:jc w:val="center"/>
        <w:ind w:right="-6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spacing w:after="0"/>
              <w:rPr>
                <w:sz w:val="18"/>
                <w:szCs w:val="18"/>
                <w:color w:val="auto"/>
              </w:rPr>
            </w:pPr>
          </w:p>
        </w:tc>
      </w:tr>
      <w:tr>
        <w:trPr>
          <w:trHeight w:val="186"/>
        </w:trPr>
        <w:tc>
          <w:tcPr>
            <w:tcW w:w="320" w:type="dxa"/>
            <w:vAlign w:val="bottom"/>
          </w:tcPr>
          <w:p>
            <w:pPr>
              <w:spacing w:after="0"/>
              <w:rPr>
                <w:sz w:val="16"/>
                <w:szCs w:val="16"/>
                <w:color w:val="auto"/>
              </w:rPr>
            </w:pPr>
          </w:p>
        </w:tc>
        <w:tc>
          <w:tcPr>
            <w:tcW w:w="4180" w:type="dxa"/>
            <w:vAlign w:val="bottom"/>
            <w:tcBorders>
              <w:bottom w:val="single" w:sz="8" w:color="0000EE"/>
            </w:tcBorders>
            <w:gridSpan w:val="2"/>
          </w:tcPr>
          <w:p>
            <w:pPr>
              <w:spacing w:after="0" w:line="186" w:lineRule="exact"/>
              <w:rPr>
                <w:sz w:val="20"/>
                <w:szCs w:val="20"/>
                <w:color w:val="auto"/>
              </w:rPr>
            </w:pPr>
            <w:r>
              <w:rPr>
                <w:rFonts w:ascii="Arial" w:cs="Arial" w:eastAsia="Arial" w:hAnsi="Arial"/>
                <w:sz w:val="18"/>
                <w:szCs w:val="18"/>
                <w:color w:val="0000EE"/>
                <w:w w:val="90"/>
              </w:rPr>
              <w:t>Report of Independent Registered Public Accounting Firm</w:t>
            </w:r>
          </w:p>
        </w:tc>
        <w:tc>
          <w:tcPr>
            <w:tcW w:w="5080" w:type="dxa"/>
            <w:vAlign w:val="bottom"/>
            <w:gridSpan w:val="6"/>
          </w:tcPr>
          <w:p>
            <w:pPr>
              <w:spacing w:after="0"/>
              <w:rPr>
                <w:sz w:val="16"/>
                <w:szCs w:val="16"/>
                <w:color w:val="auto"/>
              </w:rPr>
            </w:pPr>
          </w:p>
        </w:tc>
        <w:tc>
          <w:tcPr>
            <w:tcW w:w="1200" w:type="dxa"/>
            <w:vAlign w:val="bottom"/>
          </w:tcPr>
          <w:p>
            <w:pPr>
              <w:ind w:left="940"/>
              <w:spacing w:after="0" w:line="186" w:lineRule="exact"/>
              <w:rPr>
                <w:sz w:val="20"/>
                <w:szCs w:val="20"/>
                <w:color w:val="auto"/>
              </w:rPr>
            </w:pPr>
            <w:r>
              <w:rPr>
                <w:rFonts w:ascii="Arial" w:cs="Arial" w:eastAsia="Arial" w:hAnsi="Arial"/>
                <w:sz w:val="18"/>
                <w:szCs w:val="18"/>
                <w:color w:val="auto"/>
                <w:w w:val="88"/>
              </w:rPr>
              <w:t>F-2</w:t>
            </w:r>
          </w:p>
        </w:tc>
      </w:tr>
      <w:tr>
        <w:trPr>
          <w:trHeight w:val="193"/>
        </w:trPr>
        <w:tc>
          <w:tcPr>
            <w:tcW w:w="320" w:type="dxa"/>
            <w:vAlign w:val="bottom"/>
          </w:tcPr>
          <w:p>
            <w:pPr>
              <w:spacing w:after="0"/>
              <w:rPr>
                <w:sz w:val="16"/>
                <w:szCs w:val="16"/>
                <w:color w:val="auto"/>
              </w:rPr>
            </w:pPr>
          </w:p>
        </w:tc>
        <w:tc>
          <w:tcPr>
            <w:tcW w:w="4600" w:type="dxa"/>
            <w:vAlign w:val="bottom"/>
            <w:tcBorders>
              <w:bottom w:val="single" w:sz="8" w:color="0000EE"/>
            </w:tcBorders>
            <w:gridSpan w:val="3"/>
          </w:tcPr>
          <w:p>
            <w:pPr>
              <w:spacing w:after="0" w:line="194"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Balance Sheets as of December 31, 2012 and 2011</w:t>
              </w:r>
            </w:hyperlink>
          </w:p>
        </w:tc>
        <w:tc>
          <w:tcPr>
            <w:tcW w:w="4660" w:type="dxa"/>
            <w:vAlign w:val="bottom"/>
            <w:gridSpan w:val="5"/>
          </w:tcPr>
          <w:p>
            <w:pPr>
              <w:spacing w:after="0"/>
              <w:rPr>
                <w:sz w:val="16"/>
                <w:szCs w:val="16"/>
                <w:color w:val="auto"/>
              </w:rPr>
            </w:pPr>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F-3</w:t>
            </w:r>
          </w:p>
        </w:tc>
      </w:tr>
      <w:tr>
        <w:trPr>
          <w:trHeight w:val="193"/>
        </w:trPr>
        <w:tc>
          <w:tcPr>
            <w:tcW w:w="320" w:type="dxa"/>
            <w:vAlign w:val="bottom"/>
          </w:tcPr>
          <w:p>
            <w:pPr>
              <w:spacing w:after="0"/>
              <w:rPr>
                <w:sz w:val="16"/>
                <w:szCs w:val="16"/>
                <w:color w:val="auto"/>
              </w:rPr>
            </w:pPr>
          </w:p>
        </w:tc>
        <w:tc>
          <w:tcPr>
            <w:tcW w:w="6520" w:type="dxa"/>
            <w:vAlign w:val="bottom"/>
            <w:tcBorders>
              <w:bottom w:val="single" w:sz="8" w:color="0000EE"/>
            </w:tcBorders>
            <w:gridSpan w:val="4"/>
          </w:tcPr>
          <w:p>
            <w:pPr>
              <w:spacing w:after="0" w:line="194"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Income for the years ended December 31, 2012, 2011 and 2010</w:t>
              </w:r>
            </w:hyperlink>
          </w:p>
        </w:tc>
        <w:tc>
          <w:tcPr>
            <w:tcW w:w="2740" w:type="dxa"/>
            <w:vAlign w:val="bottom"/>
            <w:gridSpan w:val="4"/>
          </w:tcPr>
          <w:p>
            <w:pPr>
              <w:spacing w:after="0"/>
              <w:rPr>
                <w:sz w:val="16"/>
                <w:szCs w:val="16"/>
                <w:color w:val="auto"/>
              </w:rPr>
            </w:pPr>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F-4</w:t>
            </w:r>
          </w:p>
        </w:tc>
      </w:tr>
      <w:tr>
        <w:trPr>
          <w:trHeight w:val="193"/>
        </w:trPr>
        <w:tc>
          <w:tcPr>
            <w:tcW w:w="320" w:type="dxa"/>
            <w:vAlign w:val="bottom"/>
          </w:tcPr>
          <w:p>
            <w:pPr>
              <w:spacing w:after="0"/>
              <w:rPr>
                <w:sz w:val="16"/>
                <w:szCs w:val="16"/>
                <w:color w:val="auto"/>
              </w:rPr>
            </w:pPr>
          </w:p>
        </w:tc>
        <w:tc>
          <w:tcPr>
            <w:tcW w:w="7680" w:type="dxa"/>
            <w:vAlign w:val="bottom"/>
            <w:tcBorders>
              <w:bottom w:val="single" w:sz="8" w:color="0000EE"/>
            </w:tcBorders>
            <w:gridSpan w:val="6"/>
          </w:tcPr>
          <w:p>
            <w:pPr>
              <w:spacing w:after="0" w:line="194"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Statements of Comprehensive Income for the years ended December 31, 2012, 2011 and 2010</w:t>
              </w:r>
            </w:hyperlink>
          </w:p>
        </w:tc>
        <w:tc>
          <w:tcPr>
            <w:tcW w:w="1580" w:type="dxa"/>
            <w:vAlign w:val="bottom"/>
            <w:gridSpan w:val="2"/>
          </w:tcPr>
          <w:p>
            <w:pPr>
              <w:spacing w:after="0"/>
              <w:rPr>
                <w:sz w:val="16"/>
                <w:szCs w:val="16"/>
                <w:color w:val="auto"/>
              </w:rPr>
            </w:pPr>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F-5</w:t>
            </w:r>
          </w:p>
        </w:tc>
      </w:tr>
      <w:tr>
        <w:trPr>
          <w:trHeight w:val="193"/>
        </w:trPr>
        <w:tc>
          <w:tcPr>
            <w:tcW w:w="320" w:type="dxa"/>
            <w:vAlign w:val="bottom"/>
          </w:tcPr>
          <w:p>
            <w:pPr>
              <w:spacing w:after="0"/>
              <w:rPr>
                <w:sz w:val="16"/>
                <w:szCs w:val="16"/>
                <w:color w:val="auto"/>
              </w:rPr>
            </w:pPr>
          </w:p>
        </w:tc>
        <w:tc>
          <w:tcPr>
            <w:tcW w:w="9260" w:type="dxa"/>
            <w:vAlign w:val="bottom"/>
            <w:gridSpan w:val="8"/>
          </w:tcPr>
          <w:p>
            <w:pPr>
              <w:spacing w:after="0" w:line="194"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Consolidated Statements of Changes in Shareholders' Equity for the years ended December 31, 2012, 2011 and 2010</w:t>
              </w:r>
            </w:hyperlink>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F-6</w:t>
            </w:r>
          </w:p>
        </w:tc>
      </w:tr>
      <w:tr>
        <w:trPr>
          <w:trHeight w:val="193"/>
        </w:trPr>
        <w:tc>
          <w:tcPr>
            <w:tcW w:w="320" w:type="dxa"/>
            <w:vAlign w:val="bottom"/>
          </w:tcPr>
          <w:p>
            <w:pPr>
              <w:spacing w:after="0"/>
              <w:rPr>
                <w:sz w:val="16"/>
                <w:szCs w:val="16"/>
                <w:color w:val="auto"/>
              </w:rPr>
            </w:pPr>
          </w:p>
        </w:tc>
        <w:tc>
          <w:tcPr>
            <w:tcW w:w="83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December 31, 2012, 2011 and 2010</w:t>
              </w:r>
            </w:hyperlink>
          </w:p>
        </w:tc>
        <w:tc>
          <w:tcPr>
            <w:tcW w:w="960" w:type="dxa"/>
            <w:vAlign w:val="bottom"/>
          </w:tcPr>
          <w:p>
            <w:pPr>
              <w:spacing w:after="0"/>
              <w:rPr>
                <w:sz w:val="16"/>
                <w:szCs w:val="16"/>
                <w:color w:val="auto"/>
              </w:rPr>
            </w:pPr>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F-7</w:t>
            </w:r>
          </w:p>
        </w:tc>
      </w:tr>
      <w:tr>
        <w:trPr>
          <w:trHeight w:val="193"/>
        </w:trPr>
        <w:tc>
          <w:tcPr>
            <w:tcW w:w="320" w:type="dxa"/>
            <w:vAlign w:val="bottom"/>
          </w:tcPr>
          <w:p>
            <w:pPr>
              <w:spacing w:after="0"/>
              <w:rPr>
                <w:sz w:val="16"/>
                <w:szCs w:val="16"/>
                <w:color w:val="auto"/>
              </w:rPr>
            </w:pPr>
          </w:p>
        </w:tc>
        <w:tc>
          <w:tcPr>
            <w:tcW w:w="312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Notes to Consolidated Financial Statements</w:t>
              </w:r>
            </w:hyperlink>
          </w:p>
        </w:tc>
        <w:tc>
          <w:tcPr>
            <w:tcW w:w="3700" w:type="dxa"/>
            <w:vAlign w:val="bottom"/>
            <w:tcBorders>
              <w:top w:val="single" w:sz="8" w:color="0000EE"/>
            </w:tcBorders>
            <w:gridSpan w:val="4"/>
          </w:tcPr>
          <w:p>
            <w:pPr>
              <w:spacing w:after="0"/>
              <w:rPr>
                <w:sz w:val="16"/>
                <w:szCs w:val="16"/>
                <w:color w:val="auto"/>
              </w:rPr>
            </w:pPr>
          </w:p>
        </w:tc>
        <w:tc>
          <w:tcPr>
            <w:tcW w:w="2440" w:type="dxa"/>
            <w:vAlign w:val="bottom"/>
            <w:gridSpan w:val="3"/>
          </w:tcPr>
          <w:p>
            <w:pPr>
              <w:spacing w:after="0"/>
              <w:rPr>
                <w:sz w:val="16"/>
                <w:szCs w:val="16"/>
                <w:color w:val="auto"/>
              </w:rPr>
            </w:pPr>
          </w:p>
        </w:tc>
        <w:tc>
          <w:tcPr>
            <w:tcW w:w="1200" w:type="dxa"/>
            <w:vAlign w:val="bottom"/>
          </w:tcPr>
          <w:p>
            <w:pPr>
              <w:ind w:left="940"/>
              <w:spacing w:after="0" w:line="194" w:lineRule="exact"/>
              <w:rPr>
                <w:sz w:val="20"/>
                <w:szCs w:val="20"/>
                <w:color w:val="auto"/>
              </w:rPr>
            </w:pPr>
            <w:r>
              <w:rPr>
                <w:rFonts w:ascii="Arial" w:cs="Arial" w:eastAsia="Arial" w:hAnsi="Arial"/>
                <w:sz w:val="18"/>
                <w:szCs w:val="18"/>
                <w:color w:val="auto"/>
                <w:w w:val="88"/>
              </w:rPr>
              <w:t>F-8</w:t>
            </w:r>
          </w:p>
        </w:tc>
      </w:tr>
    </w:tbl>
    <w:p>
      <w:pPr>
        <w:spacing w:after="0" w:line="228"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780"/>
          </w:cols>
          <w:pgMar w:left="240" w:top="508" w:right="879" w:bottom="1440" w:gutter="0" w:footer="0" w:header="0"/>
        </w:sectPr>
      </w:pPr>
    </w:p>
    <w:bookmarkStart w:id="34" w:name="page35"/>
    <w:bookmarkEnd w:id="34"/>
    <w:p>
      <w:pPr>
        <w:ind w:left="3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TransAct Technologies Incorporated:</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TransAct Technologies Incorporated and its subsidiaries at December 31, 2012 and December 31,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Our responsibility is to express opinions on these financial statements and on the Company's internal control over financial reporting based on our audits (which were integrated audits in 2012 and 2011).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December</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$1,298 and $730, respectively</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Accrued contingent consideration (Note 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ind w:left="12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contingent consideration, net of current portion (Note 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w w:val="96"/>
              </w:rPr>
              <w:t>Preferred stock, $0.01 par value, 4,800,000 authorized, none issued and outstanding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Preferred stock, Series A, $0.01 par value, 200,000 authorized, none issued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40" w:type="dxa"/>
            <w:vAlign w:val="bottom"/>
          </w:tcPr>
          <w:p>
            <w:pPr>
              <w:ind w:left="620"/>
              <w:spacing w:after="0" w:line="201" w:lineRule="exact"/>
              <w:rPr>
                <w:sz w:val="20"/>
                <w:szCs w:val="20"/>
                <w:color w:val="auto"/>
              </w:rPr>
            </w:pPr>
            <w:r>
              <w:rPr>
                <w:rFonts w:ascii="Arial" w:cs="Arial" w:eastAsia="Arial" w:hAnsi="Arial"/>
                <w:sz w:val="18"/>
                <w:szCs w:val="18"/>
                <w:color w:val="auto"/>
                <w:w w:val="91"/>
              </w:rPr>
              <w:t>Common stock, $0.01 par value, 20,000,000 authorized at December 31, 2012 and 2011;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260"/>
              <w:spacing w:after="0"/>
              <w:rPr>
                <w:sz w:val="20"/>
                <w:szCs w:val="20"/>
                <w:color w:val="auto"/>
              </w:rPr>
            </w:pPr>
            <w:r>
              <w:rPr>
                <w:rFonts w:ascii="Arial" w:cs="Arial" w:eastAsia="Arial" w:hAnsi="Arial"/>
                <w:sz w:val="18"/>
                <w:szCs w:val="18"/>
                <w:color w:val="auto"/>
                <w:w w:val="96"/>
              </w:rPr>
              <w:t>10,903,077 and 10,851,955 shares issued; 8,720,200 and 9,390,262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tcPr>
          <w:p>
            <w:pPr>
              <w:ind w:left="1260"/>
              <w:spacing w:after="0"/>
              <w:rPr>
                <w:sz w:val="20"/>
                <w:szCs w:val="20"/>
                <w:color w:val="auto"/>
              </w:rPr>
            </w:pPr>
            <w:r>
              <w:rPr>
                <w:rFonts w:ascii="Arial" w:cs="Arial" w:eastAsia="Arial" w:hAnsi="Arial"/>
                <w:sz w:val="18"/>
                <w:szCs w:val="18"/>
                <w:color w:val="auto"/>
              </w:rPr>
              <w:t>outstanding, at December 31, 2012 and 2011, respectively</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40" w:type="dxa"/>
            <w:vAlign w:val="bottom"/>
          </w:tcPr>
          <w:p>
            <w:pPr>
              <w:ind w:left="620"/>
              <w:spacing w:after="0"/>
              <w:rPr>
                <w:sz w:val="20"/>
                <w:szCs w:val="20"/>
                <w:color w:val="auto"/>
              </w:rPr>
            </w:pPr>
            <w:r>
              <w:rPr>
                <w:rFonts w:ascii="Arial" w:cs="Arial" w:eastAsia="Arial" w:hAnsi="Arial"/>
                <w:sz w:val="18"/>
                <w:szCs w:val="18"/>
                <w:color w:val="auto"/>
              </w:rPr>
              <w:t>Treasury stock, 2,182,877 and 1,461,693 shares, at cost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263525</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120"/>
          </w:cols>
          <w:pgMar w:left="1400" w:top="508" w:right="137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10"/>
          </w:tcPr>
          <w:p>
            <w:pPr>
              <w:ind w:left="3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68,386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65,969</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42,404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41,343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40,646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25,982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22,548</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Engineering, design and product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Legal fees associated with lawsuit (Note 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Business consolidation and restructuring (Note 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20,380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17,637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16,687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Basic</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Diluted</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0.49</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264795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120"/>
          </w:cols>
          <w:pgMar w:left="1400" w:top="508" w:right="1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10"/>
          </w:tcPr>
          <w:p>
            <w:pPr>
              <w:jc w:val="center"/>
              <w:ind w:right="126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2012</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9"/>
              </w:rPr>
              <w:t>Foreign currency translation adjustment, net of tax</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60" w:type="dxa"/>
            <w:vAlign w:val="bottom"/>
            <w:vMerge w:val="continue"/>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3,637</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4,674</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1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120" w:type="dxa"/>
            <w:vAlign w:val="bottom"/>
            <w:gridSpan w:val="4"/>
          </w:tcPr>
          <w:p>
            <w:pPr>
              <w:ind w:left="2300"/>
              <w:spacing w:after="0"/>
              <w:rPr>
                <w:sz w:val="20"/>
                <w:szCs w:val="20"/>
                <w:color w:val="auto"/>
              </w:rPr>
            </w:pPr>
            <w:r>
              <w:rPr>
                <w:rFonts w:ascii="Arial" w:cs="Arial" w:eastAsia="Arial" w:hAnsi="Arial"/>
                <w:sz w:val="18"/>
                <w:szCs w:val="18"/>
                <w:color w:val="auto"/>
                <w:w w:val="92"/>
              </w:rPr>
              <w:t>See accompanying notes to Consolidated Financial</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7"/>
                <w:szCs w:val="17"/>
                <w:color w:val="auto"/>
                <w:w w:val="72"/>
              </w:rPr>
              <w:t>Statements.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1"/>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00" w:type="dxa"/>
            <w:vAlign w:val="bottom"/>
            <w:gridSpan w:val="3"/>
          </w:tcPr>
          <w:p>
            <w:pPr>
              <w:jc w:val="right"/>
              <w:ind w:right="1440"/>
              <w:spacing w:after="0"/>
              <w:rPr>
                <w:sz w:val="20"/>
                <w:szCs w:val="20"/>
                <w:color w:val="auto"/>
              </w:rPr>
            </w:pPr>
            <w:r>
              <w:rPr>
                <w:rFonts w:ascii="Arial" w:cs="Arial" w:eastAsia="Arial" w:hAnsi="Arial"/>
                <w:sz w:val="18"/>
                <w:szCs w:val="18"/>
                <w:color w:val="auto"/>
              </w:rPr>
              <w:t>F-5</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8" w:right="239" w:bottom="1440" w:gutter="0" w:footer="0" w:header="0"/>
        </w:sectPr>
      </w:pPr>
    </w:p>
    <w:bookmarkStart w:id="38" w:name="page39"/>
    <w:bookmarkEnd w:id="38"/>
    <w:p>
      <w:pPr>
        <w:spacing w:after="0" w:line="45" w:lineRule="exact"/>
        <w:rPr>
          <w:sz w:val="20"/>
          <w:szCs w:val="20"/>
          <w:color w:val="auto"/>
        </w:rPr>
      </w:pPr>
    </w:p>
    <w:p>
      <w:pPr>
        <w:jc w:val="center"/>
        <w:ind w:right="20"/>
        <w:spacing w:after="0" w:line="260"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Accumulated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rPr>
              <w:t>Common Stock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80" w:type="dxa"/>
            <w:vAlign w:val="bottom"/>
            <w:gridSpan w:val="2"/>
          </w:tcPr>
          <w:p>
            <w:pPr>
              <w:jc w:val="right"/>
              <w:ind w:right="571"/>
              <w:spacing w:after="0"/>
              <w:rPr>
                <w:sz w:val="20"/>
                <w:szCs w:val="20"/>
                <w:color w:val="auto"/>
              </w:rPr>
            </w:pPr>
            <w:r>
              <w:rPr>
                <w:rFonts w:ascii="Arial" w:cs="Arial" w:eastAsia="Arial" w:hAnsi="Arial"/>
                <w:sz w:val="18"/>
                <w:szCs w:val="18"/>
                <w:color w:val="auto"/>
                <w:w w:val="87"/>
              </w:rPr>
              <w:t>Shares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Paid-in</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Retained</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Treasury</w:t>
            </w: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Comprehensive</w:t>
            </w:r>
          </w:p>
        </w:tc>
        <w:tc>
          <w:tcPr>
            <w:tcW w:w="140" w:type="dxa"/>
            <w:vAlign w:val="bottom"/>
          </w:tcPr>
          <w:p>
            <w:pPr>
              <w:spacing w:after="0"/>
              <w:rPr>
                <w:sz w:val="18"/>
                <w:szCs w:val="18"/>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w w:val="99"/>
              </w:rPr>
              <w:t>Total</w:t>
            </w:r>
          </w:p>
        </w:tc>
      </w:tr>
      <w:tr>
        <w:trPr>
          <w:trHeight w:val="225"/>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Amount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Stock</w:t>
            </w: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9"/>
                <w:szCs w:val="19"/>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w w:val="91"/>
              </w:rPr>
              <w:t>Equity</w:t>
            </w:r>
          </w:p>
        </w:tc>
      </w:tr>
      <w:tr>
        <w:trPr>
          <w:trHeight w:val="195"/>
        </w:trPr>
        <w:tc>
          <w:tcPr>
            <w:tcW w:w="20" w:type="dxa"/>
            <w:vAlign w:val="bottom"/>
          </w:tcPr>
          <w:p>
            <w:pPr>
              <w:spacing w:after="0"/>
              <w:rPr>
                <w:sz w:val="16"/>
                <w:szCs w:val="16"/>
                <w:color w:val="auto"/>
              </w:rPr>
            </w:pPr>
          </w:p>
        </w:tc>
        <w:tc>
          <w:tcPr>
            <w:tcW w:w="2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9,364,109</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21,820</w:t>
            </w:r>
          </w:p>
        </w:tc>
        <w:tc>
          <w:tcPr>
            <w:tcW w:w="1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26,354</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Issuance of shares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from exercise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84,672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 deferred</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units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Tax benefit related to</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employee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w w:val="96"/>
              </w:rPr>
              <w:t>sales and vesting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restricted stock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Purchase of treasury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Share-based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translation adj.,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of tax</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2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3,904</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3,904</w:t>
            </w:r>
          </w:p>
        </w:tc>
      </w:tr>
      <w:tr>
        <w:trPr>
          <w:trHeight w:val="195"/>
        </w:trPr>
        <w:tc>
          <w:tcPr>
            <w:tcW w:w="20" w:type="dxa"/>
            <w:vAlign w:val="bottom"/>
          </w:tcPr>
          <w:p>
            <w:pPr>
              <w:spacing w:after="0"/>
              <w:rPr>
                <w:sz w:val="16"/>
                <w:szCs w:val="16"/>
                <w:color w:val="auto"/>
              </w:rPr>
            </w:pPr>
          </w:p>
        </w:tc>
        <w:tc>
          <w:tcPr>
            <w:tcW w:w="2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9,426,443</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22,875</w:t>
            </w: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16,937</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31,134</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Issuance of shares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from exercise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239,074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 deferred</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units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Tax benefit related to</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employee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w w:val="96"/>
              </w:rPr>
              <w:t>sales and vesting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restricted stock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Purchase of treasury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(275,255)</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Share-based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translation adj.,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of tax</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2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4,676</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195"/>
        </w:trPr>
        <w:tc>
          <w:tcPr>
            <w:tcW w:w="20" w:type="dxa"/>
            <w:vAlign w:val="bottom"/>
          </w:tcPr>
          <w:p>
            <w:pPr>
              <w:spacing w:after="0"/>
              <w:rPr>
                <w:sz w:val="16"/>
                <w:szCs w:val="16"/>
                <w:color w:val="auto"/>
              </w:rPr>
            </w:pPr>
          </w:p>
        </w:tc>
        <w:tc>
          <w:tcPr>
            <w:tcW w:w="2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9,390,262</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25,058</w:t>
            </w: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21,613</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Issuance of shares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from exercise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51,122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Issuance of deferred</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units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Tax benefit related to</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employee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Purchase of treasury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(721,184)</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and paid 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common stock</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Share-based</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01"/>
        </w:trPr>
        <w:tc>
          <w:tcPr>
            <w:tcW w:w="20" w:type="dxa"/>
            <w:vAlign w:val="bottom"/>
          </w:tcPr>
          <w:p>
            <w:pPr>
              <w:spacing w:after="0"/>
              <w:rPr>
                <w:sz w:val="17"/>
                <w:szCs w:val="17"/>
                <w:color w:val="auto"/>
              </w:rPr>
            </w:pPr>
          </w:p>
        </w:tc>
        <w:tc>
          <w:tcPr>
            <w:tcW w:w="2020" w:type="dxa"/>
            <w:vAlign w:val="bottom"/>
          </w:tcPr>
          <w:p>
            <w:pPr>
              <w:ind w:left="300"/>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translation adj., net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020" w:type="dxa"/>
            <w:vAlign w:val="bottom"/>
          </w:tcPr>
          <w:p>
            <w:pPr>
              <w:ind w:left="460"/>
              <w:spacing w:after="0"/>
              <w:rPr>
                <w:sz w:val="20"/>
                <w:szCs w:val="20"/>
                <w:color w:val="auto"/>
              </w:rPr>
            </w:pPr>
            <w:r>
              <w:rPr>
                <w:rFonts w:ascii="Arial" w:cs="Arial" w:eastAsia="Arial" w:hAnsi="Arial"/>
                <w:sz w:val="18"/>
                <w:szCs w:val="18"/>
                <w:color w:val="auto"/>
              </w:rPr>
              <w:t>of tax</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20" w:type="dxa"/>
            <w:vAlign w:val="bottom"/>
          </w:tcPr>
          <w:p>
            <w:pPr>
              <w:spacing w:after="0"/>
              <w:rPr>
                <w:sz w:val="19"/>
                <w:szCs w:val="19"/>
                <w:color w:val="auto"/>
              </w:rPr>
            </w:pPr>
          </w:p>
        </w:tc>
        <w:tc>
          <w:tcPr>
            <w:tcW w:w="2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r>
      <w:tr>
        <w:trPr>
          <w:trHeight w:val="195"/>
        </w:trPr>
        <w:tc>
          <w:tcPr>
            <w:tcW w:w="20" w:type="dxa"/>
            <w:vAlign w:val="bottom"/>
          </w:tcPr>
          <w:p>
            <w:pPr>
              <w:spacing w:after="0"/>
              <w:rPr>
                <w:sz w:val="16"/>
                <w:szCs w:val="16"/>
                <w:color w:val="auto"/>
              </w:rPr>
            </w:pPr>
          </w:p>
        </w:tc>
        <w:tc>
          <w:tcPr>
            <w:tcW w:w="20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8,720,200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25,940</w:t>
            </w:r>
          </w:p>
        </w:tc>
        <w:tc>
          <w:tcPr>
            <w:tcW w:w="18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24,708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(17,333)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33,369</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83" w:orient="portrait"/>
          <w:cols w:equalWidth="0" w:num="1">
            <w:col w:w="9120"/>
          </w:cols>
          <w:pgMar w:left="1400" w:top="508" w:right="1379" w:bottom="0" w:gutter="0" w:footer="0" w:header="0"/>
        </w:sectPr>
      </w:pPr>
    </w:p>
    <w:bookmarkStart w:id="39" w:name="page40"/>
    <w:bookmarkEnd w:id="39"/>
    <w:p>
      <w:pPr>
        <w:jc w:val="center"/>
        <w:ind w:right="-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292735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019"/>
          </w:cols>
          <w:pgMar w:left="1440" w:top="367"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00" w:type="dxa"/>
            <w:vAlign w:val="bottom"/>
          </w:tcPr>
          <w:p>
            <w:pPr>
              <w:ind w:left="406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0"/>
          </w:tcPr>
          <w:p>
            <w:pPr>
              <w:ind w:left="3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4,676</w:t>
            </w:r>
          </w:p>
        </w:tc>
        <w:tc>
          <w:tcPr>
            <w:tcW w:w="8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Incremental tax benefits from stock options exercised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Deferred income taxes (benefit) provision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8"/>
                <w:szCs w:val="18"/>
                <w:color w:val="auto"/>
              </w:rPr>
              <w:t>(Gain) loss on sale of fixed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Foreign currency transaction losses (gains)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9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Prepaid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900"/>
              <w:spacing w:after="0"/>
              <w:rPr>
                <w:sz w:val="20"/>
                <w:szCs w:val="20"/>
                <w:color w:val="auto"/>
              </w:rPr>
            </w:pPr>
            <w:r>
              <w:rPr>
                <w:rFonts w:ascii="Arial" w:cs="Arial" w:eastAsia="Arial" w:hAnsi="Arial"/>
                <w:sz w:val="18"/>
                <w:szCs w:val="18"/>
                <w:color w:val="auto"/>
              </w:rPr>
              <w:t>Other current and long term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Pr>
          <w:p>
            <w:pPr>
              <w:ind w:left="1900"/>
              <w:spacing w:after="0"/>
              <w:rPr>
                <w:sz w:val="20"/>
                <w:szCs w:val="20"/>
                <w:color w:val="auto"/>
              </w:rPr>
            </w:pPr>
            <w:r>
              <w:rPr>
                <w:rFonts w:ascii="Arial" w:cs="Arial" w:eastAsia="Arial" w:hAnsi="Arial"/>
                <w:sz w:val="18"/>
                <w:szCs w:val="18"/>
                <w:color w:val="auto"/>
              </w:rPr>
              <w:t>Accrued liabilities and other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Additions to capitalized software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Proceeds from sale of fixed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Acquisitions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Pr>
          <w:p>
            <w:pPr>
              <w:ind w:left="13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Proceeds from stock option exercises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Purchases of common stock for 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Payment of dividends on 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Incremental tax benefits from stock options 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Pr>
          <w:p>
            <w:pPr>
              <w:ind w:left="130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6,863</w:t>
            </w:r>
          </w:p>
        </w:tc>
        <w:tc>
          <w:tcPr>
            <w:tcW w:w="80" w:type="dxa"/>
            <w:vAlign w:val="bottom"/>
          </w:tcPr>
          <w:p>
            <w:pPr>
              <w:spacing w:after="0"/>
              <w:rPr>
                <w:sz w:val="20"/>
                <w:szCs w:val="2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 paid</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Income taxes paid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Purchases of common stock for treasury at year end</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263525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120"/>
          </w:cols>
          <w:pgMar w:left="1400" w:top="508" w:right="1379" w:bottom="1440" w:gutter="0" w:footer="0" w:header="0"/>
        </w:sectPr>
      </w:pPr>
    </w:p>
    <w:bookmarkStart w:id="41" w:name="page42"/>
    <w:bookmarkEnd w:id="41"/>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NY, operates in one operating segment: market specific solutions, including printers, terminals, software and other products for transaction-based and other industries. These industries include casino, gaming, lottery, banking, point-of-sale, food safety, oil and gas and medical and mobile. Our printers are designed based on market-specific requirements and are sold under the Ithaca®, Epic and Printrex®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service, supplies and spare parts in addition to revenue from our software solution, the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consolidation, after the elimination of intercompany accounts, transactions and unrealized profit.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amounts in the prior years’ financial statements have been reclassified to conform to the current year’s presentation.</w:t>
      </w:r>
    </w:p>
    <w:p>
      <w:pPr>
        <w:spacing w:after="0" w:line="25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accompanying Consolidated Financial Statements were prepared using estimates and assumptions that affect the reported amounts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manufacture and sale of transaction-based and specialty printing solutions and related service, supplies and replacement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2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$66,000 as of December 31, 2012 and $70,000 as of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center"/>
              <w:ind w:right="31"/>
              <w:spacing w:after="0"/>
              <w:rPr>
                <w:sz w:val="20"/>
                <w:szCs w:val="20"/>
                <w:color w:val="auto"/>
              </w:rPr>
            </w:pPr>
            <w:r>
              <w:rPr>
                <w:rFonts w:ascii="Arial" w:cs="Arial" w:eastAsia="Arial" w:hAnsi="Arial"/>
                <w:sz w:val="18"/>
                <w:szCs w:val="18"/>
                <w:color w:val="auto"/>
                <w:w w:val="87"/>
              </w:rPr>
              <w:t>Year ended December 31,</w:t>
            </w: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2012</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2010</w:t>
            </w: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454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540" w:type="dxa"/>
            <w:vAlign w:val="bottom"/>
          </w:tcPr>
          <w:p>
            <w:pPr>
              <w:spacing w:after="0"/>
              <w:rPr>
                <w:sz w:val="20"/>
                <w:szCs w:val="20"/>
                <w:color w:val="auto"/>
              </w:rPr>
            </w:pPr>
            <w:r>
              <w:rPr>
                <w:rFonts w:ascii="Arial" w:cs="Arial" w:eastAsia="Arial" w:hAnsi="Arial"/>
                <w:sz w:val="18"/>
                <w:szCs w:val="18"/>
                <w:color w:val="auto"/>
              </w:rPr>
              <w:t>Deductions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5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market.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$1,183,000, $1,339,000 and $1,446,000 in 2012, 2011 and 2010, respectively.</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912" w:gutter="0" w:footer="0" w:header="0"/>
        </w:sectPr>
      </w:pPr>
    </w:p>
    <w:bookmarkStart w:id="42" w:name="page43"/>
    <w:bookmarkEnd w:id="42"/>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have determined that no goodwill impairment has occurred based on our assessment as of December 31, 2012 when the impairment review is performed.</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typical contracts include the sale of printers, which are sometimes accompanied by separately-priced extended warranty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developed a new software solution, the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will enable casino operators 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We also determine whether revenue arrangements consist of more than one unit of accounting at inception of the arrangement and recognize revenue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banks in excess of insured limits and accounts receivable.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Pr>
          <w:p>
            <w:pPr>
              <w:spacing w:after="0"/>
              <w:rPr>
                <w:sz w:val="19"/>
                <w:szCs w:val="19"/>
                <w:color w:val="auto"/>
              </w:rPr>
            </w:pPr>
          </w:p>
        </w:tc>
        <w:tc>
          <w:tcPr>
            <w:tcW w:w="6040" w:type="dxa"/>
            <w:vAlign w:val="bottom"/>
            <w:gridSpan w:val="4"/>
          </w:tcPr>
          <w:p>
            <w:pPr>
              <w:ind w:left="240"/>
              <w:spacing w:after="0"/>
              <w:rPr>
                <w:sz w:val="20"/>
                <w:szCs w:val="20"/>
                <w:color w:val="auto"/>
              </w:rPr>
            </w:pPr>
            <w:r>
              <w:rPr>
                <w:rFonts w:ascii="Arial" w:cs="Arial" w:eastAsia="Arial" w:hAnsi="Arial"/>
                <w:sz w:val="18"/>
                <w:szCs w:val="18"/>
                <w:color w:val="auto"/>
              </w:rPr>
              <w:t>December 31,</w:t>
            </w:r>
          </w:p>
        </w:tc>
      </w:tr>
      <w:tr>
        <w:trPr>
          <w:trHeight w:val="220"/>
        </w:trPr>
        <w:tc>
          <w:tcPr>
            <w:tcW w:w="5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8"/>
                <w:szCs w:val="18"/>
                <w:color w:val="auto"/>
              </w:rPr>
              <w:t>2012</w:t>
            </w: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2011</w:t>
            </w:r>
          </w:p>
        </w:tc>
        <w:tc>
          <w:tcPr>
            <w:tcW w:w="4580" w:type="dxa"/>
            <w:vAlign w:val="bottom"/>
          </w:tcPr>
          <w:p>
            <w:pPr>
              <w:spacing w:after="0"/>
              <w:rPr>
                <w:sz w:val="19"/>
                <w:szCs w:val="19"/>
                <w:color w:val="auto"/>
              </w:rPr>
            </w:pPr>
          </w:p>
        </w:tc>
      </w:tr>
      <w:tr>
        <w:trPr>
          <w:trHeight w:val="20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580" w:type="dxa"/>
            <w:vAlign w:val="bottom"/>
          </w:tcPr>
          <w:p>
            <w:pPr>
              <w:spacing w:after="0"/>
              <w:rPr>
                <w:sz w:val="18"/>
                <w:szCs w:val="18"/>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Customer A</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4580" w:type="dxa"/>
            <w:vAlign w:val="bottom"/>
          </w:tcPr>
          <w:p>
            <w:pPr>
              <w:spacing w:after="0"/>
              <w:rPr>
                <w:sz w:val="19"/>
                <w:szCs w:val="19"/>
                <w:color w:val="auto"/>
              </w:rPr>
            </w:pPr>
          </w:p>
        </w:tc>
      </w:tr>
      <w:tr>
        <w:trPr>
          <w:trHeight w:val="480"/>
        </w:trPr>
        <w:tc>
          <w:tcPr>
            <w:tcW w:w="538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Arial" w:cs="Arial" w:eastAsia="Arial" w:hAnsi="Arial"/>
                <w:sz w:val="21"/>
                <w:szCs w:val="21"/>
                <w:color w:val="auto"/>
              </w:rPr>
              <w:t>F-9</w:t>
            </w:r>
          </w:p>
        </w:tc>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99"/>
        </w:trPr>
        <w:tc>
          <w:tcPr>
            <w:tcW w:w="5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3" w:name="page44"/>
    <w:bookmarkEnd w:id="43"/>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2260" w:type="dxa"/>
            <w:vAlign w:val="bottom"/>
            <w:gridSpan w:val="6"/>
          </w:tcPr>
          <w:p>
            <w:pPr>
              <w:jc w:val="center"/>
              <w:ind w:right="20"/>
              <w:spacing w:after="0"/>
              <w:rPr>
                <w:sz w:val="20"/>
                <w:szCs w:val="20"/>
                <w:color w:val="auto"/>
              </w:rPr>
            </w:pPr>
            <w:r>
              <w:rPr>
                <w:rFonts w:ascii="Arial" w:cs="Arial" w:eastAsia="Arial" w:hAnsi="Arial"/>
                <w:sz w:val="18"/>
                <w:szCs w:val="18"/>
                <w:color w:val="auto"/>
                <w:w w:val="87"/>
              </w:rPr>
              <w:t>Year ended December 31,</w:t>
            </w:r>
          </w:p>
        </w:tc>
      </w:tr>
      <w:tr>
        <w:trPr>
          <w:trHeight w:val="220"/>
        </w:trPr>
        <w:tc>
          <w:tcPr>
            <w:tcW w:w="4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r>
      <w:tr>
        <w:trPr>
          <w:trHeight w:val="20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GTECH</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8"/>
                <w:szCs w:val="18"/>
                <w:color w:val="auto"/>
              </w:rPr>
              <w:t>Customer A</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bl>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7"/>
          </w:tcPr>
          <w:p>
            <w:pPr>
              <w:jc w:val="center"/>
              <w:ind w:right="100"/>
              <w:spacing w:after="0"/>
              <w:rPr>
                <w:sz w:val="20"/>
                <w:szCs w:val="20"/>
                <w:color w:val="auto"/>
              </w:rPr>
            </w:pPr>
            <w:r>
              <w:rPr>
                <w:rFonts w:ascii="Arial" w:cs="Arial" w:eastAsia="Arial" w:hAnsi="Arial"/>
                <w:sz w:val="18"/>
                <w:szCs w:val="18"/>
                <w:color w:val="auto"/>
                <w:w w:val="87"/>
              </w:rPr>
              <w:t>Year ended December 31,</w:t>
            </w: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$101,000 and $106,000 of the accrued product warranty liability were classified as long-term at December 31, 2012 and 2011, respectively.</w:t>
      </w:r>
    </w:p>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include engineering, design and product development expenses incurred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specialized engineering and design to introduce new products and to customize existing products, and are expensed as a component of operating expenses as incurred. We recorded approximately $4,239,000, $3,418,000 and $3,000,000 of research and development expenses in 2012, 2011 and 2010, respectively.</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and unamortized development costs for such software were approximately $528,000 and $682,000 as of December 31, 2012 and 2011, respectively. The total amount charged to cost of sales for capitalized software development costs was approximately $189,000 and $62,000 in 2012 and 2011, respectively, with no such charges in 2010. The weighted-average amortization period of unamortized capitalized software developments costs is 3 years.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2012, 2011 and 2010 totaled $949,000, $871,000 and $824,000, respectively. These expenses include items such as consulting and professional services, tradeshows, and print advertising.</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i w:val="1"/>
          <w:iCs w:val="1"/>
          <w:color w:val="auto"/>
        </w:rPr>
        <w:t xml:space="preserve">Restructuring: </w:t>
      </w:r>
      <w:r>
        <w:rPr>
          <w:rFonts w:ascii="Arial" w:cs="Arial" w:eastAsia="Arial" w:hAnsi="Arial"/>
          <w:sz w:val="17"/>
          <w:szCs w:val="17"/>
          <w:color w:val="auto"/>
        </w:rPr>
        <w:t>We continually evaluate our cost structure to ensure that it is appropriately positioned to respond to changing market conditions. We record pre-tax restructuring charges in accordance with ASC 420-10-25-4, “Exit or Disposal Cost Obligations.” See Note 8 for further discussion.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income tax amounts reflected in the accompanying Consolidated Financial Statements are accounted for under the liability method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13 for information regarding our accounting for income taxes.</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The financial position and results of operations of our foreign subsidiary in the United Kingdom are measured using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4" w:name="page45"/>
    <w:bookmarkEnd w:id="44"/>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accumulated other comprehensive income. Foreign currency transaction gains and losses, including those related to intercompany balances, are recognized in Other, net on the Consolidated Statements of Income.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2012, we had share-based employee compensation plans, which are described more fully in Note 12 - Stock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 We have no awards with market or performance conditions.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Net income and loss per share: </w:t>
      </w:r>
      <w:r>
        <w:rPr>
          <w:rFonts w:ascii="Arial" w:cs="Arial" w:eastAsia="Arial" w:hAnsi="Arial"/>
          <w:sz w:val="16"/>
          <w:szCs w:val="16"/>
          <w:color w:val="auto"/>
        </w:rPr>
        <w:t>We report net income or loss per share in accordance with ASC 260, “Earnings per Share (EPS).” Under this guidance, basic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 which excludes dilution, is computed by dividing income or loss available to common shareholders by the weighted average number of common shares outstanding for the period. Unvested restricted stock is excluded from the calculation of weighted average common shares for basic EPS. Diluted EPS reflects the potential dilution that could occur if securities or other contracts to issue common stock were exercised or converted into common stock. Diluted EPS includes restricted stock and in-the-money stock options using the treasury stock method. During a loss period, the assumed exercise of in-the-money stock options has an anti-dilutive effect, and therefore, these instruments are excluded from the computation of dilutive EPS. See Note 14 -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August 19, 2011, we completed the purchase of substantially all of the assets of Printrex, Inc. (“Printrex”) for $4,000,000 in cash and potential future contingent consideration further discussed below. Printrex is a leading manufacturer of specialty printers primarily sold into the oil and gas exploration and medical markets which serve commercial and industrial customers primarily in the United States, Canada, Europe and Asia. This acquisition was completed primarily to expand our product offerings into the oil and gas exploration and medical markets. As of December 31, 2012, we have completed our analysis of fair value attributes of the assets acquired through the Printrex acquisition and the final assessment of values did not differ materially from our preliminary assessment.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related to the Printrex acquisition: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Purchase Price Allocation </w:t>
            </w:r>
            <w:r>
              <w:rPr>
                <w:rFonts w:ascii="Arial" w:cs="Arial" w:eastAsia="Arial" w:hAnsi="Arial"/>
                <w:sz w:val="18"/>
                <w:szCs w:val="18"/>
                <w:i w:val="1"/>
                <w:iCs w:val="1"/>
                <w:color w:val="auto"/>
              </w:rPr>
              <w:t>(In thousands)</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Initial estimate for liability related to potential future contingent consideration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41"/>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13"/>
        </w:trPr>
        <w:tc>
          <w:tcPr>
            <w:tcW w:w="20" w:type="dxa"/>
            <w:vAlign w:val="bottom"/>
          </w:tcPr>
          <w:p>
            <w:pPr>
              <w:spacing w:after="0"/>
              <w:rPr>
                <w:sz w:val="18"/>
                <w:szCs w:val="18"/>
                <w:color w:val="auto"/>
              </w:rPr>
            </w:pPr>
          </w:p>
        </w:tc>
        <w:tc>
          <w:tcPr>
            <w:tcW w:w="6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Trademark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1"/>
        </w:trPr>
        <w:tc>
          <w:tcPr>
            <w:tcW w:w="20" w:type="dxa"/>
            <w:vAlign w:val="bottom"/>
          </w:tcPr>
          <w:p>
            <w:pPr>
              <w:spacing w:after="0"/>
              <w:rPr>
                <w:sz w:val="20"/>
                <w:szCs w:val="20"/>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13"/>
        </w:trPr>
        <w:tc>
          <w:tcPr>
            <w:tcW w:w="20" w:type="dxa"/>
            <w:vAlign w:val="bottom"/>
          </w:tcPr>
          <w:p>
            <w:pPr>
              <w:spacing w:after="0"/>
              <w:rPr>
                <w:sz w:val="18"/>
                <w:szCs w:val="18"/>
                <w:color w:val="auto"/>
              </w:rPr>
            </w:pPr>
          </w:p>
        </w:tc>
        <w:tc>
          <w:tcPr>
            <w:tcW w:w="6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Intangible Asset Weighted Average Amortization Period:</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 years</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Trademark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10 years</w:t>
            </w: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 years</w:t>
            </w:r>
          </w:p>
        </w:tc>
      </w:tr>
      <w:tr>
        <w:trPr>
          <w:trHeight w:val="226"/>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1.2 years</w:t>
            </w:r>
          </w:p>
        </w:tc>
      </w:tr>
      <w:tr>
        <w:trPr>
          <w:trHeight w:val="241"/>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weighted average</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7.2 years</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5" w:name="page46"/>
    <w:bookmarkEnd w:id="45"/>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assigned to intangible assets were determined through the use of the income approach, specifically the relief from royalty method and the multi-period excess earnings method. The valuation of tangible assets was derived using a combination of the income approach, the market approach and the cost approach.</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entered into a contingent consideration arrangement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The undiscounted fair value related to the contingent liability could range from $200,000 to $2,400,000. The fair value of the contingent consideration arrangement was $960,000 and $680,000 at December 31, 2012 and 2011, respectively, which were estimated by applying the income approach. That measure is based on significant inputs that are not observable in the market, which fair value measurement guidance refers to as Level 3 inputs. During 2012, the fair value of the contingent consideration was increased by $280,000 and this charge is included in general and administrative expenses on the Consolidated Statements of Income. No payments were made under the arrangement during 2012 as the underlying conditions of the contingent consideration arrangement were not satisfied.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include a discount rate range of 4% to 5% and a probability-adjusted level of gross profit between $1,600,000 and $8,900,000.</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Printrex acquisition resulted in $1,152,000 of goodwill, which is deductible for tax purposes, and largely consists of expected synergies resulting from the acquisition. Key areas of potential cost savings include increased purchasing power for raw materials; manufacturing and supply chain work process improvements; and the elimination of redundant manufacturing overhead and operating expenses. We also anticipate that the transaction will produce growth synergies as a result of applying TransAct’s sales and engineering expertise to Printrex’s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carrying value of goodwill for the year ended December 31, 2012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26"/>
        </w:trPr>
        <w:tc>
          <w:tcPr>
            <w:tcW w:w="5740" w:type="dxa"/>
            <w:vAlign w:val="bottom"/>
          </w:tcPr>
          <w:p>
            <w:pPr>
              <w:spacing w:after="0"/>
              <w:rPr>
                <w:sz w:val="20"/>
                <w:szCs w:val="20"/>
                <w:color w:val="auto"/>
              </w:rPr>
            </w:pPr>
            <w:r>
              <w:rPr>
                <w:rFonts w:ascii="Arial" w:cs="Arial" w:eastAsia="Arial" w:hAnsi="Arial"/>
                <w:sz w:val="18"/>
                <w:szCs w:val="18"/>
                <w:color w:val="auto"/>
                <w:w w:val="97"/>
              </w:rPr>
              <w:t>Inventory measurement adjustment in connection with Printrex acquisition</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1"/>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incurred acquisition-related costs of $159,000 during the year ended December 31, 2011. These costs included legal, accounting, valuation and other professional services and were included in general and administrative expenses in the Consolidated Statements of Income. In addition, we incurred approximately $78,000 of integration-related expenses in 2011 that were also included in general and administrative expenses in the Consolidated Statements of Income. No such expenses were incurred during 2012.</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Printrex acquisition contributed $1,892,000 to net sales and reduced net income by $23,000 for the year ended December 31, 2011. This reduction includes the after-tax impact of $139,000 of amortization expense from the intangible assets acquired from Printrex as well as $78,000 of integration expenses. The following unaudited pro forma consolidated results of operations are provided for illustrative purposes only and assume that the acquisition of Printrex occurred on January 1, 2010. This unaudited pro forma information should not be relied upon as being indicative of the historical results that would have been obtained if the acquisition had occurred on that date, nor of the results that may be obtained in the future.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6"/>
          </w:tcPr>
          <w:p>
            <w:pPr>
              <w:jc w:val="center"/>
              <w:ind w:right="474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gridSpan w:val="6"/>
          </w:tcPr>
          <w:p>
            <w:pPr>
              <w:jc w:val="center"/>
              <w:ind w:right="47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89"/>
              </w:rPr>
              <w:t>2011</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89"/>
              </w:rPr>
              <w:t>2010</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69,694</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68,617</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3,865</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1"/>
        </w:trPr>
        <w:tc>
          <w:tcPr>
            <w:tcW w:w="528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8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6"/>
            <w:vMerge w:val="restart"/>
          </w:tcPr>
          <w:p>
            <w:pPr>
              <w:jc w:val="center"/>
              <w:ind w:right="47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3"/>
        </w:trPr>
        <w:tc>
          <w:tcPr>
            <w:tcW w:w="5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4"/>
              </w:rPr>
              <w:t>2012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89"/>
              </w:rPr>
              <w:t>2011</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6,871</w:t>
            </w:r>
          </w:p>
        </w:tc>
        <w:tc>
          <w:tcPr>
            <w:tcW w:w="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2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10,321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140" w:type="dxa"/>
            <w:vAlign w:val="bottom"/>
            <w:gridSpan w:val="2"/>
          </w:tcPr>
          <w:p>
            <w:pPr>
              <w:jc w:val="right"/>
              <w:ind w:right="4580"/>
              <w:spacing w:after="0"/>
              <w:rPr>
                <w:sz w:val="20"/>
                <w:szCs w:val="20"/>
                <w:color w:val="auto"/>
              </w:rPr>
            </w:pPr>
            <w:r>
              <w:rPr>
                <w:rFonts w:ascii="Arial" w:cs="Arial" w:eastAsia="Arial" w:hAnsi="Arial"/>
                <w:sz w:val="18"/>
                <w:szCs w:val="18"/>
                <w:color w:val="auto"/>
                <w:w w:val="98"/>
              </w:rPr>
              <w:t>14,151</w:t>
            </w:r>
          </w:p>
        </w:tc>
        <w:tc>
          <w:tcPr>
            <w:tcW w:w="0" w:type="dxa"/>
            <w:vAlign w:val="bottom"/>
          </w:tcPr>
          <w:p>
            <w:pPr>
              <w:spacing w:after="0"/>
              <w:rPr>
                <w:sz w:val="1"/>
                <w:szCs w:val="1"/>
                <w:color w:val="auto"/>
              </w:rPr>
            </w:pPr>
          </w:p>
        </w:tc>
      </w:tr>
      <w:tr>
        <w:trPr>
          <w:trHeight w:val="692"/>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F-12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5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6" w:name="page47"/>
    <w:bookmarkEnd w:id="46"/>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color w:val="auto"/>
              </w:rPr>
              <w:t>5. Fixed assets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34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100" w:type="dxa"/>
            <w:vAlign w:val="bottom"/>
          </w:tcPr>
          <w:p>
            <w:pPr>
              <w:spacing w:after="0"/>
              <w:rPr>
                <w:sz w:val="24"/>
                <w:szCs w:val="24"/>
                <w:color w:val="auto"/>
              </w:rPr>
            </w:pPr>
          </w:p>
        </w:tc>
        <w:tc>
          <w:tcPr>
            <w:tcW w:w="1420" w:type="dxa"/>
            <w:vAlign w:val="bottom"/>
            <w:gridSpan w:val="5"/>
            <w:vMerge w:val="restart"/>
          </w:tcPr>
          <w:p>
            <w:pPr>
              <w:jc w:val="right"/>
              <w:ind w:right="2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3"/>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Tooling, 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5,546</w:t>
            </w: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21,814</w:t>
            </w: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(18,925)</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(18,053)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2,889</w:t>
            </w: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Pr>
          <w:p>
            <w:pPr>
              <w:spacing w:after="0"/>
              <w:rPr>
                <w:sz w:val="20"/>
                <w:szCs w:val="20"/>
                <w:color w:val="auto"/>
              </w:rPr>
            </w:pPr>
            <w:r>
              <w:rPr>
                <w:rFonts w:ascii="Arial" w:cs="Arial" w:eastAsia="Arial" w:hAnsi="Arial"/>
                <w:sz w:val="18"/>
                <w:szCs w:val="18"/>
                <w:color w:val="auto"/>
              </w:rPr>
              <w:t>Construction in-process</w:t>
            </w: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3,302</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9"/>
              </w:rPr>
              <w:t>2012</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9"/>
              </w:rPr>
              <w:t>2011</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c>
          <w:tcPr>
            <w:tcW w:w="560" w:type="dxa"/>
            <w:vAlign w:val="bottom"/>
          </w:tcPr>
          <w:p>
            <w:pPr>
              <w:jc w:val="center"/>
              <w:ind w:right="31"/>
              <w:spacing w:after="0"/>
              <w:rPr>
                <w:sz w:val="20"/>
                <w:szCs w:val="20"/>
                <w:color w:val="auto"/>
              </w:rPr>
            </w:pPr>
            <w:r>
              <w:rPr>
                <w:rFonts w:ascii="Arial" w:cs="Arial" w:eastAsia="Arial" w:hAnsi="Arial"/>
                <w:sz w:val="18"/>
                <w:szCs w:val="18"/>
                <w:color w:val="auto"/>
                <w:w w:val="83"/>
              </w:rPr>
              <w:t>Gross</w:t>
            </w:r>
          </w:p>
        </w:tc>
        <w:tc>
          <w:tcPr>
            <w:tcW w:w="1160" w:type="dxa"/>
            <w:vAlign w:val="bottom"/>
            <w:gridSpan w:val="5"/>
          </w:tcPr>
          <w:p>
            <w:pPr>
              <w:ind w:left="140"/>
              <w:spacing w:after="0"/>
              <w:rPr>
                <w:sz w:val="20"/>
                <w:szCs w:val="20"/>
                <w:color w:val="auto"/>
              </w:rPr>
            </w:pPr>
            <w:r>
              <w:rPr>
                <w:rFonts w:ascii="Arial" w:cs="Arial" w:eastAsia="Arial" w:hAnsi="Arial"/>
                <w:sz w:val="18"/>
                <w:szCs w:val="18"/>
                <w:color w:val="auto"/>
                <w:w w:val="96"/>
              </w:rPr>
              <w:t>Accumulated</w:t>
            </w:r>
          </w:p>
        </w:tc>
        <w:tc>
          <w:tcPr>
            <w:tcW w:w="120" w:type="dxa"/>
            <w:vAlign w:val="bottom"/>
          </w:tcPr>
          <w:p>
            <w:pPr>
              <w:spacing w:after="0"/>
              <w:rPr>
                <w:sz w:val="18"/>
                <w:szCs w:val="18"/>
                <w:color w:val="auto"/>
              </w:rPr>
            </w:pPr>
          </w:p>
        </w:tc>
        <w:tc>
          <w:tcPr>
            <w:tcW w:w="560" w:type="dxa"/>
            <w:vAlign w:val="bottom"/>
          </w:tcPr>
          <w:p>
            <w:pPr>
              <w:jc w:val="center"/>
              <w:ind w:right="31"/>
              <w:spacing w:after="0"/>
              <w:rPr>
                <w:sz w:val="20"/>
                <w:szCs w:val="20"/>
                <w:color w:val="auto"/>
              </w:rPr>
            </w:pPr>
            <w:r>
              <w:rPr>
                <w:rFonts w:ascii="Arial" w:cs="Arial" w:eastAsia="Arial" w:hAnsi="Arial"/>
                <w:sz w:val="18"/>
                <w:szCs w:val="18"/>
                <w:color w:val="auto"/>
                <w:w w:val="83"/>
              </w:rPr>
              <w:t>Gross</w:t>
            </w:r>
          </w:p>
        </w:tc>
        <w:tc>
          <w:tcPr>
            <w:tcW w:w="1100" w:type="dxa"/>
            <w:vAlign w:val="bottom"/>
            <w:gridSpan w:val="5"/>
          </w:tcPr>
          <w:p>
            <w:pPr>
              <w:ind w:left="140"/>
              <w:spacing w:after="0"/>
              <w:rPr>
                <w:sz w:val="20"/>
                <w:szCs w:val="20"/>
                <w:color w:val="auto"/>
              </w:rPr>
            </w:pPr>
            <w:r>
              <w:rPr>
                <w:rFonts w:ascii="Arial" w:cs="Arial" w:eastAsia="Arial" w:hAnsi="Arial"/>
                <w:sz w:val="18"/>
                <w:szCs w:val="18"/>
                <w:color w:val="auto"/>
                <w:w w:val="90"/>
              </w:rPr>
              <w:t>Accumulated</w:t>
            </w:r>
          </w:p>
        </w:tc>
        <w:tc>
          <w:tcPr>
            <w:tcW w:w="0" w:type="dxa"/>
            <w:vAlign w:val="bottom"/>
          </w:tcPr>
          <w:p>
            <w:pPr>
              <w:spacing w:after="0"/>
              <w:rPr>
                <w:sz w:val="1"/>
                <w:szCs w:val="1"/>
                <w:color w:val="auto"/>
              </w:rPr>
            </w:pPr>
          </w:p>
        </w:tc>
      </w:tr>
      <w:tr>
        <w:trPr>
          <w:trHeight w:val="225"/>
        </w:trPr>
        <w:tc>
          <w:tcPr>
            <w:tcW w:w="3240" w:type="dxa"/>
            <w:vAlign w:val="bottom"/>
            <w:vMerge w:val="continue"/>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Arial" w:cs="Arial" w:eastAsia="Arial" w:hAnsi="Arial"/>
                <w:sz w:val="18"/>
                <w:szCs w:val="18"/>
                <w:color w:val="auto"/>
                <w:w w:val="99"/>
              </w:rPr>
              <w:t>Amortization</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6"/>
              </w:rPr>
              <w:t>Amount</w:t>
            </w:r>
          </w:p>
        </w:tc>
        <w:tc>
          <w:tcPr>
            <w:tcW w:w="1100" w:type="dxa"/>
            <w:vAlign w:val="bottom"/>
            <w:gridSpan w:val="5"/>
          </w:tcPr>
          <w:p>
            <w:pPr>
              <w:ind w:left="140"/>
              <w:spacing w:after="0"/>
              <w:rPr>
                <w:sz w:val="20"/>
                <w:szCs w:val="20"/>
                <w:color w:val="auto"/>
              </w:rPr>
            </w:pPr>
            <w:r>
              <w:rPr>
                <w:rFonts w:ascii="Arial" w:cs="Arial" w:eastAsia="Arial" w:hAnsi="Arial"/>
                <w:sz w:val="18"/>
                <w:szCs w:val="18"/>
                <w:color w:val="auto"/>
                <w:w w:val="93"/>
              </w:rPr>
              <w:t>Amortization</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54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8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54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Amortization expense was $568,000 in 2012, $255,000 in 2011 and $85,000 in 2010. Amortization expense for each of the next five years ending December 31 is expected to be as follows: $506,000 each in 2013 and 2014; $446,000 in 2015; $323,000 in 2016; $241,000 in 2017; and $306,000 thereafter.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2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140" w:type="dxa"/>
            <w:vAlign w:val="bottom"/>
          </w:tcPr>
          <w:p>
            <w:pPr>
              <w:spacing w:after="0"/>
              <w:rPr>
                <w:sz w:val="24"/>
                <w:szCs w:val="24"/>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3"/>
        </w:trPr>
        <w:tc>
          <w:tcPr>
            <w:tcW w:w="5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8"/>
                <w:szCs w:val="18"/>
                <w:color w:val="auto"/>
              </w:rPr>
            </w:pPr>
          </w:p>
        </w:tc>
        <w:tc>
          <w:tcPr>
            <w:tcW w:w="14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Payroll and fringe benefits</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8"/>
                <w:szCs w:val="18"/>
                <w:color w:val="auto"/>
              </w:rPr>
              <w:t>Warranty</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w:t>
            </w: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business consolidation and restructuring expenses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2012, we determined that we no longer needed to maintain the existing Printrex manufacturing facility in San Jose, California, along with certain redundant headcount. As a result, we incurred expenses of $138,000 in 2012 for employee termination benefits related to these employee reductions as well as moving costs and the closing of the San Jose manufacturing operations that was completed as of December 31, 2012. This restructuring charge was recorded in accordance with ASC 420-10-25-4 “Exit or Disposal Cost Obligations” and is included within Business consolidation and restructuring expenses in the accompanying Consolidated Statements of Income. Cash payments made under this restructuring plan were completed by October 2012.</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2011, we closed our New Britain, CT service facility which primarily serviced our first generation legacy lottery printers for GTECH Corporation (“GTECH”) and incurred $184,000 in facility closure and severance costs in the second quarter of 2011. These restructuring activities reduced the number of employees and closed a facility, which caused us to incur costs for employee termination benefits related to these employee reductions as well as lease termination costs and the disposal of fixed assets. Cash payments made under this restructuring plan were completed by April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7" w:name="page48"/>
    <w:bookmarkEnd w:id="47"/>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business consolidation and restructuring expenses (continued)</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2010, due to the completion of the move of a substantial portion of our printer production to a contract manufacturer in China, we initiated and completed certain restructuring programs to better utilize our workforce. These restructuring activities reduced the number of employees and caused us to incur costs for employee termination benefits related to the employee reductions. During 2010, we recorded restructuring charges of approximately $156,000 which were included within general and administrative expenses in the accompanying Consolidated Statements of Income. The restructuring activity during 2010 included severance costs related to the termination of 16 employees.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table summarizes the activity recorded in accrued restructuring expenses during 2012 and 2011, and is included in accrued liabilities in the accompanying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1360" w:type="dxa"/>
            <w:vAlign w:val="bottom"/>
            <w:gridSpan w:val="4"/>
          </w:tcPr>
          <w:p>
            <w:pPr>
              <w:jc w:val="right"/>
              <w:ind w:right="151"/>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27"/>
        </w:trPr>
        <w:tc>
          <w:tcPr>
            <w:tcW w:w="5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4"/>
              </w:rPr>
              <w:t>2012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Severance &amp; moving charges</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Non-cancelable lease payments</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end of period</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3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savings plan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$280,000, $201,000 and $223,000 in 2012, 2011 and 2010,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22, 2011, we signed a three-year amendment to renew our existing $20,000,000 credit facility (the “TD Bank Credit Facility”) with TD Bank N.A. (“TD Bank”). The TD Bank Credit Facility provides for a $20,000,000 revolving credit line expiring on November 28, 2014. Borrowings under the revolving credit line bear a floating rate of interest at the prime rate minus one percent and are secured by a lien on all of our assets. We also pay a fee of 0.25% on unused borrowings under the revolving credit line. The total deferred financing costs relating to expenses incurred to complete the TD Bank Credit Facility was $31,000.</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undrawn commitments under the TD Bank Credit Facility were $20,000,000.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has since filed an appeal of the Court’s ruling.</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2012, we were the lessee on operating leases for equipment and real property. Rent expense was approximately $1,005,000, $1,030,000 and $1,047,000 in 2012, 2011 and 2010, respectively. Minimum aggregate rental payments required under operating leases that have initial or remaining non-cancelable lease terms in excess of one year as of December 31, 2012 are as follows: $836,000 in 2013; $806,000 in 2014; $808,000 in 2015; $561,000 in 2016; and $78,000 in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8" w:name="page49"/>
    <w:bookmarkEnd w:id="48"/>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Stock incentive plans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currently have four primary stock incentive plans: the 1996 Stock Plan, which provided for the grant of awards to officers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key employees of the Company; the 1996 Directors’ Stock Plan, which provided for non-discretionary awards to non-employee directors; the 2001 Employee Stock Plan, which provided for the grant of awards to key employees of the Company and other non-employees who provided services to the Company; and the 2005 Equity Incentive Plan, which provides for awards to executives, key employees, directors and consultants. The plans generally provide for awards in the form of: (i) incentive stock options, (ii) non-qualified stock options, (iii) restricted stock, (iv) restricted stock units, (v) stock appreciation rights or (vi) limited stock appreciation rights. However, the 2001 Employee Stock Plan does not provide for incentive stock option awards. Options granted under these plans have exercise prices equal to 100% of the fair market value of the common stock at the date of grant. Options granted have a ten-year term and generally vest over a three- to five-year period, unless automatically accelerated for certain defined events. As of May 2005, no new awards will be made under the 1996 Stock Plan, the 1996 Directors’ Stock Plan or the 2001 Employee Stock Plan. Under our 2005 Equity Incentive Plan, we may authorize up to 1,200,000 of shares of TransAct common stock. At December 31, 2012, 302,243 shares of common stock remained available for issuance under the 2005 Equity Incentive Plan.</w:t>
      </w:r>
    </w:p>
    <w:p>
      <w:pPr>
        <w:spacing w:after="0" w:line="19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assumptions indicated below, the weighted-average fair value of stock option grants for the years ended December 31, 2012, 2011 and 2010 was $6.91, $10.42 and $7.45, respectively. The table below indicates the key assumptions used in the option valuation calculations for options granted in the years ended December 31, 2012, 2011 and 2010 and a discussion of our methodology for developing each of the assumptions used in the valuation model: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2260" w:type="dxa"/>
            <w:vAlign w:val="bottom"/>
            <w:gridSpan w:val="6"/>
          </w:tcPr>
          <w:p>
            <w:pPr>
              <w:jc w:val="center"/>
              <w:ind w:right="20"/>
              <w:spacing w:after="0"/>
              <w:rPr>
                <w:sz w:val="20"/>
                <w:szCs w:val="20"/>
                <w:color w:val="auto"/>
              </w:rPr>
            </w:pPr>
            <w:r>
              <w:rPr>
                <w:rFonts w:ascii="Arial" w:cs="Arial" w:eastAsia="Arial" w:hAnsi="Arial"/>
                <w:sz w:val="18"/>
                <w:szCs w:val="18"/>
                <w:color w:val="auto"/>
                <w:w w:val="87"/>
              </w:rPr>
              <w:t>Year ended December 31,</w:t>
            </w:r>
          </w:p>
        </w:tc>
      </w:tr>
      <w:tr>
        <w:trPr>
          <w:trHeight w:val="220"/>
        </w:trPr>
        <w:tc>
          <w:tcPr>
            <w:tcW w:w="4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r>
      <w:tr>
        <w:trPr>
          <w:trHeight w:val="20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6.7 years</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6.8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 years</w:t>
            </w:r>
          </w:p>
        </w:tc>
        <w:tc>
          <w:tcPr>
            <w:tcW w:w="20" w:type="dxa"/>
            <w:vAlign w:val="bottom"/>
          </w:tcPr>
          <w:p>
            <w:pPr>
              <w:spacing w:after="0"/>
              <w:rPr>
                <w:sz w:val="18"/>
                <w:szCs w:val="18"/>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72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bl>
    <w:p>
      <w:pPr>
        <w:spacing w:after="0" w:line="217"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 xml:space="preserve">Expected Option Term </w:t>
      </w:r>
      <w:r>
        <w:rPr>
          <w:rFonts w:ascii="Arial" w:cs="Arial" w:eastAsia="Arial" w:hAnsi="Arial"/>
          <w:sz w:val="16"/>
          <w:szCs w:val="16"/>
          <w:color w:val="auto"/>
        </w:rPr>
        <w:t>- This is the weighted average period of time over which the options granted are expected to remain outstanding giving consideration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historical exercise patterns. Options granted have a maximum term of ten years and an increase in the expected term will increase compensation expense.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recent period approximately equal to the expected option term of the grant. An increase in the expected volatility factor will increase compensation expense.</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 option.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risk-free interest rate will increase compensation expense.</w:t>
      </w:r>
    </w:p>
    <w:p>
      <w:pPr>
        <w:spacing w:after="0" w:line="206"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b w:val="1"/>
          <w:bCs w:val="1"/>
          <w:i w:val="1"/>
          <w:iCs w:val="1"/>
          <w:color w:val="auto"/>
        </w:rPr>
        <w:t xml:space="preserve">Dividend Yield </w:t>
      </w:r>
      <w:r>
        <w:rPr>
          <w:rFonts w:ascii="Arial" w:cs="Arial" w:eastAsia="Arial" w:hAnsi="Arial"/>
          <w:sz w:val="17"/>
          <w:szCs w:val="17"/>
          <w:color w:val="auto"/>
        </w:rPr>
        <w:t>– We began paying a quarterly dividend of $.06 per share to common shareholders in December 2012. We will develop an assumption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yield beginning with stock option grants made in 2013. An increase in the dividend yield will decrease compensation expense.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years ending December 31, 2012, 2011 and 2010, we recorded $520,000, $587,000, and $565,000 of share-based compensation expense, respectively, included primarily in general and administrative expense in our Consolidated Statements of Income. We also recorded income tax benefits of approximately $183,000, $195,000, and $186,000 in 2012, 2011, and 2010 respectively, related to such share-based compensation. At December 31, 2012, these benefits are recorded as a deferred tax asset in the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1996 Stock Plan, 1996 Directors’ Stock Plan, 2001 Employee Stock Plan and 2005 Equity Incentive Plan option activity is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Weighted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Weighted</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Average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1840" w:type="dxa"/>
            <w:vAlign w:val="bottom"/>
            <w:gridSpan w:val="5"/>
          </w:tcPr>
          <w:p>
            <w:pPr>
              <w:ind w:left="40"/>
              <w:spacing w:after="0"/>
              <w:rPr>
                <w:sz w:val="20"/>
                <w:szCs w:val="20"/>
                <w:color w:val="auto"/>
              </w:rPr>
            </w:pPr>
            <w:r>
              <w:rPr>
                <w:rFonts w:ascii="Arial" w:cs="Arial" w:eastAsia="Arial" w:hAnsi="Arial"/>
                <w:sz w:val="18"/>
                <w:szCs w:val="18"/>
                <w:color w:val="auto"/>
                <w:w w:val="99"/>
              </w:rPr>
              <w:t>Remaining  Aggregate</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Number of</w:t>
            </w:r>
          </w:p>
        </w:tc>
        <w:tc>
          <w:tcPr>
            <w:tcW w:w="16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Exercise</w:t>
            </w: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Contractual</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8"/>
              </w:rPr>
              <w:t>Shares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7"/>
              </w:rPr>
              <w:t>Price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816,708</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(51,122)</w:t>
            </w: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(60,125)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Cancelled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lef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760" w:type="dxa"/>
            <w:vAlign w:val="bottom"/>
          </w:tcPr>
          <w:p>
            <w:pPr>
              <w:jc w:val="right"/>
              <w:spacing w:after="0"/>
              <w:rPr>
                <w:sz w:val="20"/>
                <w:szCs w:val="20"/>
                <w:color w:val="auto"/>
              </w:rPr>
            </w:pPr>
            <w:r>
              <w:rPr>
                <w:rFonts w:ascii="Arial" w:cs="Arial" w:eastAsia="Arial" w:hAnsi="Arial"/>
                <w:sz w:val="18"/>
                <w:szCs w:val="18"/>
                <w:color w:val="auto"/>
              </w:rPr>
              <w:t>849,961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w w:val="87"/>
              </w:rPr>
              <w:t>5.4 years $</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765,000</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3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Options exercisable at December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525,961</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w:t>
            </w:r>
          </w:p>
        </w:tc>
        <w:tc>
          <w:tcPr>
            <w:tcW w:w="10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87"/>
              </w:rPr>
              <w:t>3.7 years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463,000</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vMerge w:val="continue"/>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Options vested or expected to vest</w:t>
            </w:r>
          </w:p>
        </w:tc>
        <w:tc>
          <w:tcPr>
            <w:tcW w:w="760" w:type="dxa"/>
            <w:vAlign w:val="bottom"/>
          </w:tcPr>
          <w:p>
            <w:pPr>
              <w:jc w:val="right"/>
              <w:spacing w:after="0"/>
              <w:rPr>
                <w:sz w:val="20"/>
                <w:szCs w:val="20"/>
                <w:color w:val="auto"/>
              </w:rPr>
            </w:pPr>
            <w:r>
              <w:rPr>
                <w:rFonts w:ascii="Arial" w:cs="Arial" w:eastAsia="Arial" w:hAnsi="Arial"/>
                <w:sz w:val="18"/>
                <w:szCs w:val="18"/>
                <w:color w:val="auto"/>
              </w:rPr>
              <w:t>775,860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w w:val="87"/>
              </w:rPr>
              <w:t>5.9 years $</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737,000</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ind w:left="540"/>
              <w:spacing w:after="0"/>
              <w:rPr>
                <w:sz w:val="20"/>
                <w:szCs w:val="20"/>
                <w:color w:val="auto"/>
              </w:rPr>
            </w:pPr>
            <w:r>
              <w:rPr>
                <w:rFonts w:ascii="Arial" w:cs="Arial" w:eastAsia="Arial" w:hAnsi="Arial"/>
                <w:sz w:val="18"/>
                <w:szCs w:val="18"/>
                <w:color w:val="auto"/>
              </w:rPr>
              <w:t>F-15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0" w:type="dxa"/>
            <w:vAlign w:val="bottom"/>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795" w:gutter="0" w:footer="0" w:header="0"/>
        </w:sectPr>
      </w:pPr>
    </w:p>
    <w:bookmarkStart w:id="49" w:name="page50"/>
    <w:bookmarkEnd w:id="49"/>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that are issued upon exercise of employee stock options are newly issued shares and not issued from treasury stock. As of December 31, 2012, unrecognized compensation cost related to stock options is approximately $1,018,000, which is expected to be recognized over a weighted average period of 2.5 years.</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total intrinsic value of stock options exercised was $222,000, $1,576,000 and $299,000 and the total fair value of stock options vested was $641,000, $504,000, and $424,000 during the years ended December 31, 2012, 2011 and 2010, respectively. Cash received from option exercises was $172,000, $959,000 and $393,000 for 2012, 2011 and 2010, respectively. We recorded a realized tax benefit in 2012 from equity-based awards of $57,000 related to options exercised which has been included as a component of cash flows from financing activities in the Consolidated Statement of Cash Flows.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Under the 1996 Stock Plan, 2001 Employee Stock Plan and 2005 Equity Incentive Plan, we granted shares of restricted common stock, for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officers, directors and certain key employees. As of December 31, 2012, there was no unrecognized compensation cost related to restricted stock and all previously issued restricted shares are fully vested.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paid a portion of the 2011, 2010 and 2009 incentive bonus for the chief executive officer and chief financial officer in the form of 20,055, 14,323 and 10,204 deferred stock units, respectively, with a corresponding credit recorded to Additional Paid in Capital in the amounts of $134,000, $141,000 and $77,000 in 2012, 2011 and 2010, respectively. Such deferred stock units were granted in March 2012, 2011 and 2010, respectively, and were fully vested at the time of grant. These units will be converted three years from the grant date to shares of the Company’s common stock on a one-for-one basis. The weighted average exercise price of the deferred stock units was $7.92.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are as follows:</w:t>
      </w:r>
    </w:p>
    <w:p>
      <w:pPr>
        <w:spacing w:after="0" w:line="24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Year Ended December 31,</w:t>
      </w:r>
    </w:p>
    <w:p>
      <w:pPr>
        <w:spacing w:after="0" w:line="17" w:lineRule="exact"/>
        <w:rPr>
          <w:sz w:val="20"/>
          <w:szCs w:val="20"/>
          <w:color w:val="auto"/>
        </w:rPr>
      </w:pPr>
    </w:p>
    <w:p>
      <w:pPr>
        <w:spacing w:after="0"/>
        <w:tabs>
          <w:tab w:leader="none" w:pos="4640" w:val="left"/>
          <w:tab w:leader="none" w:pos="5420" w:val="left"/>
          <w:tab w:leader="none" w:pos="6200" w:val="left"/>
        </w:tabs>
        <w:rPr>
          <w:sz w:val="20"/>
          <w:szCs w:val="20"/>
          <w:color w:val="auto"/>
        </w:rPr>
      </w:pPr>
      <w:r>
        <w:rPr>
          <w:rFonts w:ascii="Arial" w:cs="Arial" w:eastAsia="Arial" w:hAnsi="Arial"/>
          <w:sz w:val="18"/>
          <w:szCs w:val="18"/>
          <w:i w:val="1"/>
          <w:iCs w:val="1"/>
          <w:color w:val="auto"/>
        </w:rPr>
        <w:t>(In thousands)</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13335</wp:posOffset>
            </wp:positionV>
            <wp:extent cx="1447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434403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4035" cy="13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1,695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State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Federal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ind w:left="620"/>
              <w:spacing w:after="0"/>
              <w:rPr>
                <w:sz w:val="20"/>
                <w:szCs w:val="20"/>
                <w:color w:val="auto"/>
              </w:rPr>
            </w:pPr>
            <w:r>
              <w:rPr>
                <w:rFonts w:ascii="Arial" w:cs="Arial" w:eastAsia="Arial" w:hAnsi="Arial"/>
                <w:sz w:val="18"/>
                <w:szCs w:val="18"/>
                <w:color w:val="auto"/>
              </w:rPr>
              <w:t>State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Foreign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effective tax rates were 35.2%, 33.3% and 33.0% for the years ended December 31, 2012, 2011 and 2010, respectively. The effective tax rate for 2012 is higher because it does not include a benefit from the federal research and development (“R&amp;D”) credit, which is normally included in our tax rate, as this credit expired at the end of 2011 and was not renewed until January 2, 2013 as a component of the American Taxpayer Relief Act of 2012 (the “Act”). Since the Act was not signed until 2013, the cumulative impact of the 2012 R&amp;D credit will be reflected as a discrete item in the first quarter of 2013. Had the R&amp;D credit been included in our effective tax rate for 2012, it would have lowered our income tax provision and effective tax rate, by approximately $220,000 and 400 basis points.</w:t>
      </w:r>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At December 31, 2012, we have no federal or state net operating loss carryforwards. We also have approximately $51,000 in state tax credit carryforwards that begin to expire in 2013. Foreign income before taxes was $92,000, $68,000 and $35,000 in 2012, 2011 and 2010,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50" w:name="page51"/>
    <w:bookmarkEnd w:id="50"/>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gross deferred tax assets and liabilities were comprised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ind w:left="780"/>
              <w:spacing w:after="0"/>
              <w:rPr>
                <w:sz w:val="20"/>
                <w:szCs w:val="20"/>
                <w:color w:val="auto"/>
              </w:rPr>
            </w:pPr>
            <w:r>
              <w:rPr>
                <w:rFonts w:ascii="Arial" w:cs="Arial" w:eastAsia="Arial" w:hAnsi="Arial"/>
                <w:sz w:val="18"/>
                <w:szCs w:val="18"/>
                <w:color w:val="auto"/>
              </w:rPr>
              <w:t>Foreign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Capitalized 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ind w:left="780"/>
              <w:spacing w:after="0"/>
              <w:rPr>
                <w:sz w:val="20"/>
                <w:szCs w:val="20"/>
                <w:color w:val="auto"/>
              </w:rPr>
            </w:pPr>
            <w:r>
              <w:rPr>
                <w:rFonts w:ascii="Arial" w:cs="Arial" w:eastAsia="Arial" w:hAnsi="Arial"/>
                <w:sz w:val="18"/>
                <w:szCs w:val="18"/>
                <w:color w:val="auto"/>
              </w:rPr>
              <w:t>Inventory reserves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ind w:left="780"/>
              <w:spacing w:after="0"/>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ind w:left="780"/>
              <w:spacing w:after="0"/>
              <w:rPr>
                <w:sz w:val="20"/>
                <w:szCs w:val="20"/>
                <w:color w:val="auto"/>
              </w:rPr>
            </w:pPr>
            <w:r>
              <w:rPr>
                <w:rFonts w:ascii="Arial" w:cs="Arial" w:eastAsia="Arial" w:hAnsi="Arial"/>
                <w:sz w:val="18"/>
                <w:szCs w:val="18"/>
                <w:color w:val="auto"/>
              </w:rPr>
              <w:t>Foreign tax and other credits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liabilities and reserves</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tcPr>
          <w:p>
            <w:pPr>
              <w:ind w:left="1420"/>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Borders>
              <w:top w:val="single" w:sz="8" w:color="CCEEFF"/>
            </w:tcBorders>
          </w:tcPr>
          <w:p>
            <w:pPr>
              <w:ind w:left="20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ind w:left="7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A valuation allowance of $216,000 has been established for foreign net operating loss carryforwards of $186,000 and state tax credit carryforwards of $30,000 that are not expected to be used. The following table summarizes the activity recorded in the valuation allowance on the deferred tax assets: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7"/>
          </w:tcPr>
          <w:p>
            <w:pPr>
              <w:jc w:val="right"/>
              <w:ind w:right="191"/>
              <w:spacing w:after="0"/>
              <w:rPr>
                <w:sz w:val="20"/>
                <w:szCs w:val="20"/>
                <w:color w:val="auto"/>
              </w:rPr>
            </w:pPr>
            <w:r>
              <w:rPr>
                <w:rFonts w:ascii="Arial" w:cs="Arial" w:eastAsia="Arial" w:hAnsi="Arial"/>
                <w:sz w:val="18"/>
                <w:szCs w:val="18"/>
                <w:color w:val="auto"/>
                <w:w w:val="94"/>
              </w:rPr>
              <w:t>Year ended December 31,</w:t>
            </w: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2010</w:t>
            </w:r>
          </w:p>
        </w:tc>
      </w:tr>
      <w:tr>
        <w:trPr>
          <w:trHeight w:val="207"/>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Additions charged to income tax provision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6"/>
        </w:trPr>
        <w:tc>
          <w:tcPr>
            <w:tcW w:w="2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Reductions credited to income tax provision</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3"/>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0" w:type="dxa"/>
            <w:vAlign w:val="bottom"/>
            <w:gridSpan w:val="6"/>
          </w:tcPr>
          <w:p>
            <w:pPr>
              <w:jc w:val="center"/>
              <w:ind w:right="8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2011</w:t>
            </w: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income taxes, net of federal income taxes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from tax credits, net of valuation allowance</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Valuation allowance and tax accruals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2012 and 2011, we had approximately $251,000 and $228,000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Tax positions taken during the current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Unrecognized tax benefits as of December 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992" w:gutter="0" w:footer="0" w:header="0"/>
        </w:sectPr>
      </w:pPr>
    </w:p>
    <w:bookmarkStart w:id="51" w:name="page52"/>
    <w:bookmarkEnd w:id="51"/>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2011 remain open to examination. Various state and foreign tax jurisdiction tax years remain open to examination as well, though we believe that any additional assessment would be immaterial to the Consolidated Financial Statements. Subsequent to December 31, 2012, we were notified that our 2010 federal tax return will be examined. No state or foreign tax jurisdiction income tax returns are currently under examination.</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do not anticipate that the total unrecognized tax benefits of approximately $251,000 will significantly change due to the settlement of audits and the expiration of statute of limitations prior to December 31, 2013.</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December 31, 2012 and 2011, we have approximately $46,000 and $23,000, respectively, of accrued interest and penalties related to uncertain tax positions.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2012, 2011 and 2010, earnings per share were computed as follows (in thousands, except per share amounts):</w:t>
      </w:r>
    </w:p>
    <w:p>
      <w:pPr>
        <w:sectPr>
          <w:pgSz w:w="11900" w:h="16838" w:orient="portrait"/>
          <w:cols w:equalWidth="0" w:num="1">
            <w:col w:w="11420"/>
          </w:cols>
          <w:pgMar w:left="240" w:top="2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4344035" cy="169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44035" cy="16954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4344035" cy="135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4035" cy="13525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auto"/>
        </w:rPr>
        <w:t>Basic: Weighted average common shares outstanding Add: Dilutive effect of outstanding options as determined by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4344035" cy="287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4035" cy="287655"/>
                    </a:xfrm>
                    <a:prstGeom prst="rect">
                      <a:avLst/>
                    </a:prstGeom>
                    <a:noFill/>
                  </pic:spPr>
                </pic:pic>
              </a:graphicData>
            </a:graphic>
          </wp:anchor>
        </w:drawing>
      </w:r>
    </w:p>
    <w:p>
      <w:pPr>
        <w:ind w:right="560"/>
        <w:spacing w:after="0" w:line="267" w:lineRule="auto"/>
        <w:rPr>
          <w:sz w:val="20"/>
          <w:szCs w:val="20"/>
          <w:color w:val="auto"/>
        </w:rPr>
      </w:pPr>
      <w:r>
        <w:rPr>
          <w:rFonts w:ascii="Arial" w:cs="Arial" w:eastAsia="Arial" w:hAnsi="Arial"/>
          <w:sz w:val="18"/>
          <w:szCs w:val="18"/>
          <w:color w:val="auto"/>
        </w:rPr>
        <w:t>Diluted: Weighted average common and common equivalent shares outstanding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638"/>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p>
    <w:p>
      <w:pPr>
        <w:ind w:left="162"/>
        <w:spacing w:after="0"/>
        <w:tabs>
          <w:tab w:leader="none" w:pos="1001" w:val="left"/>
          <w:tab w:leader="none" w:pos="1821"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1515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ind w:left="302" w:hanging="302"/>
        <w:spacing w:after="0"/>
        <w:tabs>
          <w:tab w:leader="none" w:pos="3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3,621  $   4,676  $   3,904</w:t>
      </w:r>
    </w:p>
    <w:p>
      <w:pPr>
        <w:spacing w:after="0" w:line="200" w:lineRule="exact"/>
        <w:rPr>
          <w:sz w:val="20"/>
          <w:szCs w:val="20"/>
          <w:color w:val="auto"/>
        </w:rPr>
      </w:pPr>
    </w:p>
    <w:p>
      <w:pPr>
        <w:spacing w:after="0" w:line="286" w:lineRule="exact"/>
        <w:rPr>
          <w:sz w:val="20"/>
          <w:szCs w:val="20"/>
          <w:color w:val="auto"/>
        </w:rPr>
      </w:pPr>
    </w:p>
    <w:p>
      <w:pPr>
        <w:ind w:left="302"/>
        <w:spacing w:after="0"/>
        <w:tabs>
          <w:tab w:leader="none" w:pos="1121" w:val="left"/>
          <w:tab w:leader="none" w:pos="1961" w:val="left"/>
        </w:tabs>
        <w:rPr>
          <w:sz w:val="20"/>
          <w:szCs w:val="20"/>
          <w:color w:val="auto"/>
        </w:rPr>
      </w:pPr>
      <w:r>
        <w:rPr>
          <w:rFonts w:ascii="Arial" w:cs="Arial" w:eastAsia="Arial" w:hAnsi="Arial"/>
          <w:sz w:val="18"/>
          <w:szCs w:val="18"/>
          <w:color w:val="auto"/>
        </w:rPr>
        <w:t>9,032</w:t>
      </w:r>
      <w:r>
        <w:rPr>
          <w:sz w:val="20"/>
          <w:szCs w:val="20"/>
          <w:color w:val="auto"/>
        </w:rPr>
        <w:tab/>
      </w:r>
      <w:r>
        <w:rPr>
          <w:rFonts w:ascii="Arial" w:cs="Arial" w:eastAsia="Arial" w:hAnsi="Arial"/>
          <w:sz w:val="18"/>
          <w:szCs w:val="18"/>
          <w:color w:val="auto"/>
        </w:rPr>
        <w:t>9,443</w:t>
      </w:r>
      <w:r>
        <w:rPr>
          <w:sz w:val="20"/>
          <w:szCs w:val="20"/>
          <w:color w:val="auto"/>
        </w:rPr>
        <w:tab/>
      </w:r>
      <w:r>
        <w:rPr>
          <w:rFonts w:ascii="Arial" w:cs="Arial" w:eastAsia="Arial" w:hAnsi="Arial"/>
          <w:sz w:val="14"/>
          <w:szCs w:val="14"/>
          <w:color w:val="auto"/>
        </w:rPr>
        <w:t>9,390</w:t>
      </w:r>
    </w:p>
    <w:p>
      <w:pPr>
        <w:spacing w:after="0" w:line="233" w:lineRule="exact"/>
        <w:rPr>
          <w:sz w:val="20"/>
          <w:szCs w:val="20"/>
          <w:color w:val="auto"/>
        </w:rPr>
      </w:pPr>
    </w:p>
    <w:p>
      <w:pPr>
        <w:jc w:val="both"/>
        <w:ind w:left="522"/>
        <w:spacing w:after="0"/>
        <w:tabs>
          <w:tab w:leader="none" w:pos="1261" w:val="left"/>
          <w:tab w:leader="none" w:pos="2101"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160</w:t>
      </w:r>
      <w:r>
        <w:rPr>
          <w:sz w:val="20"/>
          <w:szCs w:val="20"/>
          <w:color w:val="auto"/>
        </w:rPr>
        <w:tab/>
      </w:r>
      <w:r>
        <w:rPr>
          <w:rFonts w:ascii="Arial" w:cs="Arial" w:eastAsia="Arial" w:hAnsi="Arial"/>
          <w:sz w:val="14"/>
          <w:szCs w:val="14"/>
          <w:color w:val="auto"/>
        </w:rPr>
        <w:t>200</w:t>
      </w:r>
    </w:p>
    <w:p>
      <w:pPr>
        <w:spacing w:after="0" w:line="260" w:lineRule="exact"/>
        <w:rPr>
          <w:sz w:val="20"/>
          <w:szCs w:val="20"/>
          <w:color w:val="auto"/>
        </w:rPr>
      </w:pPr>
    </w:p>
    <w:p>
      <w:pPr>
        <w:ind w:left="302"/>
        <w:spacing w:after="0"/>
        <w:tabs>
          <w:tab w:leader="none" w:pos="1121" w:val="left"/>
          <w:tab w:leader="none" w:pos="1961" w:val="left"/>
        </w:tabs>
        <w:rPr>
          <w:sz w:val="20"/>
          <w:szCs w:val="20"/>
          <w:color w:val="auto"/>
        </w:rPr>
      </w:pPr>
      <w:r>
        <w:rPr>
          <w:rFonts w:ascii="Arial" w:cs="Arial" w:eastAsia="Arial" w:hAnsi="Arial"/>
          <w:sz w:val="18"/>
          <w:szCs w:val="18"/>
          <w:color w:val="auto"/>
        </w:rPr>
        <w:t>9,121</w:t>
      </w:r>
      <w:r>
        <w:rPr>
          <w:sz w:val="20"/>
          <w:szCs w:val="20"/>
          <w:color w:val="auto"/>
        </w:rPr>
        <w:tab/>
      </w:r>
      <w:r>
        <w:rPr>
          <w:rFonts w:ascii="Arial" w:cs="Arial" w:eastAsia="Arial" w:hAnsi="Arial"/>
          <w:sz w:val="18"/>
          <w:szCs w:val="18"/>
          <w:color w:val="auto"/>
        </w:rPr>
        <w:t>9,603</w:t>
      </w:r>
      <w:r>
        <w:rPr>
          <w:sz w:val="20"/>
          <w:szCs w:val="20"/>
          <w:color w:val="auto"/>
        </w:rPr>
        <w:tab/>
      </w:r>
      <w:r>
        <w:rPr>
          <w:rFonts w:ascii="Arial" w:cs="Arial" w:eastAsia="Arial" w:hAnsi="Arial"/>
          <w:sz w:val="14"/>
          <w:szCs w:val="14"/>
          <w:color w:val="auto"/>
        </w:rPr>
        <w:t>9,590</w:t>
      </w:r>
    </w:p>
    <w:p>
      <w:pPr>
        <w:spacing w:after="0" w:line="17" w:lineRule="exact"/>
        <w:rPr>
          <w:sz w:val="20"/>
          <w:szCs w:val="20"/>
          <w:color w:val="auto"/>
        </w:rPr>
      </w:pPr>
    </w:p>
    <w:p>
      <w:pPr>
        <w:sectPr>
          <w:pgSz w:w="11900" w:h="16838" w:orient="portrait"/>
          <w:cols w:equalWidth="0" w:num="2">
            <w:col w:w="4140" w:space="258"/>
            <w:col w:w="7022"/>
          </w:cols>
          <w:pgMar w:left="240" w:top="268"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3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r>
      <w:tr>
        <w:trPr>
          <w:trHeight w:val="224"/>
        </w:trPr>
        <w:tc>
          <w:tcPr>
            <w:tcW w:w="3320" w:type="dxa"/>
            <w:vAlign w:val="bottom"/>
          </w:tcPr>
          <w:p>
            <w:pPr>
              <w:ind w:left="64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bl>
    <w:p>
      <w:pPr>
        <w:spacing w:after="0" w:line="217"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compute earnings per share using the two-class method, which is an earnings allocation formula that determines earnings per share for common stock and participating securities. Restricted stock granted by the Company is considered a participating security since it contains a non-forfeitable right to dividends.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stock-based awards were not included in the full year computation of earnings per diluted share because the effect would be anti-dilutive. Anti-dilutive stock options, restricted shares and deferred stock units excluded from the computation of earnings per dilutive share were 585,125, 309,250, and 367,750, at December 31, 2012, 2011 and 2010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repurchase program</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We use the cost method to account for treasury stock purchases, under which the price paid for the stock is charged to the treasury stock account. Repurchases of our common stock are accounted for as of the settlement date. For the year ended December 31, 2012, we repurchased 721,184 shares of common stock for approximately $5,938,000, at an average price of $8.23 per share, under the Stock Repurchase Program. From January 1, 2005 through December 31, 2012, we repurchased a total of 2,182,877 shares of common stock for approximately $17,333,000 under all of our stock repurchase programs, at an average price of $7.94 per share. At December 31, 2012, approximately $6,206,000 remains authorized for future repurchases under the Stock Repurchase Program.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type w:val="continuous"/>
        </w:sectPr>
      </w:pPr>
    </w:p>
    <w:bookmarkStart w:id="52" w:name="page53"/>
    <w:bookmarkEnd w:id="52"/>
    <w:p>
      <w:pPr>
        <w:ind w:left="3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area information</w:t>
      </w:r>
    </w:p>
    <w:p>
      <w:pPr>
        <w:spacing w:after="0" w:line="25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vendor.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8"/>
          </w:tcPr>
          <w:p>
            <w:pPr>
              <w:jc w:val="center"/>
              <w:ind w:right="180"/>
              <w:spacing w:after="0"/>
              <w:rPr>
                <w:sz w:val="20"/>
                <w:szCs w:val="20"/>
                <w:color w:val="auto"/>
              </w:rPr>
            </w:pPr>
            <w:r>
              <w:rPr>
                <w:rFonts w:ascii="Arial" w:cs="Arial" w:eastAsia="Arial" w:hAnsi="Arial"/>
                <w:sz w:val="18"/>
                <w:szCs w:val="18"/>
                <w:color w:val="auto"/>
                <w:w w:val="87"/>
              </w:rPr>
              <w:t>Year Ended December 31,</w:t>
            </w:r>
          </w:p>
        </w:tc>
        <w:tc>
          <w:tcPr>
            <w:tcW w:w="0" w:type="dxa"/>
            <w:vAlign w:val="bottom"/>
          </w:tcPr>
          <w:p>
            <w:pPr>
              <w:spacing w:after="0"/>
              <w:rPr>
                <w:sz w:val="1"/>
                <w:szCs w:val="1"/>
                <w:color w:val="auto"/>
              </w:rPr>
            </w:pPr>
          </w:p>
        </w:tc>
      </w:tr>
      <w:tr>
        <w:trPr>
          <w:trHeight w:val="221"/>
        </w:trPr>
        <w:tc>
          <w:tcPr>
            <w:tcW w:w="4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2012</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4"/>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49,932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49,301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44,101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International</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18,454</w:t>
            </w:r>
          </w:p>
        </w:tc>
        <w:tc>
          <w:tcPr>
            <w:tcW w:w="14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16,668</w:t>
            </w:r>
          </w:p>
        </w:tc>
        <w:tc>
          <w:tcPr>
            <w:tcW w:w="12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68,386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65,969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63,194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United States</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Pr>
          <w:p>
            <w:pPr>
              <w:ind w:left="30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to international customers were approximately 27%, 25%, and 30% in 2012, 2011, and 2010 respectively. Sales to the United Kingdom represented 52%, 51%, and 43%, sales to the Pacific Rim (which includes Australia and Asia) represented 18%, 25%, and 18%, and sales to Canada represented 16%, 6%, and 20% of total international sales in 2012, 2011, and 2010 respectively. International long-lived assets consist of net fixed assets located at our foreign subsidiary in the United Kingdom as well as our contract manufacturers in China, Malaysia and Mexico.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for 2012 and 2011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color w:val="auto"/>
                <w:w w:val="94"/>
              </w:rPr>
              <w:t>Quarter Ended</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9"/>
              </w:rPr>
              <w:t>September</w:t>
            </w:r>
          </w:p>
        </w:tc>
        <w:tc>
          <w:tcPr>
            <w:tcW w:w="74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w:t>
            </w:r>
          </w:p>
        </w:tc>
        <w:tc>
          <w:tcPr>
            <w:tcW w:w="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vMerge w:val="continue"/>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March 31</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6"/>
              </w:rPr>
              <w:t>June 30</w:t>
            </w:r>
          </w:p>
        </w:tc>
        <w:tc>
          <w:tcPr>
            <w:tcW w:w="240" w:type="dxa"/>
            <w:vAlign w:val="bottom"/>
          </w:tcPr>
          <w:p>
            <w:pPr>
              <w:spacing w:after="0"/>
              <w:rPr>
                <w:sz w:val="19"/>
                <w:szCs w:val="19"/>
                <w:color w:val="auto"/>
              </w:rPr>
            </w:pPr>
          </w:p>
        </w:tc>
        <w:tc>
          <w:tcPr>
            <w:tcW w:w="540" w:type="dxa"/>
            <w:vAlign w:val="bottom"/>
          </w:tcPr>
          <w:p>
            <w:pPr>
              <w:jc w:val="right"/>
              <w:ind w:right="21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1"/>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8"/>
                <w:szCs w:val="18"/>
                <w:color w:val="auto"/>
              </w:rPr>
              <w:t>2012:</w:t>
            </w: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  17,559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15,853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15,358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19,616</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6,778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5,842</w:t>
            </w: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5,679</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7,683</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1,882</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640"/>
              <w:spacing w:after="0"/>
              <w:rPr>
                <w:sz w:val="20"/>
                <w:szCs w:val="20"/>
                <w:color w:val="auto"/>
              </w:rPr>
            </w:pPr>
            <w:r>
              <w:rPr>
                <w:rFonts w:ascii="Arial" w:cs="Arial" w:eastAsia="Arial" w:hAnsi="Arial"/>
                <w:sz w:val="18"/>
                <w:szCs w:val="18"/>
                <w:color w:val="auto"/>
              </w:rPr>
              <w:t>Net income per share: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128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3440" w:type="dxa"/>
            <w:vAlign w:val="bottom"/>
          </w:tcPr>
          <w:p>
            <w:pPr>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20,694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13,645</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6,932</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6,663</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5,350</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5,681</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640"/>
              <w:spacing w:after="0"/>
              <w:rPr>
                <w:sz w:val="20"/>
                <w:szCs w:val="20"/>
                <w:color w:val="auto"/>
              </w:rPr>
            </w:pPr>
            <w:r>
              <w:rPr>
                <w:rFonts w:ascii="Arial" w:cs="Arial" w:eastAsia="Arial" w:hAnsi="Arial"/>
                <w:sz w:val="18"/>
                <w:szCs w:val="18"/>
                <w:color w:val="auto"/>
              </w:rPr>
              <w:t>Net income per share: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128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F-19</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34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3.1(a)</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26"/>
        </w:trPr>
        <w:tc>
          <w:tcPr>
            <w:tcW w:w="78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Delaware on June 17, 1996.</w:t>
            </w:r>
          </w:p>
        </w:tc>
        <w:tc>
          <w:tcPr>
            <w:tcW w:w="520" w:type="dxa"/>
            <w:vAlign w:val="bottom"/>
            <w:shd w:val="clear" w:color="auto" w:fill="CCEEFF"/>
          </w:tcPr>
          <w:p>
            <w:pPr>
              <w:spacing w:after="0"/>
              <w:rPr>
                <w:sz w:val="19"/>
                <w:szCs w:val="19"/>
                <w:color w:val="auto"/>
              </w:rPr>
            </w:pP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120" w:type="dxa"/>
            <w:vAlign w:val="bottom"/>
          </w:tcPr>
          <w:p>
            <w:pPr>
              <w:ind w:left="180"/>
              <w:spacing w:after="0"/>
              <w:rPr>
                <w:sz w:val="20"/>
                <w:szCs w:val="20"/>
                <w:color w:val="auto"/>
              </w:rPr>
            </w:pPr>
            <w:r>
              <w:rPr>
                <w:rFonts w:ascii="Arial" w:cs="Arial" w:eastAsia="Arial" w:hAnsi="Arial"/>
                <w:sz w:val="18"/>
                <w:szCs w:val="18"/>
                <w:color w:val="auto"/>
                <w:w w:val="92"/>
              </w:rPr>
              <w:t>Certificate of Amendment of Certificate of Incorporation of the Company, filed with the Secretary of State of Delaware on June 4, 1997.</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3.1(c)</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3.1(d)</w:t>
            </w:r>
          </w:p>
        </w:tc>
        <w:tc>
          <w:tcPr>
            <w:tcW w:w="10120" w:type="dxa"/>
            <w:vAlign w:val="bottom"/>
          </w:tcPr>
          <w:p>
            <w:pPr>
              <w:ind w:left="180"/>
              <w:spacing w:after="0"/>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Amended and Restated By-laws of the Company.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tcPr>
          <w:p>
            <w:pPr>
              <w:ind w:left="180"/>
              <w:spacing w:after="0"/>
              <w:rPr>
                <w:sz w:val="20"/>
                <w:szCs w:val="20"/>
                <w:color w:val="auto"/>
              </w:rPr>
            </w:pPr>
            <w:r>
              <w:rPr>
                <w:rFonts w:ascii="Arial" w:cs="Arial" w:eastAsia="Arial" w:hAnsi="Arial"/>
                <w:sz w:val="18"/>
                <w:szCs w:val="18"/>
                <w:color w:val="auto"/>
              </w:rPr>
              <w:t>Specimen Common Stock Certificate.</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1996 Stock Plan, effective July 30, 1996.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10.2(x)</w:t>
            </w:r>
          </w:p>
        </w:tc>
        <w:tc>
          <w:tcPr>
            <w:tcW w:w="10120" w:type="dxa"/>
            <w:vAlign w:val="bottom"/>
          </w:tcPr>
          <w:p>
            <w:pPr>
              <w:ind w:left="180"/>
              <w:spacing w:after="0"/>
              <w:rPr>
                <w:sz w:val="20"/>
                <w:szCs w:val="20"/>
                <w:color w:val="auto"/>
              </w:rPr>
            </w:pPr>
            <w:r>
              <w:rPr>
                <w:rFonts w:ascii="Arial" w:cs="Arial" w:eastAsia="Arial" w:hAnsi="Arial"/>
                <w:sz w:val="18"/>
                <w:szCs w:val="18"/>
                <w:color w:val="auto"/>
              </w:rPr>
              <w:t>Non-Employee Directors’ Stock Plan, effective August 22,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10.3(x)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2001 Employee Stock Plan.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10.4(x)</w:t>
            </w:r>
          </w:p>
        </w:tc>
        <w:tc>
          <w:tcPr>
            <w:tcW w:w="10120" w:type="dxa"/>
            <w:vAlign w:val="bottom"/>
          </w:tcPr>
          <w:p>
            <w:pPr>
              <w:ind w:left="180"/>
              <w:spacing w:after="0"/>
              <w:rPr>
                <w:sz w:val="20"/>
                <w:szCs w:val="20"/>
                <w:color w:val="auto"/>
              </w:rPr>
            </w:pPr>
            <w:r>
              <w:rPr>
                <w:rFonts w:ascii="Arial" w:cs="Arial" w:eastAsia="Arial" w:hAnsi="Arial"/>
                <w:sz w:val="18"/>
                <w:szCs w:val="18"/>
                <w:color w:val="auto"/>
              </w:rPr>
              <w:t>2005 Equity Incentive Plan.</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10.5(x)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10.6(x)</w:t>
            </w:r>
          </w:p>
        </w:tc>
        <w:tc>
          <w:tcPr>
            <w:tcW w:w="10120" w:type="dxa"/>
            <w:vAlign w:val="bottom"/>
          </w:tcPr>
          <w:p>
            <w:pPr>
              <w:ind w:left="180"/>
              <w:spacing w:after="0"/>
              <w:rPr>
                <w:sz w:val="20"/>
                <w:szCs w:val="20"/>
                <w:color w:val="auto"/>
              </w:rPr>
            </w:pPr>
            <w:r>
              <w:rPr>
                <w:rFonts w:ascii="Arial" w:cs="Arial" w:eastAsia="Arial" w:hAnsi="Arial"/>
                <w:sz w:val="18"/>
                <w:szCs w:val="18"/>
                <w:color w:val="auto"/>
              </w:rPr>
              <w:t>Severance Agreement by and between TransAct and Benjamin C. Wyatt, dated May 27, 2008.</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10.7(x)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10.8(x)</w:t>
            </w:r>
          </w:p>
        </w:tc>
        <w:tc>
          <w:tcPr>
            <w:tcW w:w="10120" w:type="dxa"/>
            <w:vAlign w:val="bottom"/>
          </w:tcPr>
          <w:p>
            <w:pPr>
              <w:ind w:left="180"/>
              <w:spacing w:after="0"/>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(15)</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10.9(x)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10.10(x)</w:t>
            </w:r>
          </w:p>
        </w:tc>
        <w:tc>
          <w:tcPr>
            <w:tcW w:w="10120" w:type="dxa"/>
            <w:vAlign w:val="bottom"/>
          </w:tcPr>
          <w:p>
            <w:pPr>
              <w:ind w:left="180"/>
              <w:spacing w:after="0"/>
              <w:rPr>
                <w:sz w:val="20"/>
                <w:szCs w:val="20"/>
                <w:color w:val="auto"/>
              </w:rPr>
            </w:pPr>
            <w:r>
              <w:rPr>
                <w:rFonts w:ascii="Arial" w:cs="Arial" w:eastAsia="Arial" w:hAnsi="Arial"/>
                <w:sz w:val="18"/>
                <w:szCs w:val="18"/>
                <w:color w:val="auto"/>
              </w:rPr>
              <w:t>Amendment to Severance Agreement by and between TransAct and Benjamin C. Wyatt, effective January 1, 2008.</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10.11(x)</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10.12(x)</w:t>
            </w:r>
          </w:p>
        </w:tc>
        <w:tc>
          <w:tcPr>
            <w:tcW w:w="10120" w:type="dxa"/>
            <w:vAlign w:val="bottom"/>
          </w:tcPr>
          <w:p>
            <w:pPr>
              <w:ind w:left="180"/>
              <w:spacing w:after="0"/>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(16)</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120" w:type="dxa"/>
            <w:vAlign w:val="bottom"/>
          </w:tcPr>
          <w:p>
            <w:pPr>
              <w:ind w:left="180"/>
              <w:spacing w:after="0"/>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Agreement regarding the Continuation and Renewal of Lease by and between Bomax Properties, LLC and TransAct, dated July 18, 2001.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120" w:type="dxa"/>
            <w:vAlign w:val="bottom"/>
          </w:tcPr>
          <w:p>
            <w:pPr>
              <w:ind w:left="180"/>
              <w:spacing w:after="0"/>
              <w:rPr>
                <w:sz w:val="20"/>
                <w:szCs w:val="20"/>
                <w:color w:val="auto"/>
              </w:rPr>
            </w:pPr>
            <w:r>
              <w:rPr>
                <w:rFonts w:ascii="Arial" w:cs="Arial" w:eastAsia="Arial" w:hAnsi="Arial"/>
                <w:sz w:val="18"/>
                <w:szCs w:val="18"/>
                <w:color w:val="auto"/>
              </w:rPr>
              <w:t>Amendment No. 1 to Lease Agreement between Bomax Properties, LLC and Transact Technologies, Inc.</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(19)</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13"/>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120" w:type="dxa"/>
            <w:vAlign w:val="bottom"/>
          </w:tcPr>
          <w:p>
            <w:pPr>
              <w:ind w:left="180"/>
              <w:spacing w:after="0"/>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(17)</w:t>
            </w:r>
          </w:p>
        </w:tc>
      </w:tr>
      <w:tr>
        <w:trPr>
          <w:trHeight w:val="213"/>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r>
      <w:tr>
        <w:trPr>
          <w:trHeight w:val="201"/>
        </w:trPr>
        <w:tc>
          <w:tcPr>
            <w:tcW w:w="780" w:type="dxa"/>
            <w:vAlign w:val="bottom"/>
          </w:tcPr>
          <w:p>
            <w:pPr>
              <w:spacing w:after="0" w:line="201" w:lineRule="exact"/>
              <w:rPr>
                <w:sz w:val="20"/>
                <w:szCs w:val="20"/>
                <w:color w:val="auto"/>
              </w:rPr>
            </w:pPr>
            <w:r>
              <w:rPr>
                <w:rFonts w:ascii="Arial" w:cs="Arial" w:eastAsia="Arial" w:hAnsi="Arial"/>
                <w:sz w:val="18"/>
                <w:szCs w:val="18"/>
                <w:color w:val="auto"/>
              </w:rPr>
              <w:t>10.20</w:t>
            </w:r>
          </w:p>
        </w:tc>
        <w:tc>
          <w:tcPr>
            <w:tcW w:w="10120" w:type="dxa"/>
            <w:vAlign w:val="bottom"/>
          </w:tcPr>
          <w:p>
            <w:pPr>
              <w:ind w:left="180"/>
              <w:spacing w:after="0" w:line="201" w:lineRule="exact"/>
              <w:rPr>
                <w:sz w:val="20"/>
                <w:szCs w:val="20"/>
                <w:color w:val="auto"/>
              </w:rPr>
            </w:pPr>
            <w:r>
              <w:rPr>
                <w:rFonts w:ascii="Arial" w:cs="Arial" w:eastAsia="Arial" w:hAnsi="Arial"/>
                <w:sz w:val="18"/>
                <w:szCs w:val="18"/>
                <w:color w:val="auto"/>
                <w:w w:val="93"/>
              </w:rPr>
              <w:t>OEM Purchase Agreement by and between GTECH Corporation and TransAct, dated November 20, 2009.  (Pursuant to Rule 24-b-2</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87"/>
              </w:rPr>
              <w:t>(17)</w:t>
            </w:r>
          </w:p>
        </w:tc>
      </w:tr>
      <w:tr>
        <w:trPr>
          <w:trHeight w:val="224"/>
        </w:trPr>
        <w:tc>
          <w:tcPr>
            <w:tcW w:w="780" w:type="dxa"/>
            <w:vAlign w:val="bottom"/>
          </w:tcPr>
          <w:p>
            <w:pPr>
              <w:spacing w:after="0"/>
              <w:rPr>
                <w:sz w:val="19"/>
                <w:szCs w:val="19"/>
                <w:color w:val="auto"/>
              </w:rPr>
            </w:pPr>
          </w:p>
        </w:tc>
        <w:tc>
          <w:tcPr>
            <w:tcW w:w="10120" w:type="dxa"/>
            <w:vAlign w:val="bottom"/>
          </w:tcPr>
          <w:p>
            <w:pPr>
              <w:ind w:left="180"/>
              <w:spacing w:after="0"/>
              <w:rPr>
                <w:sz w:val="20"/>
                <w:szCs w:val="20"/>
                <w:color w:val="auto"/>
              </w:rPr>
            </w:pPr>
            <w:r>
              <w:rPr>
                <w:rFonts w:ascii="Arial" w:cs="Arial" w:eastAsia="Arial" w:hAnsi="Arial"/>
                <w:sz w:val="18"/>
                <w:szCs w:val="18"/>
                <w:color w:val="auto"/>
                <w:w w:val="96"/>
              </w:rPr>
              <w:t>under the Exchange Act, the Company has requested confidential treatment of portions of this exhibit deleted from the filed copy)</w:t>
            </w:r>
          </w:p>
        </w:tc>
        <w:tc>
          <w:tcPr>
            <w:tcW w:w="520" w:type="dxa"/>
            <w:vAlign w:val="bottom"/>
          </w:tcPr>
          <w:p>
            <w:pPr>
              <w:spacing w:after="0"/>
              <w:rPr>
                <w:sz w:val="19"/>
                <w:szCs w:val="19"/>
                <w:color w:val="auto"/>
              </w:rPr>
            </w:pPr>
          </w:p>
        </w:tc>
      </w:tr>
      <w:tr>
        <w:trPr>
          <w:trHeight w:val="215"/>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0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Amended and Restated Revolving Credit and Security Agreement between TransAct and TD Banknorth, N.A. dated November 28, 2006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r>
      <w:tr>
        <w:trPr>
          <w:trHeight w:val="201"/>
        </w:trPr>
        <w:tc>
          <w:tcPr>
            <w:tcW w:w="780" w:type="dxa"/>
            <w:vAlign w:val="bottom"/>
          </w:tcPr>
          <w:p>
            <w:pPr>
              <w:spacing w:after="0" w:line="201" w:lineRule="exact"/>
              <w:rPr>
                <w:sz w:val="20"/>
                <w:szCs w:val="20"/>
                <w:color w:val="auto"/>
              </w:rPr>
            </w:pPr>
            <w:r>
              <w:rPr>
                <w:rFonts w:ascii="Arial" w:cs="Arial" w:eastAsia="Arial" w:hAnsi="Arial"/>
                <w:sz w:val="18"/>
                <w:szCs w:val="18"/>
                <w:color w:val="auto"/>
              </w:rPr>
              <w:t>10.22</w:t>
            </w:r>
          </w:p>
        </w:tc>
        <w:tc>
          <w:tcPr>
            <w:tcW w:w="10120" w:type="dxa"/>
            <w:vAlign w:val="bottom"/>
          </w:tcPr>
          <w:p>
            <w:pPr>
              <w:ind w:left="180"/>
              <w:spacing w:after="0" w:line="201"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87"/>
              </w:rPr>
              <w:t>(14)</w:t>
            </w:r>
          </w:p>
        </w:tc>
      </w:tr>
      <w:tr>
        <w:trPr>
          <w:trHeight w:val="224"/>
        </w:trPr>
        <w:tc>
          <w:tcPr>
            <w:tcW w:w="780" w:type="dxa"/>
            <w:vAlign w:val="bottom"/>
          </w:tcPr>
          <w:p>
            <w:pPr>
              <w:spacing w:after="0"/>
              <w:rPr>
                <w:sz w:val="19"/>
                <w:szCs w:val="19"/>
                <w:color w:val="auto"/>
              </w:rPr>
            </w:pPr>
          </w:p>
        </w:tc>
        <w:tc>
          <w:tcPr>
            <w:tcW w:w="10120" w:type="dxa"/>
            <w:vAlign w:val="bottom"/>
          </w:tcPr>
          <w:p>
            <w:pPr>
              <w:ind w:left="180"/>
              <w:spacing w:after="0"/>
              <w:rPr>
                <w:sz w:val="20"/>
                <w:szCs w:val="20"/>
                <w:color w:val="auto"/>
              </w:rPr>
            </w:pPr>
            <w:r>
              <w:rPr>
                <w:rFonts w:ascii="Arial" w:cs="Arial" w:eastAsia="Arial" w:hAnsi="Arial"/>
                <w:sz w:val="18"/>
                <w:szCs w:val="18"/>
                <w:color w:val="auto"/>
              </w:rPr>
              <w:t>effective September 30, 2007.</w:t>
            </w:r>
          </w:p>
        </w:tc>
        <w:tc>
          <w:tcPr>
            <w:tcW w:w="520" w:type="dxa"/>
            <w:vAlign w:val="bottom"/>
          </w:tcPr>
          <w:p>
            <w:pPr>
              <w:spacing w:after="0"/>
              <w:rPr>
                <w:sz w:val="19"/>
                <w:szCs w:val="19"/>
                <w:color w:val="auto"/>
              </w:rPr>
            </w:pPr>
          </w:p>
        </w:tc>
      </w:tr>
      <w:tr>
        <w:trPr>
          <w:trHeight w:val="651"/>
        </w:trPr>
        <w:tc>
          <w:tcPr>
            <w:tcW w:w="78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Second Amendment to Amended and Restated Revolving Credit and Security Agreement between TransAct and TD Bank, N.A. effective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w:t>
            </w:r>
          </w:p>
        </w:tc>
      </w:tr>
      <w:tr>
        <w:trPr>
          <w:trHeight w:val="226"/>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November 22, 2011.</w:t>
            </w:r>
          </w:p>
        </w:tc>
        <w:tc>
          <w:tcPr>
            <w:tcW w:w="520" w:type="dxa"/>
            <w:vAlign w:val="bottom"/>
            <w:shd w:val="clear" w:color="auto" w:fill="CCEEFF"/>
          </w:tcPr>
          <w:p>
            <w:pPr>
              <w:spacing w:after="0"/>
              <w:rPr>
                <w:sz w:val="19"/>
                <w:szCs w:val="19"/>
                <w:color w:val="auto"/>
              </w:rPr>
            </w:pP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080" w:type="dxa"/>
            <w:vAlign w:val="bottom"/>
          </w:tcPr>
          <w:p>
            <w:pPr>
              <w:ind w:left="140"/>
              <w:spacing w:after="0"/>
              <w:rPr>
                <w:sz w:val="20"/>
                <w:szCs w:val="20"/>
                <w:color w:val="auto"/>
              </w:rPr>
            </w:pPr>
            <w:r>
              <w:rPr>
                <w:rFonts w:ascii="Arial" w:cs="Arial" w:eastAsia="Arial" w:hAnsi="Arial"/>
                <w:sz w:val="18"/>
                <w:szCs w:val="18"/>
                <w:color w:val="auto"/>
              </w:rPr>
              <w:t>Third Amendment to Amended and Restated Revolving Credit and Security Agreement</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(20)</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10.25</w:t>
            </w:r>
          </w:p>
        </w:tc>
        <w:tc>
          <w:tcPr>
            <w:tcW w:w="100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License Agreement between Seiko Epson Corporation and TransAct dated May 17, 2004 (Pursuant to Rule 24b-2 under the Exchange</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(10)</w:t>
            </w:r>
          </w:p>
        </w:tc>
      </w:tr>
      <w:tr>
        <w:trPr>
          <w:trHeight w:val="226"/>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 the Company has requested confidential treatment of portions of this exhibit deleted from the filed copy.)</w:t>
            </w:r>
          </w:p>
        </w:tc>
        <w:tc>
          <w:tcPr>
            <w:tcW w:w="520" w:type="dxa"/>
            <w:vAlign w:val="bottom"/>
            <w:shd w:val="clear" w:color="auto" w:fill="CCEEFF"/>
          </w:tcPr>
          <w:p>
            <w:pPr>
              <w:spacing w:after="0"/>
              <w:rPr>
                <w:sz w:val="19"/>
                <w:szCs w:val="19"/>
                <w:color w:val="auto"/>
              </w:rPr>
            </w:pP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tcPr>
          <w:p>
            <w:pPr>
              <w:ind w:left="140"/>
              <w:spacing w:after="0"/>
              <w:rPr>
                <w:sz w:val="20"/>
                <w:szCs w:val="20"/>
                <w:color w:val="auto"/>
              </w:rPr>
            </w:pPr>
            <w:r>
              <w:rPr>
                <w:rFonts w:ascii="Arial" w:cs="Arial" w:eastAsia="Arial" w:hAnsi="Arial"/>
                <w:sz w:val="18"/>
                <w:szCs w:val="18"/>
                <w:color w:val="auto"/>
              </w:rPr>
              <w:t>Consent of PricewaterhouseCoopers LLP.</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100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6"/>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2002.</w:t>
            </w:r>
          </w:p>
        </w:tc>
        <w:tc>
          <w:tcPr>
            <w:tcW w:w="520" w:type="dxa"/>
            <w:vAlign w:val="bottom"/>
            <w:shd w:val="clear" w:color="auto" w:fill="CCEEFF"/>
          </w:tcPr>
          <w:p>
            <w:pPr>
              <w:spacing w:after="0"/>
              <w:rPr>
                <w:sz w:val="19"/>
                <w:szCs w:val="19"/>
                <w:color w:val="auto"/>
              </w:rPr>
            </w:pP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32.2</w:t>
            </w:r>
          </w:p>
        </w:tc>
        <w:tc>
          <w:tcPr>
            <w:tcW w:w="10080" w:type="dxa"/>
            <w:vAlign w:val="bottom"/>
          </w:tcPr>
          <w:p>
            <w:pPr>
              <w:ind w:left="140"/>
              <w:spacing w:after="0" w:line="201"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4"/>
        </w:trPr>
        <w:tc>
          <w:tcPr>
            <w:tcW w:w="820" w:type="dxa"/>
            <w:vAlign w:val="bottom"/>
          </w:tcPr>
          <w:p>
            <w:pPr>
              <w:spacing w:after="0"/>
              <w:rPr>
                <w:sz w:val="19"/>
                <w:szCs w:val="19"/>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of 2002.</w:t>
            </w:r>
          </w:p>
        </w:tc>
        <w:tc>
          <w:tcPr>
            <w:tcW w:w="520" w:type="dxa"/>
            <w:vAlign w:val="bottom"/>
          </w:tcPr>
          <w:p>
            <w:pPr>
              <w:spacing w:after="0"/>
              <w:rPr>
                <w:sz w:val="19"/>
                <w:szCs w:val="19"/>
                <w:color w:val="auto"/>
              </w:rPr>
            </w:pP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bl>
    <w:p>
      <w:pPr>
        <w:spacing w:after="0" w:line="217" w:lineRule="exact"/>
        <w:rPr>
          <w:sz w:val="20"/>
          <w:szCs w:val="20"/>
          <w:color w:val="auto"/>
        </w:rPr>
      </w:pPr>
    </w:p>
    <w:p>
      <w:pPr>
        <w:ind w:left="480" w:hanging="473"/>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These exhibits are filed herewith.</w:t>
      </w:r>
    </w:p>
    <w:p>
      <w:pPr>
        <w:spacing w:after="0" w:line="17" w:lineRule="exact"/>
        <w:rPr>
          <w:rFonts w:ascii="Arial" w:cs="Arial" w:eastAsia="Arial" w:hAnsi="Arial"/>
          <w:sz w:val="18"/>
          <w:szCs w:val="18"/>
          <w:color w:val="auto"/>
        </w:rPr>
      </w:pPr>
    </w:p>
    <w:p>
      <w:pPr>
        <w:ind w:left="480" w:hanging="47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29" w:lineRule="exact"/>
        <w:rPr>
          <w:rFonts w:ascii="Arial" w:cs="Arial" w:eastAsia="Arial" w:hAnsi="Arial"/>
          <w:sz w:val="16"/>
          <w:szCs w:val="16"/>
          <w:color w:val="auto"/>
        </w:rPr>
      </w:pPr>
    </w:p>
    <w:p>
      <w:pPr>
        <w:ind w:left="480" w:right="84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September 30, 1996, are incorporated by reference.</w:t>
      </w:r>
    </w:p>
    <w:p>
      <w:pPr>
        <w:ind w:left="480" w:right="2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1997, are incorporated by reference.</w:t>
      </w:r>
    </w:p>
    <w:p>
      <w:pPr>
        <w:ind w:left="480" w:hanging="473"/>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Current Report on Form 8-K filed February 18, 1999, is incorporated by reference.</w:t>
      </w:r>
    </w:p>
    <w:p>
      <w:pPr>
        <w:spacing w:after="0" w:line="17" w:lineRule="exact"/>
        <w:rPr>
          <w:rFonts w:ascii="Arial" w:cs="Arial" w:eastAsia="Arial" w:hAnsi="Arial"/>
          <w:sz w:val="17"/>
          <w:szCs w:val="17"/>
          <w:color w:val="auto"/>
        </w:rPr>
      </w:pPr>
    </w:p>
    <w:p>
      <w:pPr>
        <w:ind w:left="480" w:right="38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1998, is incorporated by reference.</w:t>
      </w:r>
    </w:p>
    <w:p>
      <w:pPr>
        <w:ind w:left="480" w:right="16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March 25, 2000, are incorporated by reference.</w:t>
      </w:r>
    </w:p>
    <w:p>
      <w:pPr>
        <w:ind w:left="480" w:hanging="473"/>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Registration Statement on Form S-8 (No. 333-59570), is incorporated by reference.</w:t>
      </w:r>
    </w:p>
    <w:p>
      <w:pPr>
        <w:spacing w:after="0" w:line="17" w:lineRule="exact"/>
        <w:rPr>
          <w:rFonts w:ascii="Arial" w:cs="Arial" w:eastAsia="Arial" w:hAnsi="Arial"/>
          <w:sz w:val="17"/>
          <w:szCs w:val="17"/>
          <w:color w:val="auto"/>
        </w:rPr>
      </w:pPr>
    </w:p>
    <w:p>
      <w:pPr>
        <w:ind w:left="480" w:right="42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2003, is incorporated by reference.</w:t>
      </w:r>
    </w:p>
    <w:p>
      <w:pPr>
        <w:ind w:left="480" w:right="42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2004, is incorporated by reference.</w:t>
      </w:r>
    </w:p>
    <w:p>
      <w:pPr>
        <w:ind w:left="480" w:right="20" w:hanging="473"/>
        <w:spacing w:after="0" w:line="24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w:t>
      </w:r>
    </w:p>
    <w:p>
      <w:pPr>
        <w:ind w:left="480" w:hanging="473"/>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Current Report on Form 8-K filed June 1, 2005,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-2568575</wp:posOffset>
            </wp:positionV>
            <wp:extent cx="724852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-2297430</wp:posOffset>
            </wp:positionV>
            <wp:extent cx="7248525" cy="271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-1755775</wp:posOffset>
            </wp:positionV>
            <wp:extent cx="7248525"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-1349375</wp:posOffset>
            </wp:positionV>
            <wp:extent cx="7248525" cy="271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-942975</wp:posOffset>
            </wp:positionV>
            <wp:extent cx="7248525" cy="271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-400685</wp:posOffset>
            </wp:positionV>
            <wp:extent cx="7248525" cy="271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55" w:name="page56"/>
    <w:bookmarkEnd w:id="55"/>
    <w:p>
      <w:pPr>
        <w:ind w:left="473" w:right="20" w:hanging="473"/>
        <w:spacing w:after="0" w:line="253"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w:t>
      </w:r>
    </w:p>
    <w:p>
      <w:pPr>
        <w:spacing w:after="0" w:line="1" w:lineRule="exact"/>
        <w:rPr>
          <w:rFonts w:ascii="Arial" w:cs="Arial" w:eastAsia="Arial" w:hAnsi="Arial"/>
          <w:sz w:val="18"/>
          <w:szCs w:val="18"/>
          <w:color w:val="auto"/>
        </w:rPr>
      </w:pPr>
    </w:p>
    <w:p>
      <w:pPr>
        <w:ind w:left="473"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September 30, 1997, is incorporated by reference.</w:t>
      </w:r>
    </w:p>
    <w:p>
      <w:pPr>
        <w:ind w:left="473" w:right="380"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2007, is incorporated by reference.</w:t>
      </w:r>
    </w:p>
    <w:p>
      <w:pPr>
        <w:ind w:left="473" w:right="380"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w:t>
      </w:r>
    </w:p>
    <w:p>
      <w:pPr>
        <w:ind w:left="473" w:right="380"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2009, is incorporated by reference.</w:t>
      </w:r>
    </w:p>
    <w:p>
      <w:pPr>
        <w:ind w:left="473" w:right="380"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2011, is incorporated by reference.</w:t>
      </w:r>
    </w:p>
    <w:p>
      <w:pPr>
        <w:ind w:left="473" w:right="300" w:hanging="473"/>
        <w:spacing w:after="0" w:line="247" w:lineRule="auto"/>
        <w:tabs>
          <w:tab w:leader="none" w:pos="47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March 31, 2012, is incorporated by reference.</w:t>
      </w:r>
    </w:p>
    <w:p>
      <w:pPr>
        <w:ind w:left="473" w:hanging="473"/>
        <w:spacing w:after="0"/>
        <w:tabs>
          <w:tab w:leader="none" w:pos="47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Current Report on Form 8-K filed September 11, 2012,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-2019300</wp:posOffset>
            </wp:positionV>
            <wp:extent cx="7248525" cy="271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-1477645</wp:posOffset>
            </wp:positionV>
            <wp:extent cx="7248525" cy="271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-935355</wp:posOffset>
            </wp:positionV>
            <wp:extent cx="7248525" cy="271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8525" cy="271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-393700</wp:posOffset>
            </wp:positionV>
            <wp:extent cx="7248525" cy="271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8525" cy="271145"/>
                    </a:xfrm>
                    <a:prstGeom prst="rect">
                      <a:avLst/>
                    </a:prstGeom>
                    <a:noFill/>
                  </pic:spPr>
                </pic:pic>
              </a:graphicData>
            </a:graphic>
          </wp:anchor>
        </w:drawing>
      </w:r>
    </w:p>
    <w:p>
      <w:pPr>
        <w:ind w:left="473" w:hanging="473"/>
        <w:spacing w:after="0"/>
        <w:tabs>
          <w:tab w:leader="none" w:pos="47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8525"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408940</wp:posOffset>
            </wp:positionV>
            <wp:extent cx="725233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13"/>
          </w:cols>
          <w:pgMar w:left="247" w:top="514" w:right="239" w:bottom="1440" w:gutter="0" w:footer="0" w:header="0"/>
        </w:sectPr>
      </w:pPr>
    </w:p>
    <w:bookmarkStart w:id="56" w:name="page57"/>
    <w:bookmarkEnd w:id="56"/>
    <w:p>
      <w:pPr>
        <w:jc w:val="center"/>
        <w:ind w:left="480"/>
        <w:spacing w:after="0"/>
        <w:rPr>
          <w:sz w:val="20"/>
          <w:szCs w:val="20"/>
          <w:color w:val="auto"/>
        </w:rPr>
      </w:pPr>
      <w:r>
        <w:rPr>
          <w:rFonts w:ascii="Arial" w:cs="Arial" w:eastAsia="Arial" w:hAnsi="Arial"/>
          <w:sz w:val="18"/>
          <w:szCs w:val="18"/>
          <w:b w:val="1"/>
          <w:bCs w:val="1"/>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Exhibit</w:t>
            </w:r>
          </w:p>
        </w:tc>
        <w:tc>
          <w:tcPr>
            <w:tcW w:w="1048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10.6(x)</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by and between TransAct and Benjamin C. Wyatt, dated May 27, 2008.</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10.10(x)</w:t>
            </w:r>
          </w:p>
        </w:tc>
        <w:tc>
          <w:tcPr>
            <w:tcW w:w="10480" w:type="dxa"/>
            <w:vAlign w:val="bottom"/>
          </w:tcPr>
          <w:p>
            <w:pPr>
              <w:spacing w:after="0"/>
              <w:rPr>
                <w:sz w:val="20"/>
                <w:szCs w:val="20"/>
                <w:color w:val="auto"/>
              </w:rPr>
            </w:pPr>
            <w:r>
              <w:rPr>
                <w:rFonts w:ascii="Arial" w:cs="Arial" w:eastAsia="Arial" w:hAnsi="Arial"/>
                <w:sz w:val="18"/>
                <w:szCs w:val="18"/>
                <w:color w:val="auto"/>
              </w:rPr>
              <w:t>Amendment to Severance Agreement by and between TransAct and Benjamin C. Wyatt, effective January 1, 2008.</w:t>
            </w: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Consent of PricewaterhouseCoopers LLP.</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1"/>
        </w:trPr>
        <w:tc>
          <w:tcPr>
            <w:tcW w:w="2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0480" w:type="dxa"/>
            <w:vAlign w:val="bottom"/>
          </w:tcPr>
          <w:p>
            <w:pPr>
              <w:spacing w:after="0" w:line="201"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2002.</w:t>
            </w:r>
          </w:p>
        </w:tc>
      </w:tr>
      <w:tr>
        <w:trPr>
          <w:trHeight w:val="215"/>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 2002.</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3"/>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508" w:right="239" w:bottom="1440" w:gutter="0" w:footer="0" w:header="0"/>
        </w:sectPr>
      </w:pPr>
    </w:p>
    <w:bookmarkStart w:id="57" w:name="page58"/>
    <w:bookmarkEnd w:id="57"/>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10.6(x)</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Severance Agreement (the "Agreement") is entered into as of the 27th day of May 2008, by and between Benjamin C. Wyatt, an individual with a residence address of 83 Berkshire Road, Newtown, CT 06482 (the "Executive"), and TransAct Technologies Incorporated, a Delaware corporation with a mailing address of One Hamden Center, 2319 Whitney Avenue, Ste. 3B, Hamden, Connecticut 06518 (the "Company"). As used in this Agreement, the "Company" shall also include all subsidiaries of the Company, as the context requires.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46" w:lineRule="exact"/>
        <w:rPr>
          <w:sz w:val="20"/>
          <w:szCs w:val="20"/>
          <w:color w:val="auto"/>
        </w:rPr>
      </w:pPr>
    </w:p>
    <w:p>
      <w:pPr>
        <w:ind w:firstLine="7"/>
        <w:spacing w:after="0" w:line="267" w:lineRule="auto"/>
        <w:tabs>
          <w:tab w:leader="none" w:pos="2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in the business of designing, developing, manufacturing and marketing printers for point of sale, gaming and wagering, financial service and kiosk applications (the "Business").</w:t>
      </w:r>
    </w:p>
    <w:p>
      <w:pPr>
        <w:spacing w:after="0" w:line="206" w:lineRule="exact"/>
        <w:rPr>
          <w:rFonts w:ascii="Arial" w:cs="Arial" w:eastAsia="Arial" w:hAnsi="Arial"/>
          <w:sz w:val="18"/>
          <w:szCs w:val="18"/>
          <w:color w:val="auto"/>
        </w:rPr>
      </w:pPr>
    </w:p>
    <w:p>
      <w:pPr>
        <w:ind w:firstLine="7"/>
        <w:spacing w:after="0" w:line="267" w:lineRule="auto"/>
        <w:tabs>
          <w:tab w:leader="none" w:pos="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desires that the Executive serve in his position with the Company and that the Company be able to rely upon his advice when requested as to the best interests of the Company, and its shareholders.</w:t>
      </w:r>
    </w:p>
    <w:p>
      <w:pPr>
        <w:spacing w:after="0" w:line="206" w:lineRule="exact"/>
        <w:rPr>
          <w:rFonts w:ascii="Arial" w:cs="Arial" w:eastAsia="Arial" w:hAnsi="Arial"/>
          <w:sz w:val="18"/>
          <w:szCs w:val="18"/>
          <w:color w:val="auto"/>
        </w:rPr>
      </w:pPr>
    </w:p>
    <w:p>
      <w:pPr>
        <w:ind w:firstLine="7"/>
        <w:spacing w:after="0" w:line="267"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of the Company believes Executive can best serve the Company without the distractions of personal uncertainties and risks that might be created in the event a change in control of the Company is proposed or his employment by the Company is terminated.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consideration of the premises and mutual promises hereinbelow set forth, the parties hereby agree as follows:</w:t>
      </w:r>
    </w:p>
    <w:p>
      <w:pPr>
        <w:spacing w:after="0" w:line="246" w:lineRule="exact"/>
        <w:rPr>
          <w:sz w:val="20"/>
          <w:szCs w:val="20"/>
          <w:color w:val="auto"/>
        </w:rPr>
      </w:pPr>
    </w:p>
    <w:p>
      <w:pPr>
        <w:ind w:left="1020" w:hanging="61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meanings indicated for the purposes of this Agreement:</w:t>
      </w:r>
    </w:p>
    <w:p>
      <w:pPr>
        <w:spacing w:after="0" w:line="246" w:lineRule="exact"/>
        <w:rPr>
          <w:rFonts w:ascii="Arial" w:cs="Arial" w:eastAsia="Arial" w:hAnsi="Arial"/>
          <w:sz w:val="18"/>
          <w:szCs w:val="18"/>
          <w:color w:val="auto"/>
        </w:rPr>
      </w:pPr>
    </w:p>
    <w:p>
      <w:pPr>
        <w:jc w:val="both"/>
        <w:ind w:firstLine="1214"/>
        <w:spacing w:after="0" w:line="285" w:lineRule="auto"/>
        <w:tabs>
          <w:tab w:leader="none" w:pos="1465" w:val="left"/>
        </w:tabs>
        <w:numPr>
          <w:ilvl w:val="2"/>
          <w:numId w:val="19"/>
        </w:numPr>
        <w:rPr>
          <w:rFonts w:ascii="Arial" w:cs="Arial" w:eastAsia="Arial" w:hAnsi="Arial"/>
          <w:sz w:val="16"/>
          <w:szCs w:val="16"/>
          <w:color w:val="auto"/>
        </w:rPr>
      </w:pPr>
      <w:r>
        <w:rPr>
          <w:rFonts w:ascii="Arial" w:cs="Arial" w:eastAsia="Arial" w:hAnsi="Arial"/>
          <w:sz w:val="16"/>
          <w:szCs w:val="16"/>
          <w:color w:val="auto"/>
        </w:rPr>
        <w:t>"Cause" shall mean: (i) the death or disability of the Executive (For purposes of this Agreement, "disability" shall mean the Executive's incapacity due to physical or mental illness which has caused the Executive to be absent from the full-time performance of his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spacing w:after="0" w:line="199" w:lineRule="exact"/>
        <w:rPr>
          <w:rFonts w:ascii="Arial" w:cs="Arial" w:eastAsia="Arial" w:hAnsi="Arial"/>
          <w:sz w:val="16"/>
          <w:szCs w:val="16"/>
          <w:color w:val="auto"/>
        </w:rPr>
      </w:pPr>
    </w:p>
    <w:p>
      <w:pPr>
        <w:jc w:val="both"/>
        <w:ind w:firstLine="7"/>
        <w:spacing w:after="0" w:line="283" w:lineRule="auto"/>
        <w:tabs>
          <w:tab w:leader="none" w:pos="4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w:t>
      </w:r>
    </w:p>
    <w:p>
      <w:pPr>
        <w:jc w:val="both"/>
        <w:spacing w:after="0" w:line="249" w:lineRule="auto"/>
        <w:rPr>
          <w:rFonts w:ascii="Arial" w:cs="Arial" w:eastAsia="Arial" w:hAnsi="Arial"/>
          <w:sz w:val="16"/>
          <w:szCs w:val="16"/>
          <w:color w:val="auto"/>
        </w:rPr>
      </w:pPr>
      <w:r>
        <w:rPr>
          <w:rFonts w:ascii="Arial" w:cs="Arial" w:eastAsia="Arial" w:hAnsi="Arial"/>
          <w:sz w:val="18"/>
          <w:szCs w:val="18"/>
          <w:color w:val="auto"/>
        </w:rPr>
        <w:t>(3)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spacing w:after="0" w:line="223" w:lineRule="exact"/>
        <w:rPr>
          <w:rFonts w:ascii="Arial" w:cs="Arial" w:eastAsia="Arial" w:hAnsi="Arial"/>
          <w:sz w:val="16"/>
          <w:szCs w:val="16"/>
          <w:color w:val="auto"/>
        </w:rPr>
      </w:pPr>
    </w:p>
    <w:p>
      <w:pPr>
        <w:jc w:val="both"/>
        <w:ind w:firstLine="7"/>
        <w:spacing w:after="0" w:line="267" w:lineRule="auto"/>
        <w:tabs>
          <w:tab w:leader="none" w:pos="29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 (12) 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spacing w:after="0" w:line="207" w:lineRule="exact"/>
        <w:rPr>
          <w:rFonts w:ascii="Arial" w:cs="Arial" w:eastAsia="Arial" w:hAnsi="Arial"/>
          <w:sz w:val="17"/>
          <w:szCs w:val="17"/>
          <w:color w:val="auto"/>
        </w:rPr>
      </w:pPr>
    </w:p>
    <w:p>
      <w:pPr>
        <w:jc w:val="both"/>
        <w:ind w:firstLine="7"/>
        <w:spacing w:after="0" w:line="265" w:lineRule="auto"/>
        <w:tabs>
          <w:tab w:leader="none" w:pos="3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 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 (C) the relocation of the Executive’s principal place of employment (without his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elimination of the Executive's participation in the Company's Executive Incentive Compensation Plan (“EIC”) or a reduction in the Executive’s target bonus amount under the EIC.</w:t>
      </w:r>
    </w:p>
    <w:p>
      <w:pPr>
        <w:spacing w:after="0" w:line="210" w:lineRule="exact"/>
        <w:rPr>
          <w:sz w:val="20"/>
          <w:szCs w:val="20"/>
          <w:color w:val="auto"/>
        </w:rPr>
      </w:pPr>
    </w:p>
    <w:p>
      <w:pPr>
        <w:ind w:left="220" w:hanging="213"/>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46" w:lineRule="exact"/>
        <w:rPr>
          <w:sz w:val="20"/>
          <w:szCs w:val="20"/>
          <w:color w:val="auto"/>
        </w:rPr>
      </w:pPr>
    </w:p>
    <w:p>
      <w:pPr>
        <w:jc w:val="both"/>
        <w:ind w:firstLine="7"/>
        <w:spacing w:after="0" w:line="291" w:lineRule="auto"/>
        <w:tabs>
          <w:tab w:leader="none" w:pos="35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Without Cause</w:t>
      </w:r>
      <w:r>
        <w:rPr>
          <w:rFonts w:ascii="Arial" w:cs="Arial" w:eastAsia="Arial" w:hAnsi="Arial"/>
          <w:sz w:val="16"/>
          <w:szCs w:val="16"/>
          <w:color w:val="auto"/>
        </w:rPr>
        <w:t>. If the Company terminates the employment of the Executive without Cause, other than as a result of a Terminating Event, then commencing on the date of such termination and for a period of six (6) months thereafter, the Company shall provide Executive with a severance package which shall consist of the following: (i) payment on the first business day of each month of an amount equal to one-twelfth of the Executive's then current annual base salary; (ii) payment on the first business day of each month of an amount equal to one-sixth of the Executive's annual target bonus amount under the EIC, pro rated for the portion of the fiscal year occurring prior to termination; and (iii) subject to any employee contribution applicable to the Executive on</w:t>
      </w:r>
    </w:p>
    <w:p>
      <w:pPr>
        <w:sectPr>
          <w:pgSz w:w="11900" w:h="16858" w:orient="portrait"/>
          <w:cols w:equalWidth="0" w:num="1">
            <w:col w:w="11420"/>
          </w:cols>
          <w:pgMar w:left="240" w:top="361" w:right="239" w:bottom="0" w:gutter="0" w:footer="0" w:header="0"/>
        </w:sectPr>
      </w:pPr>
    </w:p>
    <w:bookmarkStart w:id="58" w:name="page59"/>
    <w:bookmarkEnd w:id="58"/>
    <w:p>
      <w:pPr>
        <w:spacing w:after="0" w:line="267" w:lineRule="auto"/>
        <w:rPr>
          <w:sz w:val="20"/>
          <w:szCs w:val="20"/>
          <w:color w:val="auto"/>
        </w:rPr>
      </w:pPr>
      <w:r>
        <w:rPr>
          <w:rFonts w:ascii="Arial" w:cs="Arial" w:eastAsia="Arial" w:hAnsi="Arial"/>
          <w:sz w:val="18"/>
          <w:szCs w:val="18"/>
          <w:color w:val="auto"/>
        </w:rPr>
        <w:t>the date of termination, contribution to the cost of the Executive’s participation in the Company’s group medical and dental plans, provided that the Executive is entitled to continue such participation under applicable law and plan terms.</w:t>
      </w:r>
    </w:p>
    <w:p>
      <w:pPr>
        <w:spacing w:after="0" w:line="206" w:lineRule="exact"/>
        <w:rPr>
          <w:sz w:val="20"/>
          <w:szCs w:val="20"/>
          <w:color w:val="auto"/>
        </w:rPr>
      </w:pPr>
    </w:p>
    <w:p>
      <w:pPr>
        <w:jc w:val="both"/>
        <w:ind w:firstLine="7"/>
        <w:spacing w:after="0" w:line="265" w:lineRule="auto"/>
        <w:tabs>
          <w:tab w:leader="none" w:pos="29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With A Terminating Event.</w:t>
      </w:r>
      <w:r>
        <w:rPr>
          <w:rFonts w:ascii="Arial" w:cs="Arial" w:eastAsia="Arial" w:hAnsi="Arial"/>
          <w:sz w:val="17"/>
          <w:szCs w:val="17"/>
          <w:color w:val="auto"/>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(i) payment on the first business day of each month an amount equal to one-twelfth of the Executive's then current annual base salary; (ii) payment on the first business day of each month of an amount equal to one-twelfth of the Executive's annual target bonus amount under the Company's Executive Incentive Compensation Plan;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the employment of the Executive as a result of a Terminating Event, then the Company shall cause the immediate vesting of all options granted by the Company to the Executive under the Company's stock plans. At any time when the Company is obligated to make monthly payments under Section 2(b), the Company shall, ten (10) days after receipt of a written request from the Executive, pay the Executive an amount equal to the balance of the amounts payable under Section 2(b)(i)-(ii), provided that the obligation of the Company to continue to contribute to medical and dental benefits pursuant to Section 2(b)(iii) or to make monthly payments under 2(b)(i)-(ii) shall cease upon the payment of such amount.</w:t>
      </w:r>
    </w:p>
    <w:p>
      <w:pPr>
        <w:spacing w:after="0" w:line="210" w:lineRule="exact"/>
        <w:rPr>
          <w:rFonts w:ascii="Arial" w:cs="Arial" w:eastAsia="Arial" w:hAnsi="Arial"/>
          <w:sz w:val="17"/>
          <w:szCs w:val="17"/>
          <w:color w:val="auto"/>
        </w:rPr>
      </w:pPr>
    </w:p>
    <w:p>
      <w:pPr>
        <w:jc w:val="both"/>
        <w:ind w:firstLine="7"/>
        <w:spacing w:after="0" w:line="257" w:lineRule="auto"/>
        <w:tabs>
          <w:tab w:leader="none" w:pos="29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General Release</w:t>
      </w:r>
      <w:r>
        <w:rPr>
          <w:rFonts w:ascii="Arial" w:cs="Arial" w:eastAsia="Arial" w:hAnsi="Arial"/>
          <w:sz w:val="18"/>
          <w:szCs w:val="18"/>
          <w:color w:val="auto"/>
        </w:rPr>
        <w:t>. As a condition precedent to receiving any severance payment, the Executive shall execute a general release of any and all claims which Executive or his heirs, executors, agents or assigns might have against the Company, its subsidiaries, affiliates, successors, assigns and their past, present and future employees, officers, directors, agents and attorneys.</w:t>
      </w:r>
    </w:p>
    <w:p>
      <w:pPr>
        <w:spacing w:after="0" w:line="215" w:lineRule="exact"/>
        <w:rPr>
          <w:rFonts w:ascii="Arial" w:cs="Arial" w:eastAsia="Arial" w:hAnsi="Arial"/>
          <w:sz w:val="18"/>
          <w:szCs w:val="18"/>
          <w:color w:val="auto"/>
        </w:rPr>
      </w:pPr>
    </w:p>
    <w:p>
      <w:pPr>
        <w:ind w:firstLine="7"/>
        <w:spacing w:after="0" w:line="267" w:lineRule="auto"/>
        <w:tabs>
          <w:tab w:leader="none" w:pos="29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under this Agreement shall be net of any tax or other amounts required to be withheld by the Employer under applicable law.</w:t>
      </w:r>
    </w:p>
    <w:p>
      <w:pPr>
        <w:spacing w:after="0" w:line="206" w:lineRule="exact"/>
        <w:rPr>
          <w:rFonts w:ascii="Arial" w:cs="Arial" w:eastAsia="Arial" w:hAnsi="Arial"/>
          <w:sz w:val="18"/>
          <w:szCs w:val="18"/>
          <w:color w:val="auto"/>
        </w:rPr>
      </w:pPr>
    </w:p>
    <w:p>
      <w:pPr>
        <w:jc w:val="both"/>
        <w:ind w:firstLine="1012"/>
        <w:spacing w:after="0" w:line="257" w:lineRule="auto"/>
        <w:tabs>
          <w:tab w:leader="none" w:pos="1311"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Effect of Breach</w:t>
      </w:r>
      <w:r>
        <w:rPr>
          <w:rFonts w:ascii="Arial" w:cs="Arial" w:eastAsia="Arial" w:hAnsi="Arial"/>
          <w:sz w:val="18"/>
          <w:szCs w:val="18"/>
          <w:color w:val="auto"/>
        </w:rPr>
        <w:t>. In the event that the Executive breaches Section 3 of this Agreement, he shall forfeit any right to severance payments of benefits contribution hereunder and shall be required to return any severance payments or benefits contributions provided prior to such breach within ten (10) days after a written demand by the Company.</w:t>
      </w:r>
    </w:p>
    <w:p>
      <w:pPr>
        <w:spacing w:after="0" w:line="200" w:lineRule="exact"/>
        <w:rPr>
          <w:sz w:val="20"/>
          <w:szCs w:val="20"/>
          <w:color w:val="auto"/>
        </w:rPr>
      </w:pPr>
    </w:p>
    <w:p>
      <w:pPr>
        <w:spacing w:after="0" w:line="255"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Executive's employment with the Company and (a) in the case of termination other than as a result of a Terminating Event, for six</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(6) months following the termination of Executive's employment with the Company or (b) in the case of termination as a result of a Terminating Event, for one</w:t>
      </w:r>
    </w:p>
    <w:p>
      <w:pPr>
        <w:spacing w:after="0" w:line="29" w:lineRule="exact"/>
        <w:rPr>
          <w:rFonts w:ascii="Arial" w:cs="Arial" w:eastAsia="Arial" w:hAnsi="Arial"/>
          <w:sz w:val="16"/>
          <w:szCs w:val="16"/>
          <w:color w:val="auto"/>
        </w:rPr>
      </w:pPr>
    </w:p>
    <w:p>
      <w:pPr>
        <w:jc w:val="both"/>
        <w:spacing w:after="0" w:line="265" w:lineRule="auto"/>
        <w:rPr>
          <w:rFonts w:ascii="Arial" w:cs="Arial" w:eastAsia="Arial" w:hAnsi="Arial"/>
          <w:sz w:val="16"/>
          <w:szCs w:val="16"/>
          <w:color w:val="auto"/>
        </w:rPr>
      </w:pPr>
      <w:r>
        <w:rPr>
          <w:rFonts w:ascii="Arial" w:cs="Arial" w:eastAsia="Arial" w:hAnsi="Arial"/>
          <w:sz w:val="17"/>
          <w:szCs w:val="17"/>
          <w:color w:val="auto"/>
        </w:rPr>
        <w:t>(1)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his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purposes of this Agreement, the term "Person" shall mean an individual or corporation, association or partnership in estate or trust or any other entity or organization.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recognizes and agrees that because a violation by him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spacing w:after="0" w:line="221" w:lineRule="exact"/>
        <w:rPr>
          <w:sz w:val="20"/>
          <w:szCs w:val="20"/>
          <w:color w:val="auto"/>
        </w:rPr>
      </w:pPr>
    </w:p>
    <w:p>
      <w:pPr>
        <w:jc w:val="both"/>
        <w:ind w:firstLine="7"/>
        <w:spacing w:after="0" w:line="257" w:lineRule="auto"/>
        <w:tabs>
          <w:tab w:leader="none" w:pos="26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Confidentiality Covenants</w:t>
      </w:r>
      <w:r>
        <w:rPr>
          <w:rFonts w:ascii="Arial" w:cs="Arial" w:eastAsia="Arial" w:hAnsi="Arial"/>
          <w:sz w:val="18"/>
          <w:szCs w:val="18"/>
          <w:color w:val="auto"/>
        </w:rPr>
        <w:t>. Executive understands that the Company may impart to his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Executive agrees as follows: (1) only to use the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Executive recognizes and agrees that because a violation by him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15" w:lineRule="exact"/>
        <w:rPr>
          <w:sz w:val="20"/>
          <w:szCs w:val="20"/>
          <w:color w:val="auto"/>
        </w:rPr>
      </w:pPr>
    </w:p>
    <w:p>
      <w:pPr>
        <w:jc w:val="both"/>
        <w:ind w:firstLine="7"/>
        <w:spacing w:after="0" w:line="257" w:lineRule="auto"/>
        <w:tabs>
          <w:tab w:leader="none" w:pos="31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spacing w:after="0" w:line="215" w:lineRule="exact"/>
        <w:rPr>
          <w:rFonts w:ascii="Arial" w:cs="Arial" w:eastAsia="Arial" w:hAnsi="Arial"/>
          <w:sz w:val="18"/>
          <w:szCs w:val="18"/>
          <w:color w:val="auto"/>
        </w:rPr>
      </w:pPr>
    </w:p>
    <w:p>
      <w:pPr>
        <w:jc w:val="both"/>
        <w:ind w:firstLine="7"/>
        <w:spacing w:after="0" w:line="257"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sectPr>
          <w:pgSz w:w="11900" w:h="16838" w:orient="portrait"/>
          <w:cols w:equalWidth="0" w:num="1">
            <w:col w:w="11420"/>
          </w:cols>
          <w:pgMar w:left="240" w:top="127" w:right="239" w:bottom="0" w:gutter="0" w:footer="0" w:header="0"/>
        </w:sectPr>
      </w:pPr>
    </w:p>
    <w:bookmarkStart w:id="59" w:name="page60"/>
    <w:bookmarkEnd w:id="59"/>
    <w:p>
      <w:pPr>
        <w:jc w:val="both"/>
        <w:ind w:right="100" w:firstLine="7"/>
        <w:spacing w:after="0" w:line="257" w:lineRule="auto"/>
        <w:tabs>
          <w:tab w:leader="none" w:pos="23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to the Company at: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One Hamden Center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2319 Whitney Avenue, Ste. 3B</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Hamden, CT 06518</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 to the Executive at: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83 Berkshire Road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Newtown, CT 06482</w:t>
      </w:r>
    </w:p>
    <w:p>
      <w:pPr>
        <w:spacing w:after="0" w:line="23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by notice given to the other party in accordance with this section, designate another address or person for receipt of notices hereunder.</w:t>
      </w:r>
    </w:p>
    <w:p>
      <w:pPr>
        <w:spacing w:after="0" w:line="258" w:lineRule="exact"/>
        <w:rPr>
          <w:sz w:val="20"/>
          <w:szCs w:val="20"/>
          <w:color w:val="auto"/>
        </w:rPr>
      </w:pPr>
    </w:p>
    <w:p>
      <w:pPr>
        <w:jc w:val="both"/>
        <w:ind w:right="100" w:firstLine="7"/>
        <w:spacing w:after="0" w:line="252" w:lineRule="auto"/>
        <w:tabs>
          <w:tab w:leader="none" w:pos="22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or the application thereof to any person or under any circumstance, shall to any extent be invalid or unenforceable, the remainder of this Agreement, or the application of such terms to the persons or under circumstances 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spacing w:after="0" w:line="220" w:lineRule="exact"/>
        <w:rPr>
          <w:rFonts w:ascii="Arial" w:cs="Arial" w:eastAsia="Arial" w:hAnsi="Arial"/>
          <w:sz w:val="18"/>
          <w:szCs w:val="18"/>
          <w:color w:val="auto"/>
        </w:rPr>
      </w:pPr>
    </w:p>
    <w:p>
      <w:pPr>
        <w:jc w:val="both"/>
        <w:ind w:right="100" w:firstLine="7"/>
        <w:spacing w:after="0" w:line="252" w:lineRule="auto"/>
        <w:tabs>
          <w:tab w:leader="none" w:pos="22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spacing w:after="0" w:line="220" w:lineRule="exact"/>
        <w:rPr>
          <w:rFonts w:ascii="Arial" w:cs="Arial" w:eastAsia="Arial" w:hAnsi="Arial"/>
          <w:sz w:val="18"/>
          <w:szCs w:val="18"/>
          <w:color w:val="auto"/>
        </w:rPr>
      </w:pPr>
    </w:p>
    <w:p>
      <w:pPr>
        <w:ind w:firstLine="647"/>
        <w:spacing w:after="0" w:line="270" w:lineRule="auto"/>
        <w:tabs>
          <w:tab w:leader="none" w:pos="1004"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Successors and Assignment</w:t>
      </w:r>
      <w:r>
        <w:rPr>
          <w:rFonts w:ascii="Arial" w:cs="Arial" w:eastAsia="Arial" w:hAnsi="Arial"/>
          <w:sz w:val="17"/>
          <w:szCs w:val="17"/>
          <w:color w:val="auto"/>
        </w:rPr>
        <w:t>. Neither the Company nor the Executive may make any assignment of this Agreement or any interest herein, operation of law or otherwise, without the prior written consent of the other; provided, however, that the Company may assign its rights and obligations under th Agreement without the consent of the Executive in the event that the Company shall hereafter affect a reorganization, consolidate with, or merge into, any oth Person or transfer all or substantially all of its properties or assets to any other Person. This Agreement shall inure to the benefit of and be binding upon t Company and the Executive, their respective successors, executors, administrators, heirs and permitted assigns.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TRANSACT TECHNOLOGIES INCORPORATED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18"/>
                <w:szCs w:val="18"/>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Steven A. DeMartino</w:t>
            </w:r>
          </w:p>
        </w:tc>
        <w:tc>
          <w:tcPr>
            <w:tcW w:w="1000" w:type="dxa"/>
            <w:vAlign w:val="bottom"/>
          </w:tcPr>
          <w:p>
            <w:pPr>
              <w:spacing w:after="0"/>
              <w:rPr>
                <w:sz w:val="18"/>
                <w:szCs w:val="18"/>
                <w:color w:val="auto"/>
              </w:rPr>
            </w:pPr>
          </w:p>
        </w:tc>
      </w:tr>
      <w:tr>
        <w:trPr>
          <w:trHeight w:val="22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gridSpan w:val="4"/>
          </w:tcPr>
          <w:p>
            <w:pPr>
              <w:ind w:left="180"/>
              <w:spacing w:after="0"/>
              <w:rPr>
                <w:sz w:val="20"/>
                <w:szCs w:val="20"/>
                <w:color w:val="auto"/>
              </w:rPr>
            </w:pPr>
            <w:r>
              <w:rPr>
                <w:rFonts w:ascii="Arial" w:cs="Arial" w:eastAsia="Arial" w:hAnsi="Arial"/>
                <w:sz w:val="18"/>
                <w:szCs w:val="18"/>
                <w:color w:val="auto"/>
              </w:rPr>
              <w:t>Steven A. DeMartino</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4"/>
          </w:tcPr>
          <w:p>
            <w:pPr>
              <w:ind w:left="160"/>
              <w:spacing w:after="0"/>
              <w:rPr>
                <w:sz w:val="20"/>
                <w:szCs w:val="20"/>
                <w:color w:val="auto"/>
              </w:rPr>
            </w:pPr>
            <w:r>
              <w:rPr>
                <w:rFonts w:ascii="Arial" w:cs="Arial" w:eastAsia="Arial" w:hAnsi="Arial"/>
                <w:sz w:val="18"/>
                <w:szCs w:val="18"/>
                <w:color w:val="auto"/>
                <w:w w:val="94"/>
              </w:rPr>
              <w:t>EVP, CFO, Treasurer and Secretary</w:t>
            </w:r>
          </w:p>
        </w:tc>
      </w:tr>
      <w:tr>
        <w:trPr>
          <w:trHeight w:val="453"/>
        </w:trPr>
        <w:tc>
          <w:tcPr>
            <w:tcW w:w="3580" w:type="dxa"/>
            <w:vAlign w:val="bottom"/>
            <w:gridSpan w:val="5"/>
          </w:tcPr>
          <w:p>
            <w:pPr>
              <w:spacing w:after="0"/>
              <w:rPr>
                <w:sz w:val="20"/>
                <w:szCs w:val="20"/>
                <w:color w:val="auto"/>
              </w:rPr>
            </w:pPr>
            <w:r>
              <w:rPr>
                <w:rFonts w:ascii="Arial" w:cs="Arial" w:eastAsia="Arial" w:hAnsi="Arial"/>
                <w:sz w:val="18"/>
                <w:szCs w:val="18"/>
                <w:color w:val="auto"/>
              </w:rPr>
              <w:t>EXECUTIVE:</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Benjamin C. Wyatt</w:t>
            </w:r>
          </w:p>
        </w:tc>
        <w:tc>
          <w:tcPr>
            <w:tcW w:w="1160" w:type="dxa"/>
            <w:vAlign w:val="bottom"/>
            <w:gridSpan w:val="2"/>
          </w:tcPr>
          <w:p>
            <w:pPr>
              <w:spacing w:after="0"/>
              <w:rPr>
                <w:sz w:val="24"/>
                <w:szCs w:val="24"/>
                <w:color w:val="auto"/>
              </w:rPr>
            </w:pPr>
          </w:p>
        </w:tc>
      </w:tr>
      <w:tr>
        <w:trPr>
          <w:trHeight w:val="22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gridSpan w:val="4"/>
          </w:tcPr>
          <w:p>
            <w:pPr>
              <w:ind w:left="180"/>
              <w:spacing w:after="0"/>
              <w:rPr>
                <w:sz w:val="20"/>
                <w:szCs w:val="20"/>
                <w:color w:val="auto"/>
              </w:rPr>
            </w:pPr>
            <w:r>
              <w:rPr>
                <w:rFonts w:ascii="Arial" w:cs="Arial" w:eastAsia="Arial" w:hAnsi="Arial"/>
                <w:sz w:val="18"/>
                <w:szCs w:val="18"/>
                <w:color w:val="auto"/>
              </w:rPr>
              <w:t>Benjamin C. Wyatt</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4"/>
          </w:tcPr>
          <w:p>
            <w:pPr>
              <w:ind w:left="160"/>
              <w:spacing w:after="0"/>
              <w:rPr>
                <w:sz w:val="20"/>
                <w:szCs w:val="20"/>
                <w:color w:val="auto"/>
              </w:rPr>
            </w:pPr>
            <w:r>
              <w:rPr>
                <w:rFonts w:ascii="Arial" w:cs="Arial" w:eastAsia="Arial" w:hAnsi="Arial"/>
                <w:sz w:val="18"/>
                <w:szCs w:val="18"/>
                <w:color w:val="auto"/>
                <w:w w:val="88"/>
              </w:rPr>
              <w:t>Vice President, Business Development</w:t>
            </w:r>
          </w:p>
        </w:tc>
      </w:tr>
    </w:tbl>
    <w:p>
      <w:pPr>
        <w:sectPr>
          <w:pgSz w:w="11900" w:h="16838" w:orient="portrait"/>
          <w:cols w:equalWidth="0" w:num="1">
            <w:col w:w="11520"/>
          </w:cols>
          <w:pgMar w:left="240" w:top="367" w:right="1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10.10(x)</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Benjamin C. Wyatt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83 Berkshire Road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Newtown, CT 06482</w:t>
      </w:r>
    </w:p>
    <w:p>
      <w:pPr>
        <w:spacing w:after="0" w:line="23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to Severance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Wyatt:</w:t>
      </w:r>
    </w:p>
    <w:p>
      <w:pPr>
        <w:spacing w:after="0" w:line="246" w:lineRule="exact"/>
        <w:rPr>
          <w:sz w:val="20"/>
          <w:szCs w:val="20"/>
          <w:color w:val="auto"/>
        </w:rPr>
      </w:pPr>
    </w:p>
    <w:p>
      <w:pPr>
        <w:jc w:val="both"/>
        <w:ind w:right="540"/>
        <w:spacing w:after="0" w:line="257" w:lineRule="auto"/>
        <w:rPr>
          <w:sz w:val="20"/>
          <w:szCs w:val="20"/>
          <w:color w:val="auto"/>
        </w:rPr>
      </w:pPr>
      <w:r>
        <w:rPr>
          <w:rFonts w:ascii="Arial" w:cs="Arial" w:eastAsia="Arial" w:hAnsi="Arial"/>
          <w:sz w:val="18"/>
          <w:szCs w:val="18"/>
          <w:color w:val="auto"/>
        </w:rPr>
        <w:t>Reference is made to the Severance Agreement by and between you and TransAct Technologies, Incorporated (the "Company") dated May 27, 2008 (the "Agreement"). In order that the Agreement comply in form with the applicable requirements of Section 409A of the Internal Revenue Code of 1986, as amended, the following changes to the Agreement are hereby proposed:</w:t>
      </w:r>
    </w:p>
    <w:p>
      <w:pPr>
        <w:spacing w:after="0" w:line="200" w:lineRule="exact"/>
        <w:rPr>
          <w:sz w:val="20"/>
          <w:szCs w:val="20"/>
          <w:color w:val="auto"/>
        </w:rPr>
      </w:pPr>
    </w:p>
    <w:p>
      <w:pPr>
        <w:spacing w:after="0" w:line="282" w:lineRule="exact"/>
        <w:rPr>
          <w:sz w:val="20"/>
          <w:szCs w:val="20"/>
          <w:color w:val="auto"/>
        </w:rPr>
      </w:pPr>
    </w:p>
    <w:p>
      <w:pPr>
        <w:ind w:left="1640" w:hanging="353"/>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Deleting clause (D) in Subsection 1(d) and replacing it with the following text:</w:t>
      </w:r>
    </w:p>
    <w:p>
      <w:pPr>
        <w:spacing w:after="0" w:line="246" w:lineRule="exact"/>
        <w:rPr>
          <w:sz w:val="20"/>
          <w:szCs w:val="20"/>
          <w:color w:val="auto"/>
        </w:rPr>
      </w:pPr>
    </w:p>
    <w:p>
      <w:pPr>
        <w:ind w:right="120" w:firstLine="640"/>
        <w:spacing w:after="0" w:line="252" w:lineRule="auto"/>
        <w:rPr>
          <w:sz w:val="20"/>
          <w:szCs w:val="20"/>
          <w:color w:val="auto"/>
        </w:rPr>
      </w:pPr>
      <w:r>
        <w:rPr>
          <w:rFonts w:ascii="Arial" w:cs="Arial" w:eastAsia="Arial" w:hAnsi="Arial"/>
          <w:sz w:val="18"/>
          <w:szCs w:val="18"/>
          <w:color w:val="auto"/>
        </w:rPr>
        <w:t>"(D)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spacing w:after="0" w:line="247" w:lineRule="exact"/>
        <w:rPr>
          <w:sz w:val="20"/>
          <w:szCs w:val="20"/>
          <w:color w:val="auto"/>
        </w:rPr>
      </w:pPr>
    </w:p>
    <w:p>
      <w:pPr>
        <w:ind w:left="1640" w:hanging="353"/>
        <w:spacing w:after="0"/>
        <w:tabs>
          <w:tab w:leader="none" w:pos="1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a new Subsection 1(e) immediately following Subsection 1(d), to read as follows:</w:t>
      </w:r>
    </w:p>
    <w:p>
      <w:pPr>
        <w:spacing w:after="0" w:line="246" w:lineRule="exact"/>
        <w:rPr>
          <w:sz w:val="20"/>
          <w:szCs w:val="20"/>
          <w:color w:val="auto"/>
        </w:rPr>
      </w:pPr>
    </w:p>
    <w:p>
      <w:pPr>
        <w:ind w:right="220" w:firstLine="640"/>
        <w:spacing w:after="0" w:line="257" w:lineRule="auto"/>
        <w:rPr>
          <w:sz w:val="20"/>
          <w:szCs w:val="20"/>
          <w:color w:val="auto"/>
        </w:rPr>
      </w:pPr>
      <w:r>
        <w:rPr>
          <w:rFonts w:ascii="Arial" w:cs="Arial" w:eastAsia="Arial" w:hAnsi="Arial"/>
          <w:sz w:val="18"/>
          <w:szCs w:val="18"/>
          <w:color w:val="auto"/>
        </w:rPr>
        <w:t>"(e) "Separation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spacing w:after="0" w:line="242" w:lineRule="exact"/>
        <w:rPr>
          <w:sz w:val="20"/>
          <w:szCs w:val="20"/>
          <w:color w:val="auto"/>
        </w:rPr>
      </w:pPr>
    </w:p>
    <w:p>
      <w:pPr>
        <w:ind w:left="1640" w:hanging="353"/>
        <w:spacing w:after="0"/>
        <w:tabs>
          <w:tab w:leader="none" w:pos="1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the following sentence at the end of Subsection 2(b):</w:t>
      </w:r>
    </w:p>
    <w:p>
      <w:pPr>
        <w:spacing w:after="0" w:line="24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this sentence shall not apply to any portion of the amounts payable under Section 2(b)(i)-(ii) that constitutes or includes nonqualified deferred compensation subject to Section 409A of the Internal Revenue Code of 1986, as amended (the "Code")."</w:t>
      </w:r>
    </w:p>
    <w:p>
      <w:pPr>
        <w:spacing w:after="0" w:line="233" w:lineRule="exact"/>
        <w:rPr>
          <w:sz w:val="20"/>
          <w:szCs w:val="20"/>
          <w:color w:val="auto"/>
        </w:rPr>
      </w:pPr>
    </w:p>
    <w:p>
      <w:pPr>
        <w:ind w:left="1640" w:hanging="353"/>
        <w:spacing w:after="0"/>
        <w:tabs>
          <w:tab w:leader="none" w:pos="1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the following text at the end of Subsection 2(c):</w:t>
      </w:r>
    </w:p>
    <w:p>
      <w:pPr>
        <w:spacing w:after="0" w:line="246" w:lineRule="exact"/>
        <w:rPr>
          <w:sz w:val="20"/>
          <w:szCs w:val="20"/>
          <w:color w:val="auto"/>
        </w:rPr>
      </w:pPr>
    </w:p>
    <w:p>
      <w:pPr>
        <w:jc w:val="both"/>
        <w:ind w:right="60" w:firstLine="640"/>
        <w:spacing w:after="0" w:line="252" w:lineRule="auto"/>
        <w:rPr>
          <w:sz w:val="20"/>
          <w:szCs w:val="20"/>
          <w:color w:val="auto"/>
        </w:rPr>
      </w:pPr>
      <w:r>
        <w:rPr>
          <w:rFonts w:ascii="Arial" w:cs="Arial" w:eastAsia="Arial" w:hAnsi="Arial"/>
          <w:sz w:val="18"/>
          <w:szCs w:val="18"/>
          <w:color w:val="auto"/>
        </w:rPr>
        <w:t xml:space="preserve">"Any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Arial" w:cs="Arial" w:eastAsia="Arial" w:hAnsi="Arial"/>
          <w:sz w:val="18"/>
          <w:szCs w:val="18"/>
          <w:i w:val="1"/>
          <w:iCs w:val="1"/>
          <w:color w:val="auto"/>
        </w:rPr>
        <w:t>provided</w:t>
      </w:r>
      <w:r>
        <w:rPr>
          <w:rFonts w:ascii="Arial" w:cs="Arial" w:eastAsia="Arial" w:hAnsi="Arial"/>
          <w:sz w:val="18"/>
          <w:szCs w:val="18"/>
          <w:color w:val="auto"/>
        </w:rPr>
        <w:t>, that the first such payment shall include any amounts that would have been paid earlier but for the provisions of this subsection (c)."</w:t>
      </w:r>
    </w:p>
    <w:p>
      <w:pPr>
        <w:spacing w:after="0" w:line="247" w:lineRule="exact"/>
        <w:rPr>
          <w:sz w:val="20"/>
          <w:szCs w:val="20"/>
          <w:color w:val="auto"/>
        </w:rPr>
      </w:pPr>
    </w:p>
    <w:p>
      <w:pPr>
        <w:ind w:left="1640" w:hanging="353"/>
        <w:spacing w:after="0"/>
        <w:tabs>
          <w:tab w:leader="none" w:pos="1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Adding a new Section 11 immediately following Section 12, to read as follows:</w:t>
      </w:r>
    </w:p>
    <w:p>
      <w:pPr>
        <w:spacing w:after="0" w:line="246" w:lineRule="exact"/>
        <w:rPr>
          <w:sz w:val="20"/>
          <w:szCs w:val="20"/>
          <w:color w:val="auto"/>
        </w:rPr>
      </w:pPr>
    </w:p>
    <w:p>
      <w:pPr>
        <w:ind w:right="160" w:firstLine="640"/>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Executive Incentive Compensation Plan</w:t>
      </w:r>
      <w:r>
        <w:rPr>
          <w:rFonts w:ascii="Arial" w:cs="Arial" w:eastAsia="Arial" w:hAnsi="Arial"/>
          <w:sz w:val="18"/>
          <w:szCs w:val="18"/>
          <w:color w:val="auto"/>
        </w:rPr>
        <w:t>. During the twelve (12) month period subsequent to any Change in Control, neither the Company, nor, if applicable, any successor to the Company, will eliminate the Executive's participation in the Company's Executive Incentive Compensation Plan or reduce the Executive's target bonus amount under that plan."</w:t>
      </w:r>
    </w:p>
    <w:p>
      <w:pPr>
        <w:spacing w:after="0" w:line="242" w:lineRule="exact"/>
        <w:rPr>
          <w:sz w:val="20"/>
          <w:szCs w:val="20"/>
          <w:color w:val="auto"/>
        </w:rPr>
      </w:pPr>
    </w:p>
    <w:p>
      <w:pPr>
        <w:ind w:left="1640" w:hanging="353"/>
        <w:spacing w:after="0"/>
        <w:tabs>
          <w:tab w:leader="none" w:pos="16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Adding a new Section 12 immediately following new Section 11, to read as follows:</w:t>
      </w:r>
    </w:p>
    <w:p>
      <w:pPr>
        <w:spacing w:after="0" w:line="24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46" w:lineRule="exact"/>
        <w:rPr>
          <w:rFonts w:ascii="Arial" w:cs="Arial" w:eastAsia="Arial" w:hAnsi="Arial"/>
          <w:sz w:val="18"/>
          <w:szCs w:val="18"/>
          <w:color w:val="auto"/>
        </w:rPr>
      </w:pPr>
    </w:p>
    <w:p>
      <w:pPr>
        <w:ind w:right="100" w:firstLine="647"/>
        <w:spacing w:after="0" w:line="257" w:lineRule="auto"/>
        <w:tabs>
          <w:tab w:leader="none" w:pos="132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To the extent any portion of the payments to be made under the Agreement constitute deferred compensation subject to Section 409A of the Code, such payments shall be made in accordance with the payment schedule provided in Section 2 of the Agreement, but not earlier than the 67th day following the date of the Involuntary Termination.</w:t>
      </w:r>
    </w:p>
    <w:p>
      <w:pPr>
        <w:spacing w:after="0" w:line="215" w:lineRule="exact"/>
        <w:rPr>
          <w:rFonts w:ascii="Arial" w:cs="Arial" w:eastAsia="Arial" w:hAnsi="Arial"/>
          <w:sz w:val="18"/>
          <w:szCs w:val="18"/>
          <w:color w:val="auto"/>
        </w:rPr>
      </w:pPr>
    </w:p>
    <w:p>
      <w:pPr>
        <w:ind w:right="60" w:firstLine="647"/>
        <w:spacing w:after="0" w:line="281" w:lineRule="auto"/>
        <w:tabs>
          <w:tab w:leader="none" w:pos="1336"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Notwithstanding any other provision of the Agreement,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be paid on the date that follows the date of such separation from service by six (6) months and one</w:t>
      </w:r>
    </w:p>
    <w:p>
      <w:pPr>
        <w:spacing w:after="0" w:line="2" w:lineRule="exact"/>
        <w:rPr>
          <w:rFonts w:ascii="Arial" w:cs="Arial" w:eastAsia="Arial" w:hAnsi="Arial"/>
          <w:sz w:val="16"/>
          <w:szCs w:val="16"/>
          <w:color w:val="auto"/>
        </w:rPr>
      </w:pPr>
    </w:p>
    <w:p>
      <w:pPr>
        <w:ind w:right="120" w:firstLine="7"/>
        <w:spacing w:after="0" w:line="269" w:lineRule="auto"/>
        <w:tabs>
          <w:tab w:leader="none" w:pos="252" w:val="left"/>
        </w:tabs>
        <w:numPr>
          <w:ilvl w:val="0"/>
          <w:numId w:val="36"/>
        </w:numPr>
        <w:rPr>
          <w:rFonts w:ascii="Arial" w:cs="Arial" w:eastAsia="Arial" w:hAnsi="Arial"/>
          <w:sz w:val="17"/>
          <w:szCs w:val="17"/>
          <w:color w:val="auto"/>
        </w:rPr>
      </w:pPr>
      <w:r>
        <w:rPr>
          <w:rFonts w:ascii="Arial" w:cs="Arial" w:eastAsia="Arial" w:hAnsi="Arial"/>
          <w:sz w:val="17"/>
          <w:szCs w:val="17"/>
          <w:color w:val="auto"/>
        </w:rPr>
        <w:t>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If the foregoing proposed changes to the Agreement are acceptable to you, please so indicate in the space indicated below, whereupon the Agreement shall be so amended effective as of January 1, 2008.</w:t>
      </w:r>
    </w:p>
    <w:p>
      <w:pPr>
        <w:sectPr>
          <w:pgSz w:w="11900" w:h="16838" w:orient="portrait"/>
          <w:cols w:equalWidth="0" w:num="1">
            <w:col w:w="11420"/>
          </w:cols>
          <w:pgMar w:left="240" w:top="361" w:right="239" w:bottom="404"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TRANSACT TECHNOLOGIES INCORPORATED</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line="204" w:lineRule="exact"/>
              <w:rPr>
                <w:sz w:val="20"/>
                <w:szCs w:val="20"/>
                <w:color w:val="auto"/>
              </w:rPr>
            </w:pPr>
            <w:r>
              <w:rPr>
                <w:rFonts w:ascii="Arial" w:cs="Arial" w:eastAsia="Arial" w:hAnsi="Arial"/>
                <w:sz w:val="18"/>
                <w:szCs w:val="18"/>
                <w:color w:val="auto"/>
              </w:rPr>
              <w:t>By:</w:t>
            </w:r>
          </w:p>
        </w:tc>
        <w:tc>
          <w:tcPr>
            <w:tcW w:w="20" w:type="dxa"/>
            <w:vAlign w:val="bottom"/>
          </w:tcPr>
          <w:p>
            <w:pPr>
              <w:spacing w:after="0"/>
              <w:rPr>
                <w:sz w:val="17"/>
                <w:szCs w:val="17"/>
                <w:color w:val="auto"/>
              </w:rPr>
            </w:pPr>
          </w:p>
        </w:tc>
        <w:tc>
          <w:tcPr>
            <w:tcW w:w="1720" w:type="dxa"/>
            <w:vAlign w:val="bottom"/>
            <w:tcBorders>
              <w:bottom w:val="single" w:sz="8" w:color="auto"/>
            </w:tcBorders>
            <w:gridSpan w:val="2"/>
          </w:tcPr>
          <w:p>
            <w:pPr>
              <w:spacing w:after="0" w:line="204" w:lineRule="exact"/>
              <w:rPr>
                <w:sz w:val="20"/>
                <w:szCs w:val="20"/>
                <w:color w:val="auto"/>
              </w:rPr>
            </w:pPr>
            <w:r>
              <w:rPr>
                <w:rFonts w:ascii="Arial" w:cs="Arial" w:eastAsia="Arial" w:hAnsi="Arial"/>
                <w:sz w:val="18"/>
                <w:szCs w:val="18"/>
                <w:color w:val="auto"/>
                <w:w w:val="89"/>
              </w:rPr>
              <w:t>/s/ Steven A. DeMartino</w:t>
            </w:r>
          </w:p>
        </w:tc>
      </w:tr>
      <w:tr>
        <w:trPr>
          <w:trHeight w:val="193"/>
        </w:trPr>
        <w:tc>
          <w:tcPr>
            <w:tcW w:w="740" w:type="dxa"/>
            <w:vAlign w:val="bottom"/>
          </w:tcPr>
          <w:p>
            <w:pPr>
              <w:spacing w:after="0" w:line="194" w:lineRule="exact"/>
              <w:rPr>
                <w:sz w:val="20"/>
                <w:szCs w:val="20"/>
                <w:color w:val="auto"/>
              </w:rPr>
            </w:pPr>
            <w:r>
              <w:rPr>
                <w:rFonts w:ascii="Arial" w:cs="Arial" w:eastAsia="Arial" w:hAnsi="Arial"/>
                <w:sz w:val="18"/>
                <w:szCs w:val="18"/>
                <w:color w:val="auto"/>
              </w:rPr>
              <w:t>Date:</w:t>
            </w:r>
          </w:p>
        </w:tc>
        <w:tc>
          <w:tcPr>
            <w:tcW w:w="114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6"/>
              </w:rPr>
              <w:t>January 1, 2008</w:t>
            </w:r>
          </w:p>
        </w:tc>
        <w:tc>
          <w:tcPr>
            <w:tcW w:w="600" w:type="dxa"/>
            <w:vAlign w:val="bottom"/>
          </w:tcPr>
          <w:p>
            <w:pPr>
              <w:spacing w:after="0"/>
              <w:rPr>
                <w:sz w:val="16"/>
                <w:szCs w:val="16"/>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Benjamin C. Wyatt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Benjamin C. Wyatt</w:t>
      </w:r>
    </w:p>
    <w:p>
      <w:pPr>
        <w:sectPr>
          <w:pgSz w:w="11900" w:h="16838" w:orient="portrait"/>
          <w:cols w:equalWidth="0" w:num="1">
            <w:col w:w="10219"/>
          </w:cols>
          <w:pgMar w:left="240" w:top="127"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333-59570, 333-107870, 333-132624 and 333-170515) of TransAct Technologies Incorporated of our report dated March 15, 2013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96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March 15, 2013</w:t>
      </w:r>
    </w:p>
    <w:p>
      <w:pPr>
        <w:sectPr>
          <w:pgSz w:w="11900" w:h="16838" w:orient="portrait"/>
          <w:cols w:equalWidth="0" w:num="1">
            <w:col w:w="11420"/>
          </w:cols>
          <w:pgMar w:left="240" w:top="60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46" w:lineRule="exact"/>
        <w:rPr>
          <w:sz w:val="20"/>
          <w:szCs w:val="20"/>
          <w:color w:val="auto"/>
        </w:rPr>
      </w:pPr>
    </w:p>
    <w:p>
      <w:pPr>
        <w:ind w:left="640" w:hanging="313"/>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46" w:lineRule="exact"/>
        <w:rPr>
          <w:rFonts w:ascii="Arial" w:cs="Arial" w:eastAsia="Arial" w:hAnsi="Arial"/>
          <w:sz w:val="18"/>
          <w:szCs w:val="18"/>
          <w:color w:val="auto"/>
        </w:rPr>
      </w:pPr>
    </w:p>
    <w:p>
      <w:pPr>
        <w:jc w:val="both"/>
        <w:ind w:left="640" w:hanging="313"/>
        <w:spacing w:after="0" w:line="25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640" w:hanging="313"/>
        <w:spacing w:after="0" w:line="26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jc w:val="both"/>
        <w:ind w:left="640" w:hanging="313"/>
        <w:spacing w:after="0" w:line="25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jc w:val="both"/>
        <w:ind w:left="1280" w:hanging="313"/>
        <w:spacing w:after="0" w:line="257" w:lineRule="auto"/>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313"/>
        <w:spacing w:after="0" w:line="257" w:lineRule="auto"/>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313"/>
        <w:spacing w:after="0" w:line="331" w:lineRule="auto"/>
        <w:tabs>
          <w:tab w:leader="none" w:pos="12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jc w:val="both"/>
        <w:ind w:left="1280" w:hanging="313"/>
        <w:spacing w:after="0" w:line="257" w:lineRule="auto"/>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hanging="313"/>
        <w:spacing w:after="0" w:line="297"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7"/>
          <w:szCs w:val="17"/>
          <w:color w:val="auto"/>
        </w:rPr>
      </w:pPr>
    </w:p>
    <w:p>
      <w:pPr>
        <w:ind w:left="1280" w:hanging="313"/>
        <w:spacing w:after="0" w:line="297" w:lineRule="auto"/>
        <w:tabs>
          <w:tab w:leader="none" w:pos="12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313"/>
        <w:spacing w:after="0" w:line="267" w:lineRule="auto"/>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96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36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46" w:lineRule="exact"/>
        <w:rPr>
          <w:sz w:val="20"/>
          <w:szCs w:val="20"/>
          <w:color w:val="auto"/>
        </w:rPr>
      </w:pPr>
    </w:p>
    <w:p>
      <w:pPr>
        <w:ind w:left="640" w:hanging="31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46" w:lineRule="exact"/>
        <w:rPr>
          <w:rFonts w:ascii="Arial" w:cs="Arial" w:eastAsia="Arial" w:hAnsi="Arial"/>
          <w:sz w:val="18"/>
          <w:szCs w:val="18"/>
          <w:color w:val="auto"/>
        </w:rPr>
      </w:pPr>
    </w:p>
    <w:p>
      <w:pPr>
        <w:jc w:val="both"/>
        <w:ind w:left="640" w:hanging="313"/>
        <w:spacing w:after="0" w:line="25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640" w:hanging="313"/>
        <w:spacing w:after="0" w:line="26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jc w:val="both"/>
        <w:ind w:left="640" w:hanging="313"/>
        <w:spacing w:after="0" w:line="25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jc w:val="both"/>
        <w:ind w:left="1280" w:hanging="313"/>
        <w:spacing w:after="0" w:line="257" w:lineRule="auto"/>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313"/>
        <w:spacing w:after="0" w:line="257" w:lineRule="auto"/>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313"/>
        <w:spacing w:after="0" w:line="331" w:lineRule="auto"/>
        <w:tabs>
          <w:tab w:leader="none" w:pos="12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jc w:val="both"/>
        <w:ind w:left="1280" w:hanging="313"/>
        <w:spacing w:after="0" w:line="257" w:lineRule="auto"/>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hanging="313"/>
        <w:spacing w:after="0" w:line="297"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7"/>
          <w:szCs w:val="17"/>
          <w:color w:val="auto"/>
        </w:rPr>
      </w:pPr>
    </w:p>
    <w:p>
      <w:pPr>
        <w:ind w:left="1280" w:hanging="313"/>
        <w:spacing w:after="0" w:line="297"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313"/>
        <w:spacing w:after="0" w:line="267" w:lineRule="auto"/>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96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420"/>
          </w:cols>
          <w:pgMar w:left="240" w:top="36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2012,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8" w:lineRule="exact"/>
        <w:rPr>
          <w:sz w:val="20"/>
          <w:szCs w:val="20"/>
          <w:color w:val="auto"/>
        </w:rPr>
      </w:pPr>
    </w:p>
    <w:p>
      <w:pPr>
        <w:ind w:left="800" w:hanging="313"/>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6" w:lineRule="exact"/>
        <w:rPr>
          <w:rFonts w:ascii="Arial" w:cs="Arial" w:eastAsia="Arial" w:hAnsi="Arial"/>
          <w:sz w:val="18"/>
          <w:szCs w:val="18"/>
          <w:color w:val="auto"/>
        </w:rPr>
      </w:pPr>
    </w:p>
    <w:p>
      <w:pPr>
        <w:ind w:left="800" w:hanging="313"/>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96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36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TransAct Technologies Incorporated (the “Company”) on Form 10-K for the period ending December 31, 2012,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7" w:lineRule="exact"/>
        <w:rPr>
          <w:sz w:val="20"/>
          <w:szCs w:val="20"/>
          <w:color w:val="auto"/>
        </w:rPr>
      </w:pPr>
    </w:p>
    <w:p>
      <w:pPr>
        <w:ind w:left="800" w:hanging="31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6" w:lineRule="exact"/>
        <w:rPr>
          <w:rFonts w:ascii="Arial" w:cs="Arial" w:eastAsia="Arial" w:hAnsi="Arial"/>
          <w:sz w:val="18"/>
          <w:szCs w:val="18"/>
          <w:color w:val="auto"/>
        </w:rPr>
      </w:pPr>
    </w:p>
    <w:p>
      <w:pPr>
        <w:ind w:left="800" w:hanging="313"/>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8962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980"/>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3"/>
    </w:lvl>
  </w:abstractNum>
  <w:abstractNum w:abstractNumId="16">
    <w:nsid w:val="836C40E"/>
    <w:multiLevelType w:val="hybridMultilevel"/>
    <w:lvl w:ilvl="0">
      <w:lvlJc w:val="left"/>
      <w:lvlText w:val="(%1)"/>
      <w:numFmt w:val="lowerRoman"/>
      <w:start w:val="10"/>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
    <w:nsid w:val="813864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lvl w:ilvl="1">
      <w:lvlJc w:val="left"/>
      <w:lvlText w:val="%2)"/>
      <w:numFmt w:val="lowerLetter"/>
      <w:start w:val="5"/>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4"/>
    </w:lvl>
  </w:abstractNum>
  <w:abstractNum w:abstractNumId="25">
    <w:nsid w:val="4516DDE9"/>
    <w:multiLevelType w:val="hybridMultilevel"/>
    <w:lvl w:ilvl="0">
      <w:lvlJc w:val="left"/>
      <w:lvlText w:val="%1."/>
      <w:numFmt w:val="decimal"/>
      <w:start w:val="5"/>
    </w:lvl>
  </w:abstractNum>
  <w:abstractNum w:abstractNumId="26">
    <w:nsid w:val="3006C83E"/>
    <w:multiLevelType w:val="hybridMultilevel"/>
    <w:lvl w:ilvl="0">
      <w:lvlJc w:val="left"/>
      <w:lvlText w:val="%1."/>
      <w:numFmt w:val="decimal"/>
      <w:start w:val="7"/>
    </w:lvl>
  </w:abstractNum>
  <w:abstractNum w:abstractNumId="27">
    <w:nsid w:val="614FD4A1"/>
    <w:multiLevelType w:val="hybridMultilevel"/>
    <w:lvl w:ilvl="0">
      <w:lvlJc w:val="left"/>
      <w:lvlText w:val="%1."/>
      <w:numFmt w:val="decimal"/>
      <w:start w:val="8"/>
    </w:lvl>
    <w:lvl w:ilvl="1">
      <w:lvlJc w:val="left"/>
      <w:lvlText w:val="%2."/>
      <w:numFmt w:val="decimal"/>
      <w:start w:val="10"/>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decimal"/>
      <w:start w:val="4"/>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34">
    <w:nsid w:val="7724C67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2019-12-06T15:57:00Z</dcterms:created>
  <dcterms:modified xsi:type="dcterms:W3CDTF">2019-12-06T15:57:00Z</dcterms:modified>
</cp:coreProperties>
</file>