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7" w:lineRule="exact"/>
        <w:rPr>
          <w:sz w:val="24"/>
          <w:szCs w:val="24"/>
          <w:color w:val="auto"/>
        </w:rPr>
      </w:pPr>
    </w:p>
    <w:p>
      <w:pPr>
        <w:ind w:left="3160"/>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1600" w:right="1360" w:hanging="451"/>
        <w:spacing w:after="0" w:line="261" w:lineRule="auto"/>
        <w:tabs>
          <w:tab w:leader="none" w:pos="1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52" w:lineRule="exact"/>
        <w:rPr>
          <w:sz w:val="24"/>
          <w:szCs w:val="24"/>
          <w:color w:val="auto"/>
        </w:rPr>
      </w:pPr>
    </w:p>
    <w:p>
      <w:pPr>
        <w:ind w:left="1600" w:right="1300" w:hanging="451"/>
        <w:spacing w:after="0" w:line="282" w:lineRule="auto"/>
        <w:tabs>
          <w:tab w:leader="none" w:pos="160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 (d) OF THE SECURITIES EXCHANGE ACT OF 1934</w:t>
      </w:r>
    </w:p>
    <w:p>
      <w:pPr>
        <w:sectPr>
          <w:pgSz w:w="11900" w:h="16838" w:orient="portrait"/>
          <w:cols w:equalWidth="0" w:num="1">
            <w:col w:w="11420"/>
          </w:cols>
          <w:pgMar w:left="240" w:top="693" w:right="239" w:bottom="879" w:gutter="0" w:footer="0" w:header="0"/>
        </w:sectPr>
      </w:pPr>
    </w:p>
    <w:p>
      <w:pPr>
        <w:spacing w:after="0" w:line="189" w:lineRule="exact"/>
        <w:rPr>
          <w:sz w:val="24"/>
          <w:szCs w:val="24"/>
          <w:color w:val="auto"/>
        </w:rPr>
      </w:pPr>
    </w:p>
    <w:p>
      <w:pPr>
        <w:ind w:left="31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jc w:val="center"/>
        <w:ind w:right="18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4"/>
          <w:szCs w:val="24"/>
          <w:color w:val="auto"/>
        </w:rPr>
      </w:pPr>
    </w:p>
    <w:p>
      <w:pPr>
        <w:sectPr>
          <w:pgSz w:w="11900" w:h="16838" w:orient="portrait"/>
          <w:cols w:equalWidth="0" w:num="3">
            <w:col w:w="5740" w:space="720"/>
            <w:col w:w="320" w:space="720"/>
            <w:col w:w="3920"/>
          </w:cols>
          <w:pgMar w:left="240" w:top="693" w:right="239" w:bottom="879" w:gutter="0" w:footer="0" w:header="0"/>
          <w:type w:val="continuous"/>
        </w:sectPr>
      </w:pPr>
    </w:p>
    <w:p>
      <w:pPr>
        <w:spacing w:after="0" w:line="5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0-21121</w:t>
      </w:r>
    </w:p>
    <w:p>
      <w:pPr>
        <w:sectPr>
          <w:pgSz w:w="11900" w:h="16838" w:orient="portrait"/>
          <w:cols w:equalWidth="0" w:num="1">
            <w:col w:w="11420"/>
          </w:cols>
          <w:pgMar w:left="240" w:top="693" w:right="239" w:bottom="879" w:gutter="0" w:footer="0" w:header="0"/>
          <w:type w:val="continuous"/>
        </w:sectPr>
      </w:pPr>
    </w:p>
    <w:p>
      <w:pPr>
        <w:spacing w:after="0" w:line="50"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1780540</wp:posOffset>
            </wp:positionH>
            <wp:positionV relativeFrom="paragraph">
              <wp:posOffset>142875</wp:posOffset>
            </wp:positionV>
            <wp:extent cx="3696335" cy="8750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96335" cy="875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256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48" w:lineRule="exact"/>
        <w:rPr>
          <w:sz w:val="24"/>
          <w:szCs w:val="24"/>
          <w:color w:val="auto"/>
        </w:rPr>
      </w:pPr>
    </w:p>
    <w:tbl>
      <w:tblPr>
        <w:tblLayout w:type="fixed"/>
        <w:tblInd w:w="11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400" w:type="dxa"/>
            <w:vAlign w:val="bottom"/>
          </w:tcPr>
          <w:p>
            <w:pPr>
              <w:ind w:left="1820"/>
              <w:spacing w:after="0"/>
              <w:rPr>
                <w:sz w:val="20"/>
                <w:szCs w:val="20"/>
                <w:color w:val="auto"/>
              </w:rPr>
            </w:pPr>
            <w:r>
              <w:rPr>
                <w:rFonts w:ascii="Arial" w:cs="Arial" w:eastAsia="Arial" w:hAnsi="Arial"/>
                <w:sz w:val="18"/>
                <w:szCs w:val="18"/>
                <w:b w:val="1"/>
                <w:bCs w:val="1"/>
                <w:color w:val="auto"/>
              </w:rPr>
              <w:t>Delaware</w:t>
            </w:r>
          </w:p>
        </w:tc>
        <w:tc>
          <w:tcPr>
            <w:tcW w:w="4700" w:type="dxa"/>
            <w:vAlign w:val="bottom"/>
            <w:gridSpan w:val="4"/>
          </w:tcPr>
          <w:p>
            <w:pPr>
              <w:jc w:val="center"/>
              <w:ind w:left="170"/>
              <w:spacing w:after="0"/>
              <w:rPr>
                <w:sz w:val="20"/>
                <w:szCs w:val="20"/>
                <w:color w:val="auto"/>
              </w:rPr>
            </w:pPr>
            <w:r>
              <w:rPr>
                <w:rFonts w:ascii="Arial" w:cs="Arial" w:eastAsia="Arial" w:hAnsi="Arial"/>
                <w:sz w:val="18"/>
                <w:szCs w:val="18"/>
                <w:b w:val="1"/>
                <w:bCs w:val="1"/>
                <w:color w:val="auto"/>
                <w:w w:val="91"/>
              </w:rPr>
              <w:t>06-1456680</w:t>
            </w:r>
          </w:p>
        </w:tc>
      </w:tr>
      <w:tr>
        <w:trPr>
          <w:trHeight w:val="230"/>
        </w:trPr>
        <w:tc>
          <w:tcPr>
            <w:tcW w:w="20" w:type="dxa"/>
            <w:vAlign w:val="bottom"/>
          </w:tcPr>
          <w:p>
            <w:pPr>
              <w:spacing w:after="0"/>
              <w:rPr>
                <w:sz w:val="20"/>
                <w:szCs w:val="20"/>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or Other Jurisdiction of Incorporation or Organization)</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427"/>
        </w:trPr>
        <w:tc>
          <w:tcPr>
            <w:tcW w:w="20" w:type="dxa"/>
            <w:vAlign w:val="bottom"/>
          </w:tcPr>
          <w:p>
            <w:pPr>
              <w:spacing w:after="0"/>
              <w:rPr>
                <w:sz w:val="24"/>
                <w:szCs w:val="24"/>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0"/>
              </w:rPr>
              <w:t>One Hamden Center, 2319 Whitney Avenue, Suite 3B,</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80" w:type="dxa"/>
            <w:vAlign w:val="bottom"/>
          </w:tcPr>
          <w:p>
            <w:pPr>
              <w:spacing w:after="0"/>
              <w:rPr>
                <w:sz w:val="24"/>
                <w:szCs w:val="24"/>
                <w:color w:val="auto"/>
              </w:rPr>
            </w:pPr>
          </w:p>
        </w:tc>
      </w:tr>
      <w:tr>
        <w:trPr>
          <w:trHeight w:val="241"/>
        </w:trPr>
        <w:tc>
          <w:tcPr>
            <w:tcW w:w="20" w:type="dxa"/>
            <w:vAlign w:val="bottom"/>
          </w:tcPr>
          <w:p>
            <w:pPr>
              <w:spacing w:after="0"/>
              <w:rPr>
                <w:sz w:val="20"/>
                <w:szCs w:val="20"/>
                <w:color w:val="auto"/>
              </w:rPr>
            </w:pPr>
          </w:p>
        </w:tc>
        <w:tc>
          <w:tcPr>
            <w:tcW w:w="4400" w:type="dxa"/>
            <w:vAlign w:val="bottom"/>
          </w:tcPr>
          <w:p>
            <w:pPr>
              <w:jc w:val="center"/>
              <w:spacing w:after="0"/>
              <w:rPr>
                <w:sz w:val="20"/>
                <w:szCs w:val="20"/>
                <w:color w:val="auto"/>
              </w:rPr>
            </w:pPr>
            <w:r>
              <w:rPr>
                <w:rFonts w:ascii="Arial" w:cs="Arial" w:eastAsia="Arial" w:hAnsi="Arial"/>
                <w:sz w:val="18"/>
                <w:szCs w:val="18"/>
                <w:b w:val="1"/>
                <w:bCs w:val="1"/>
                <w:color w:val="auto"/>
                <w:w w:val="95"/>
              </w:rPr>
              <w:t>Hamden, CT</w:t>
            </w:r>
          </w:p>
        </w:tc>
        <w:tc>
          <w:tcPr>
            <w:tcW w:w="470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7"/>
              </w:rPr>
              <w:t>06518</w:t>
            </w:r>
          </w:p>
        </w:tc>
      </w:tr>
      <w:tr>
        <w:trPr>
          <w:trHeight w:val="230"/>
        </w:trPr>
        <w:tc>
          <w:tcPr>
            <w:tcW w:w="20" w:type="dxa"/>
            <w:vAlign w:val="bottom"/>
          </w:tcPr>
          <w:p>
            <w:pPr>
              <w:spacing w:after="0"/>
              <w:rPr>
                <w:sz w:val="20"/>
                <w:szCs w:val="20"/>
                <w:color w:val="auto"/>
              </w:rPr>
            </w:pPr>
          </w:p>
        </w:tc>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17145</wp:posOffset>
            </wp:positionV>
            <wp:extent cx="57975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52" w:lineRule="exact"/>
        <w:rPr>
          <w:sz w:val="24"/>
          <w:szCs w:val="24"/>
          <w:color w:val="auto"/>
        </w:rPr>
      </w:pPr>
    </w:p>
    <w:p>
      <w:pPr>
        <w:ind w:right="3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693" w:right="239" w:bottom="879" w:gutter="0" w:footer="0" w:header="0"/>
          <w:type w:val="continuous"/>
        </w:sectPr>
      </w:pPr>
    </w:p>
    <w:p>
      <w:pPr>
        <w:spacing w:after="0" w:line="174"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Large accelerated filer o</w:t>
      </w:r>
    </w:p>
    <w:p>
      <w:pPr>
        <w:spacing w:after="0" w:line="23"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240"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31" w:lineRule="exact"/>
        <w:rPr>
          <w:sz w:val="24"/>
          <w:szCs w:val="24"/>
          <w:color w:val="auto"/>
        </w:rPr>
      </w:pPr>
    </w:p>
    <w:p>
      <w:pPr>
        <w:sectPr>
          <w:pgSz w:w="11900" w:h="16838" w:orient="portrait"/>
          <w:cols w:equalWidth="0" w:num="3">
            <w:col w:w="6240" w:space="120"/>
            <w:col w:w="1980" w:space="80"/>
            <w:col w:w="3000"/>
          </w:cols>
          <w:pgMar w:left="240" w:top="693" w:right="239" w:bottom="879"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31, 2013, the number of shares outstanding of the Company’s common stock, $0.01 par value, was 8,244,580.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438785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93" w:right="239" w:bottom="87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20" w:type="dxa"/>
            <w:vAlign w:val="bottom"/>
            <w:gridSpan w:val="11"/>
          </w:tcPr>
          <w:p>
            <w:pPr>
              <w:jc w:val="center"/>
              <w:ind w:right="1800"/>
              <w:spacing w:after="0"/>
              <w:rPr>
                <w:sz w:val="20"/>
                <w:szCs w:val="20"/>
                <w:color w:val="auto"/>
              </w:rPr>
            </w:pPr>
            <w:r>
              <w:rPr>
                <w:rFonts w:ascii="Arial" w:cs="Arial" w:eastAsia="Arial" w:hAnsi="Arial"/>
                <w:sz w:val="18"/>
                <w:szCs w:val="18"/>
                <w:b w:val="1"/>
                <w:bCs w:val="1"/>
                <w:color w:val="auto"/>
              </w:rPr>
              <w:t>TRANSACT TECHNOLOGIES INCORPORATED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300" w:type="dxa"/>
            <w:vAlign w:val="bottom"/>
            <w:tcBorders>
              <w:top w:val="single" w:sz="8" w:color="auto"/>
            </w:tcBorders>
            <w:gridSpan w:val="4"/>
          </w:tcPr>
          <w:p>
            <w:pPr>
              <w:jc w:val="center"/>
              <w:ind w:right="1720"/>
              <w:spacing w:after="0"/>
              <w:rPr>
                <w:sz w:val="20"/>
                <w:szCs w:val="20"/>
                <w:color w:val="auto"/>
              </w:rPr>
            </w:pPr>
            <w:r>
              <w:rPr>
                <w:rFonts w:ascii="Arial" w:cs="Arial" w:eastAsia="Arial" w:hAnsi="Arial"/>
                <w:sz w:val="18"/>
                <w:szCs w:val="18"/>
                <w:b w:val="1"/>
                <w:bCs w:val="1"/>
                <w:color w:val="auto"/>
              </w:rPr>
              <w:t>INDEX</w:t>
            </w:r>
          </w:p>
        </w:tc>
        <w:tc>
          <w:tcPr>
            <w:tcW w:w="1800" w:type="dxa"/>
            <w:vAlign w:val="bottom"/>
            <w:gridSpan w:val="3"/>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42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580" w:type="dxa"/>
            <w:vAlign w:val="bottom"/>
            <w:tcBorders>
              <w:top w:val="single" w:sz="8" w:color="auto"/>
            </w:tcBorders>
          </w:tcPr>
          <w:p>
            <w:pPr>
              <w:spacing w:after="0"/>
              <w:rPr>
                <w:sz w:val="24"/>
                <w:szCs w:val="24"/>
                <w:color w:val="auto"/>
              </w:rPr>
            </w:pPr>
          </w:p>
        </w:tc>
        <w:tc>
          <w:tcPr>
            <w:tcW w:w="352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180" w:type="dxa"/>
            <w:vAlign w:val="bottom"/>
          </w:tcPr>
          <w:p>
            <w:pPr>
              <w:spacing w:after="0"/>
              <w:rPr>
                <w:sz w:val="2"/>
                <w:szCs w:val="2"/>
                <w:color w:val="auto"/>
              </w:rPr>
            </w:pPr>
          </w:p>
        </w:tc>
        <w:tc>
          <w:tcPr>
            <w:tcW w:w="78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2380" w:type="dxa"/>
            <w:vAlign w:val="bottom"/>
            <w:gridSpan w:val="10"/>
            <w:vMerge w:val="restart"/>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 (unaudited)</w:t>
              </w:r>
            </w:hyperlink>
          </w:p>
        </w:tc>
        <w:tc>
          <w:tcPr>
            <w:tcW w:w="6180" w:type="dxa"/>
            <w:vAlign w:val="bottom"/>
            <w:gridSpan w:val="12"/>
            <w:vMerge w:val="restart"/>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18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2380" w:type="dxa"/>
            <w:vAlign w:val="bottom"/>
            <w:tcBorders>
              <w:bottom w:val="single" w:sz="8" w:color="0000EE"/>
            </w:tcBorders>
            <w:gridSpan w:val="10"/>
            <w:vMerge w:val="continue"/>
          </w:tcPr>
          <w:p>
            <w:pPr>
              <w:spacing w:after="0"/>
              <w:rPr>
                <w:sz w:val="24"/>
                <w:szCs w:val="24"/>
                <w:color w:val="auto"/>
              </w:rPr>
            </w:pPr>
          </w:p>
        </w:tc>
        <w:tc>
          <w:tcPr>
            <w:tcW w:w="6180" w:type="dxa"/>
            <w:vAlign w:val="bottom"/>
            <w:gridSpan w:val="12"/>
            <w:vMerge w:val="continue"/>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580" w:type="dxa"/>
            <w:vAlign w:val="bottom"/>
            <w:tcBorders>
              <w:bottom w:val="single" w:sz="8" w:color="0000EE"/>
            </w:tcBorders>
            <w:gridSpan w:val="1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2013 and December 31, 2012</w:t>
              </w:r>
            </w:hyperlink>
          </w:p>
        </w:tc>
        <w:tc>
          <w:tcPr>
            <w:tcW w:w="19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40" w:type="dxa"/>
            <w:vAlign w:val="bottom"/>
            <w:tcBorders>
              <w:bottom w:val="single" w:sz="8" w:color="0000EE"/>
            </w:tcBorders>
            <w:gridSpan w:val="21"/>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Income for the three and nine months ended September 30, 2013 and 2012</w:t>
              </w:r>
            </w:hyperlink>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560" w:type="dxa"/>
            <w:vAlign w:val="bottom"/>
            <w:tcBorders>
              <w:bottom w:val="single" w:sz="8" w:color="0000EE"/>
            </w:tcBorders>
            <w:gridSpan w:val="22"/>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Condensed Consolidated Statements of Comprehensive Income for the three and nine months ended September 30,</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560" w:type="dxa"/>
            <w:vAlign w:val="bottom"/>
            <w:gridSpan w:val="22"/>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2013 and 2012</w:t>
              </w:r>
            </w:hyperlink>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4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Cash Flows for the nine months ended September 30, 2013 and 2012</w:t>
              </w:r>
            </w:hyperlink>
          </w:p>
        </w:tc>
        <w:tc>
          <w:tcPr>
            <w:tcW w:w="72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560" w:type="dxa"/>
            <w:vAlign w:val="bottom"/>
            <w:gridSpan w:val="2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60" w:type="dxa"/>
            <w:vAlign w:val="bottom"/>
            <w:gridSpan w:val="3"/>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644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2120" w:type="dxa"/>
            <w:vAlign w:val="bottom"/>
            <w:gridSpan w:val="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Quantitative and Qualitative Disclosures About Market Risk</w:t>
              </w:r>
            </w:hyperlink>
          </w:p>
        </w:tc>
        <w:tc>
          <w:tcPr>
            <w:tcW w:w="42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8560" w:type="dxa"/>
            <w:vAlign w:val="bottom"/>
            <w:gridSpan w:val="22"/>
          </w:tcPr>
          <w:p>
            <w:pPr>
              <w:spacing w:after="0"/>
              <w:rPr>
                <w:sz w:val="20"/>
                <w:szCs w:val="20"/>
                <w:color w:val="auto"/>
              </w:rPr>
            </w:pPr>
            <w:r>
              <w:rPr>
                <w:rFonts w:ascii="Arial" w:cs="Arial" w:eastAsia="Arial" w:hAnsi="Arial"/>
                <w:sz w:val="18"/>
                <w:szCs w:val="18"/>
                <w:color w:val="0000EE"/>
              </w:rPr>
              <w:t>Controls and Procedures</w:t>
            </w: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520" w:type="dxa"/>
            <w:vAlign w:val="bottom"/>
            <w:gridSpan w:val="2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PART II - Other Information:</w:t>
              </w:r>
            </w:hyperlink>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856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Legal Proceedings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7"/>
              </w:rPr>
            </w:pPr>
            <w:hyperlink w:anchor="page22">
              <w:r>
                <w:rPr>
                  <w:rFonts w:ascii="Arial" w:cs="Arial" w:eastAsia="Arial" w:hAnsi="Arial"/>
                  <w:sz w:val="18"/>
                  <w:szCs w:val="18"/>
                  <w:color w:val="0000EE"/>
                  <w:w w:val="87"/>
                </w:rPr>
                <w:t>Risk Factors</w:t>
              </w:r>
            </w:hyperlink>
          </w:p>
        </w:tc>
        <w:tc>
          <w:tcPr>
            <w:tcW w:w="460" w:type="dxa"/>
            <w:vAlign w:val="bottom"/>
            <w:tcBorders>
              <w:top w:val="single" w:sz="8" w:color="0000EE"/>
            </w:tcBorders>
            <w:gridSpan w:val="4"/>
          </w:tcPr>
          <w:p>
            <w:pPr>
              <w:spacing w:after="0"/>
              <w:rPr>
                <w:sz w:val="24"/>
                <w:szCs w:val="24"/>
                <w:color w:val="auto"/>
              </w:rPr>
            </w:pPr>
          </w:p>
        </w:tc>
        <w:tc>
          <w:tcPr>
            <w:tcW w:w="720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856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Unregistered Sales of Equity Securities and Use of Proceeds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24"/>
                <w:szCs w:val="24"/>
                <w:color w:val="auto"/>
              </w:rPr>
            </w:pPr>
          </w:p>
        </w:tc>
        <w:tc>
          <w:tcPr>
            <w:tcW w:w="422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8560" w:type="dxa"/>
            <w:vAlign w:val="bottom"/>
            <w:gridSpan w:val="22"/>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Mine Safety Disclosures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Other Information</w:t>
              </w:r>
            </w:hyperlink>
          </w:p>
        </w:tc>
        <w:tc>
          <w:tcPr>
            <w:tcW w:w="680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Exhibits</w:t>
              </w:r>
            </w:hyperlink>
          </w:p>
        </w:tc>
        <w:tc>
          <w:tcPr>
            <w:tcW w:w="700" w:type="dxa"/>
            <w:vAlign w:val="bottom"/>
            <w:tcBorders>
              <w:top w:val="single" w:sz="8" w:color="0000EE"/>
            </w:tcBorders>
            <w:gridSpan w:val="4"/>
          </w:tcPr>
          <w:p>
            <w:pPr>
              <w:spacing w:after="0"/>
              <w:rPr>
                <w:sz w:val="24"/>
                <w:szCs w:val="24"/>
                <w:color w:val="auto"/>
              </w:rPr>
            </w:pPr>
          </w:p>
        </w:tc>
        <w:tc>
          <w:tcPr>
            <w:tcW w:w="726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8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5">
              <w:r>
                <w:rPr>
                  <w:rFonts w:ascii="Arial" w:cs="Arial" w:eastAsia="Arial" w:hAnsi="Arial"/>
                  <w:sz w:val="18"/>
                  <w:szCs w:val="18"/>
                  <w:color w:val="0000EE"/>
                  <w:w w:val="92"/>
                </w:rPr>
                <w:t>SIGNATURES</w:t>
              </w:r>
            </w:hyperlink>
          </w:p>
        </w:tc>
        <w:tc>
          <w:tcPr>
            <w:tcW w:w="8240" w:type="dxa"/>
            <w:vAlign w:val="bottom"/>
            <w:gridSpan w:val="21"/>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743" w:right="1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62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20" w:type="dxa"/>
            <w:vAlign w:val="bottom"/>
          </w:tcPr>
          <w:p>
            <w:pPr>
              <w:jc w:val="center"/>
              <w:ind w:left="1790"/>
              <w:spacing w:after="0"/>
              <w:rPr>
                <w:sz w:val="20"/>
                <w:szCs w:val="20"/>
                <w:color w:val="auto"/>
              </w:rPr>
            </w:pPr>
            <w:r>
              <w:rPr>
                <w:rFonts w:ascii="Arial" w:cs="Arial" w:eastAsia="Arial" w:hAnsi="Arial"/>
                <w:sz w:val="18"/>
                <w:szCs w:val="18"/>
                <w:b w:val="1"/>
                <w:bCs w:val="1"/>
                <w:color w:val="auto"/>
              </w:rPr>
              <w:t>TRANSACT TECHNOLOGIES INCORPORATED</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20" w:type="dxa"/>
            <w:vAlign w:val="bottom"/>
          </w:tcPr>
          <w:p>
            <w:pPr>
              <w:jc w:val="center"/>
              <w:ind w:left="179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20" w:type="dxa"/>
            <w:vAlign w:val="bottom"/>
          </w:tcPr>
          <w:p>
            <w:pPr>
              <w:jc w:val="center"/>
              <w:ind w:left="179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September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6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20" w:type="dxa"/>
            <w:vAlign w:val="bottom"/>
            <w:shd w:val="clear" w:color="auto" w:fill="CCEEFF"/>
          </w:tcPr>
          <w:p>
            <w:pPr>
              <w:spacing w:after="0"/>
              <w:rPr>
                <w:sz w:val="17"/>
                <w:szCs w:val="17"/>
                <w:color w:val="auto"/>
              </w:rPr>
            </w:pPr>
          </w:p>
        </w:tc>
        <w:tc>
          <w:tcPr>
            <w:tcW w:w="2200" w:type="dxa"/>
            <w:vAlign w:val="bottom"/>
            <w:gridSpan w:val="6"/>
            <w:shd w:val="clear" w:color="auto" w:fill="CCEEFF"/>
          </w:tcPr>
          <w:p>
            <w:pPr>
              <w:jc w:val="center"/>
              <w:spacing w:after="0" w:line="201" w:lineRule="exact"/>
              <w:rPr>
                <w:sz w:val="20"/>
                <w:szCs w:val="20"/>
                <w:color w:val="auto"/>
              </w:rPr>
            </w:pPr>
            <w:r>
              <w:rPr>
                <w:rFonts w:ascii="Arial" w:cs="Arial" w:eastAsia="Arial" w:hAnsi="Arial"/>
                <w:sz w:val="18"/>
                <w:szCs w:val="18"/>
                <w:i w:val="1"/>
                <w:iCs w:val="1"/>
                <w:color w:val="auto"/>
                <w:w w:val="88"/>
              </w:rPr>
              <w:t>(In thousands, except share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vMerge w:val="continue"/>
            <w:shd w:val="clear" w:color="auto" w:fill="CCEEFF"/>
          </w:tcPr>
          <w:p>
            <w:pPr>
              <w:spacing w:after="0"/>
              <w:rPr>
                <w:sz w:val="20"/>
                <w:szCs w:val="20"/>
                <w:color w:val="auto"/>
              </w:rPr>
            </w:pPr>
          </w:p>
        </w:tc>
        <w:tc>
          <w:tcPr>
            <w:tcW w:w="6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4"/>
            <w:shd w:val="clear" w:color="auto" w:fill="CCEEFF"/>
          </w:tcPr>
          <w:p>
            <w:pPr>
              <w:jc w:val="center"/>
              <w:ind w:left="550"/>
              <w:spacing w:after="0"/>
              <w:rPr>
                <w:sz w:val="20"/>
                <w:szCs w:val="20"/>
                <w:color w:val="auto"/>
              </w:rPr>
            </w:pPr>
            <w:r>
              <w:rPr>
                <w:rFonts w:ascii="Arial" w:cs="Arial" w:eastAsia="Arial" w:hAnsi="Arial"/>
                <w:sz w:val="18"/>
                <w:szCs w:val="18"/>
                <w:i w:val="1"/>
                <w:iCs w:val="1"/>
                <w:color w:val="auto"/>
                <w:w w:val="92"/>
              </w:rPr>
              <w:t>data)</w:t>
            </w:r>
          </w:p>
        </w:tc>
        <w:tc>
          <w:tcPr>
            <w:tcW w:w="8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Current assets:</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2,755</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Inventories</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12,896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33,189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35,699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Fixed assets, net</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w w:val="90"/>
              </w:rPr>
              <w:t>Deferred tax assets</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 of accumulated amortization of $1,683 and $1,298,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1,984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assets</w:t>
            </w:r>
          </w:p>
        </w:tc>
        <w:tc>
          <w:tcPr>
            <w:tcW w:w="6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Total assets</w:t>
            </w:r>
          </w:p>
        </w:tc>
        <w:tc>
          <w:tcPr>
            <w:tcW w:w="6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41,911</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45,228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5,847</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3,120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Accrued contingent consideration (Note 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9,378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Borders>
              <w:top w:val="single" w:sz="8" w:color="CCEEFF"/>
            </w:tcBorders>
            <w:gridSpan w:val="2"/>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Deferred rent, net of current portion</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contingent consideration, net of current portion (Note 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spacing w:after="0"/>
              <w:rPr>
                <w:sz w:val="20"/>
                <w:szCs w:val="20"/>
                <w:color w:val="auto"/>
              </w:rPr>
            </w:pPr>
            <w:r>
              <w:rPr>
                <w:rFonts w:ascii="Arial" w:cs="Arial" w:eastAsia="Arial" w:hAnsi="Arial"/>
                <w:sz w:val="18"/>
                <w:szCs w:val="18"/>
                <w:color w:val="auto"/>
              </w:rPr>
              <w:t>Other liabilities</w:t>
            </w:r>
          </w:p>
        </w:tc>
        <w:tc>
          <w:tcPr>
            <w:tcW w:w="6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60" w:type="dxa"/>
            <w:vAlign w:val="bottom"/>
            <w:gridSpan w:val="2"/>
            <w:shd w:val="clear" w:color="auto" w:fill="CCEEFF"/>
          </w:tcPr>
          <w:p>
            <w:pPr>
              <w:ind w:left="480"/>
              <w:spacing w:after="0" w:line="201" w:lineRule="exact"/>
              <w:rPr>
                <w:sz w:val="20"/>
                <w:szCs w:val="20"/>
                <w:color w:val="auto"/>
              </w:rPr>
            </w:pPr>
            <w:r>
              <w:rPr>
                <w:rFonts w:ascii="Arial" w:cs="Arial" w:eastAsia="Arial" w:hAnsi="Arial"/>
                <w:sz w:val="18"/>
                <w:szCs w:val="18"/>
                <w:color w:val="auto"/>
                <w:w w:val="95"/>
              </w:rPr>
              <w:t>Common stock, $0.01 par value, 20,000,000 shares authorized; 11,031,618 and 10,903,077 shares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issued, respectively; 8,244,580 and 8,720,200 shares</w:t>
            </w:r>
          </w:p>
        </w:tc>
        <w:tc>
          <w:tcPr>
            <w:tcW w:w="100" w:type="dxa"/>
            <w:vAlign w:val="bottom"/>
            <w:shd w:val="clear" w:color="auto" w:fill="CCEEFF"/>
          </w:tcPr>
          <w:p>
            <w:pPr>
              <w:spacing w:after="0"/>
              <w:rPr>
                <w:sz w:val="18"/>
                <w:szCs w:val="18"/>
                <w:color w:val="auto"/>
              </w:rPr>
            </w:pP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outstanding, respectively</w:t>
            </w:r>
          </w:p>
        </w:tc>
        <w:tc>
          <w:tcPr>
            <w:tcW w:w="100" w:type="dxa"/>
            <w:vAlign w:val="bottom"/>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27,096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26,796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480"/>
              <w:spacing w:after="0"/>
              <w:rPr>
                <w:sz w:val="20"/>
                <w:szCs w:val="20"/>
                <w:color w:val="auto"/>
              </w:rPr>
            </w:pPr>
            <w:r>
              <w:rPr>
                <w:rFonts w:ascii="Arial" w:cs="Arial" w:eastAsia="Arial" w:hAnsi="Arial"/>
                <w:sz w:val="18"/>
                <w:szCs w:val="18"/>
                <w:color w:val="auto"/>
              </w:rPr>
              <w:t>Accumulated other comprehensive loss, net of tax</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Treasury stock, at cost, 2,787,038 and 2,182,877 shares, respectively</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(22,527)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800"/>
              <w:spacing w:after="0"/>
              <w:rPr>
                <w:sz w:val="20"/>
                <w:szCs w:val="20"/>
                <w:color w:val="auto"/>
              </w:rPr>
            </w:pPr>
            <w:r>
              <w:rPr>
                <w:rFonts w:ascii="Arial" w:cs="Arial" w:eastAsia="Arial" w:hAnsi="Arial"/>
                <w:sz w:val="18"/>
                <w:szCs w:val="18"/>
                <w:color w:val="auto"/>
              </w:rPr>
              <w:t>Total shareholders’ equity</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31,409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41,911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45,228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66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3" w:name="page4"/>
    <w:bookmarkEnd w:id="3"/>
    <w:p>
      <w:pPr>
        <w:jc w:val="center"/>
        <w:ind w:right="-1139"/>
        <w:spacing w:after="0"/>
        <w:rPr>
          <w:sz w:val="20"/>
          <w:szCs w:val="20"/>
          <w:color w:val="auto"/>
        </w:rPr>
      </w:pPr>
      <w:r>
        <w:rPr>
          <w:rFonts w:ascii="Arial" w:cs="Arial" w:eastAsia="Arial" w:hAnsi="Arial"/>
          <w:sz w:val="18"/>
          <w:szCs w:val="18"/>
          <w:b w:val="1"/>
          <w:bCs w:val="1"/>
          <w:color w:val="auto"/>
        </w:rPr>
        <w:t>TRANSACT TECHNOLOGIES INCORPORATED</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6"/>
          </w:tcPr>
          <w:p>
            <w:pPr>
              <w:ind w:left="1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60" w:type="dxa"/>
            <w:vAlign w:val="bottom"/>
            <w:gridSpan w:val="6"/>
          </w:tcPr>
          <w:p>
            <w:pPr>
              <w:ind w:left="36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60" w:type="dxa"/>
            <w:vAlign w:val="bottom"/>
            <w:gridSpan w:val="4"/>
          </w:tcPr>
          <w:p>
            <w:pPr>
              <w:jc w:val="right"/>
              <w:ind w:right="70"/>
              <w:spacing w:after="0"/>
              <w:rPr>
                <w:sz w:val="20"/>
                <w:szCs w:val="20"/>
                <w:color w:val="auto"/>
              </w:rPr>
            </w:pPr>
            <w:r>
              <w:rPr>
                <w:rFonts w:ascii="Arial" w:cs="Arial" w:eastAsia="Arial" w:hAnsi="Arial"/>
                <w:sz w:val="18"/>
                <w:szCs w:val="18"/>
                <w:i w:val="1"/>
                <w:iCs w:val="1"/>
                <w:color w:val="auto"/>
                <w:w w:val="85"/>
              </w:rPr>
              <w:t>(In thousands,</w:t>
            </w:r>
          </w:p>
        </w:tc>
        <w:tc>
          <w:tcPr>
            <w:tcW w:w="1160" w:type="dxa"/>
            <w:vAlign w:val="bottom"/>
            <w:gridSpan w:val="4"/>
          </w:tcPr>
          <w:p>
            <w:pPr>
              <w:spacing w:after="0"/>
              <w:rPr>
                <w:sz w:val="20"/>
                <w:szCs w:val="20"/>
                <w:color w:val="auto"/>
              </w:rPr>
            </w:pPr>
            <w:r>
              <w:rPr>
                <w:rFonts w:ascii="Arial" w:cs="Arial" w:eastAsia="Arial" w:hAnsi="Arial"/>
                <w:sz w:val="18"/>
                <w:szCs w:val="18"/>
                <w:i w:val="1"/>
                <w:iCs w:val="1"/>
                <w:color w:val="auto"/>
                <w:w w:val="76"/>
              </w:rPr>
              <w:t>except share data)</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16,768</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15,358</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47,613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9,562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9,679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30,471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7,206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5,679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18,299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Engineering, design and product development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1,041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2,049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5,819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40"/>
              <w:spacing w:after="0"/>
              <w:rPr>
                <w:sz w:val="20"/>
                <w:szCs w:val="20"/>
                <w:color w:val="auto"/>
              </w:rPr>
            </w:pPr>
            <w:r>
              <w:rPr>
                <w:rFonts w:ascii="Arial" w:cs="Arial" w:eastAsia="Arial" w:hAnsi="Arial"/>
                <w:sz w:val="18"/>
                <w:szCs w:val="18"/>
                <w:color w:val="auto"/>
              </w:rPr>
              <w:t>Legal fees associated with lawsuit (Note 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1,036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Business consolidation and restructuring (Note 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5,291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5,636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14,967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15,567</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1,915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w:t>
            </w: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Interest,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1,885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1,451</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23</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3,826</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0.17</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0.17</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Shares used in per-share calculation: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32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8,695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8,759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Dividends declared and paid per common share:</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0.07</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4" w:name="page5"/>
    <w:bookmarkEnd w:id="4"/>
    <w:p>
      <w:pPr>
        <w:jc w:val="center"/>
        <w:ind w:left="1380" w:right="1260"/>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8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2012</w:t>
            </w:r>
          </w:p>
        </w:tc>
        <w:tc>
          <w:tcPr>
            <w:tcW w:w="2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0" w:type="dxa"/>
            <w:vAlign w:val="bottom"/>
            <w:gridSpan w:val="7"/>
          </w:tcPr>
          <w:p>
            <w:pPr>
              <w:ind w:left="440"/>
              <w:spacing w:after="0"/>
              <w:rPr>
                <w:sz w:val="20"/>
                <w:szCs w:val="20"/>
                <w:color w:val="auto"/>
              </w:rPr>
            </w:pPr>
            <w:r>
              <w:rPr>
                <w:rFonts w:ascii="Arial" w:cs="Arial" w:eastAsia="Arial" w:hAnsi="Arial"/>
                <w:sz w:val="18"/>
                <w:szCs w:val="18"/>
                <w:i w:val="1"/>
                <w:iCs w:val="1"/>
                <w:color w:val="auto"/>
              </w:rPr>
              <w:t>(In thousands)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1,451</w:t>
            </w:r>
          </w:p>
        </w:tc>
        <w:tc>
          <w:tcPr>
            <w:tcW w:w="8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3,826</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1,467</w:t>
            </w:r>
          </w:p>
        </w:tc>
        <w:tc>
          <w:tcPr>
            <w:tcW w:w="82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3,815</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5" w:name="page6"/>
    <w:bookmarkEnd w:id="5"/>
    <w:p>
      <w:pPr>
        <w:jc w:val="center"/>
        <w:ind w:left="1400" w:right="1860"/>
        <w:spacing w:after="0" w:line="275" w:lineRule="auto"/>
        <w:rPr>
          <w:sz w:val="20"/>
          <w:szCs w:val="20"/>
          <w:color w:val="auto"/>
        </w:rPr>
      </w:pPr>
      <w:r>
        <w:rPr>
          <w:rFonts w:ascii="Arial" w:cs="Arial" w:eastAsia="Arial" w:hAnsi="Arial"/>
          <w:sz w:val="18"/>
          <w:szCs w:val="18"/>
          <w:b w:val="1"/>
          <w:bCs w:val="1"/>
          <w:color w:val="auto"/>
        </w:rPr>
        <w:t>TRANSACT TECHNOLOGIES INCORPORATED CONDENSED CONSOLIDATED STATEMENTS OF CASH FLOWS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6"/>
          </w:tcPr>
          <w:p>
            <w:pPr>
              <w:ind w:left="10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6"/>
          </w:tcPr>
          <w:p>
            <w:pPr>
              <w:ind w:left="32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6"/>
          </w:tcPr>
          <w:p>
            <w:pPr>
              <w:ind w:left="32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Net income</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3,826</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960"/>
              <w:spacing w:after="0"/>
              <w:rPr>
                <w:sz w:val="20"/>
                <w:szCs w:val="20"/>
                <w:color w:val="auto"/>
              </w:rPr>
            </w:pPr>
            <w:r>
              <w:rPr>
                <w:rFonts w:ascii="Arial" w:cs="Arial" w:eastAsia="Arial" w:hAnsi="Arial"/>
                <w:sz w:val="18"/>
                <w:szCs w:val="18"/>
                <w:color w:val="auto"/>
              </w:rPr>
              <w:t>Share-based compensation expense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Incremental tax benefits from stock options exercised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96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Gain on sale of fixed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960"/>
              <w:spacing w:after="0"/>
              <w:rPr>
                <w:sz w:val="20"/>
                <w:szCs w:val="20"/>
                <w:color w:val="auto"/>
              </w:rPr>
            </w:pPr>
            <w:r>
              <w:rPr>
                <w:rFonts w:ascii="Arial" w:cs="Arial" w:eastAsia="Arial" w:hAnsi="Arial"/>
                <w:sz w:val="18"/>
                <w:szCs w:val="18"/>
                <w:color w:val="auto"/>
              </w:rPr>
              <w:t>Foreign currency transaction (gains) losses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4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440"/>
              <w:spacing w:after="0"/>
              <w:rPr>
                <w:sz w:val="20"/>
                <w:szCs w:val="20"/>
                <w:color w:val="auto"/>
              </w:rPr>
            </w:pPr>
            <w:r>
              <w:rPr>
                <w:rFonts w:ascii="Arial" w:cs="Arial" w:eastAsia="Arial" w:hAnsi="Arial"/>
                <w:sz w:val="18"/>
                <w:szCs w:val="18"/>
                <w:color w:val="auto"/>
              </w:rPr>
              <w:t>Prepaid income taxes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Other current and long term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Accrued liabilities and other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500"/>
              <w:spacing w:after="0"/>
              <w:rPr>
                <w:sz w:val="20"/>
                <w:szCs w:val="20"/>
                <w:color w:val="auto"/>
              </w:rPr>
            </w:pPr>
            <w:r>
              <w:rPr>
                <w:rFonts w:ascii="Arial" w:cs="Arial" w:eastAsia="Arial" w:hAnsi="Arial"/>
                <w:sz w:val="18"/>
                <w:szCs w:val="18"/>
                <w:color w:val="auto"/>
              </w:rPr>
              <w:t>Additions to capitalized software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sale of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9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(599)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stock option exercises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Payment of dividends on 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Purchases of common stock for treasury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80"/>
              <w:spacing w:after="0"/>
              <w:rPr>
                <w:sz w:val="20"/>
                <w:szCs w:val="20"/>
                <w:color w:val="auto"/>
              </w:rPr>
            </w:pPr>
            <w:r>
              <w:rPr>
                <w:rFonts w:ascii="Arial" w:cs="Arial" w:eastAsia="Arial" w:hAnsi="Arial"/>
                <w:sz w:val="18"/>
                <w:szCs w:val="18"/>
                <w:color w:val="auto"/>
              </w:rPr>
              <w:t>Incremental tax benefits from stock options exercised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(6,210)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7,537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2,755</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45"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513" w:right="1379" w:bottom="1440" w:gutter="0" w:footer="0" w:header="0"/>
        </w:sectPr>
      </w:pPr>
    </w:p>
    <w:bookmarkStart w:id="6" w:name="page7"/>
    <w:bookmarkEnd w:id="6"/>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2012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2012 included in our Annual Report on Form 10-K.</w:t>
      </w:r>
    </w:p>
    <w:p>
      <w:pPr>
        <w:spacing w:after="0" w:line="20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financial position and results of operations of our U.K. foreign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in the Condensed Consolidated Statements of Income.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nine months ended September 30, 2013 are not necessarily indicative of the results to be expected for the full year.</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gridSpan w:val="2"/>
          </w:tcPr>
          <w:p>
            <w:pPr>
              <w:spacing w:after="0"/>
              <w:rPr>
                <w:sz w:val="20"/>
                <w:szCs w:val="20"/>
                <w:color w:val="auto"/>
              </w:rPr>
            </w:pPr>
            <w:r>
              <w:rPr>
                <w:rFonts w:ascii="Arial" w:cs="Arial" w:eastAsia="Arial" w:hAnsi="Arial"/>
                <w:sz w:val="18"/>
                <w:szCs w:val="18"/>
                <w:b w:val="1"/>
                <w:bCs w:val="1"/>
                <w:color w:val="auto"/>
              </w:rPr>
              <w:t>2. Inventories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80" w:type="dxa"/>
            <w:vAlign w:val="bottom"/>
            <w:gridSpan w:val="2"/>
          </w:tcPr>
          <w:p>
            <w:pPr>
              <w:spacing w:after="0"/>
              <w:rPr>
                <w:sz w:val="20"/>
                <w:szCs w:val="20"/>
                <w:color w:val="auto"/>
              </w:rPr>
            </w:pPr>
            <w:r>
              <w:rPr>
                <w:rFonts w:ascii="Arial" w:cs="Arial" w:eastAsia="Arial" w:hAnsi="Arial"/>
                <w:sz w:val="18"/>
                <w:szCs w:val="18"/>
                <w:color w:val="auto"/>
              </w:rPr>
              <w:t>The components of inventories are:</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September</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1080" w:type="dxa"/>
            <w:vAlign w:val="bottom"/>
            <w:gridSpan w:val="4"/>
          </w:tcPr>
          <w:p>
            <w:pPr>
              <w:ind w:left="2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gridSpan w:val="6"/>
          </w:tcPr>
          <w:p>
            <w:pPr>
              <w:ind w:left="48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component parts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Work-in-process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12,896</w:t>
            </w:r>
          </w:p>
        </w:tc>
        <w:tc>
          <w:tcPr>
            <w:tcW w:w="1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10,321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Accrued product warranty liability</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activity recorded in the accrued product warranty liability during the nine months ended September 30, 2013: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4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rPr>
              <w:t>(In</w:t>
            </w:r>
          </w:p>
        </w:tc>
      </w:tr>
      <w:tr>
        <w:trPr>
          <w:trHeight w:val="230"/>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i w:val="1"/>
                <w:iCs w:val="1"/>
                <w:color w:val="auto"/>
                <w:w w:val="94"/>
              </w:rPr>
              <w:t>thousands)</w:t>
            </w: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3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Warranties issued</w:t>
            </w:r>
          </w:p>
        </w:tc>
        <w:tc>
          <w:tcPr>
            <w:tcW w:w="3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settlements</w:t>
            </w:r>
          </w:p>
        </w:tc>
        <w:tc>
          <w:tcPr>
            <w:tcW w:w="366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Balance, end of period</w:t>
            </w:r>
          </w:p>
        </w:tc>
        <w:tc>
          <w:tcPr>
            <w:tcW w:w="36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 w:type="dxa"/>
            <w:vAlign w:val="bottom"/>
            <w:tcBorders>
              <w:bottom w:val="single" w:sz="8" w:color="auto"/>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Approximately $90,000 of the accrued product warranty liability is classified as long-term in Other liabilities at September 30, 2013 in the Condensed Consolidated Balance Sheets.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Accrued contingent consideration</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acquisition of substantially all of the assets of Printrex, Inc. (“Printrex”) on August 19, 2011, we entered into a contingent consideration arrangement for 30% of the gross profit for a three-year period related to certain new products under development, less certain other adjustments, beginning on the earlier of 1) January 1, 2012 or 2) the date of first commercial introduction of the new products under development. The undiscounted fair value related to the contingent liability could range from approximately $400,000 to $1,500,000. The fair value of the contingent consideration arrangement was $760,000 and $960,000 at September 30, 2013 and December 31, 2012, respectively, which was estimated by applying the income approach. That measure is based on significant inputs that are not observable in the market, which fair value measurement guidance refers to as Level 3 inputs. During the first nine months of 2013, the fair value of the contingent consideration decreased by $200,000 and this is reflected as a reduction in general and administrative expenses on the Condensed Consolidated Statements of Income. No payments were made under the arrangement during the nine months ended September 30, 2013 as the underlying conditions of the contingent consideration arrangement were not satisfied. Refer to Note 3, Business acquisitions, to the Company’s Consolidated Financial Statements included in the Company’s 2012 Annual Report on Form 10-K for the year ended December 31, 2012 for additional information regarding this contingent consideration arrangement.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Earnings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reconciliation of basic weighted average shares outstanding and diluted weighted average shares outstanding:</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6"/>
              </w:rPr>
              <w:t>Three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2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i w:val="1"/>
                <w:iCs w:val="1"/>
                <w:color w:val="auto"/>
              </w:rPr>
              <w:t>(In</w:t>
            </w:r>
          </w:p>
        </w:tc>
        <w:tc>
          <w:tcPr>
            <w:tcW w:w="100" w:type="dxa"/>
            <w:vAlign w:val="bottom"/>
          </w:tcPr>
          <w:p>
            <w:pPr>
              <w:spacing w:after="0"/>
              <w:rPr>
                <w:sz w:val="20"/>
                <w:szCs w:val="20"/>
                <w:color w:val="auto"/>
              </w:rPr>
            </w:pPr>
          </w:p>
        </w:tc>
        <w:tc>
          <w:tcPr>
            <w:tcW w:w="2560" w:type="dxa"/>
            <w:vAlign w:val="bottom"/>
            <w:gridSpan w:val="10"/>
          </w:tcPr>
          <w:p>
            <w:pPr>
              <w:spacing w:after="0"/>
              <w:rPr>
                <w:sz w:val="20"/>
                <w:szCs w:val="20"/>
                <w:color w:val="auto"/>
              </w:rPr>
            </w:pPr>
            <w:r>
              <w:rPr>
                <w:rFonts w:ascii="Arial" w:cs="Arial" w:eastAsia="Arial" w:hAnsi="Arial"/>
                <w:sz w:val="18"/>
                <w:szCs w:val="18"/>
                <w:i w:val="1"/>
                <w:iCs w:val="1"/>
                <w:color w:val="auto"/>
                <w:w w:val="92"/>
              </w:rPr>
              <w:t>thousands, except per share data)</w:t>
            </w: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1,451</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3,826</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Basic: Weighted average common shares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8,582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8,822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8,675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 Dilutive effect of outstanding options as determined by the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treasury stock method</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80" w:type="dxa"/>
            <w:vAlign w:val="bottom"/>
          </w:tcPr>
          <w:p>
            <w:pPr>
              <w:spacing w:after="0" w:line="201" w:lineRule="exact"/>
              <w:rPr>
                <w:sz w:val="20"/>
                <w:szCs w:val="20"/>
                <w:color w:val="auto"/>
              </w:rPr>
            </w:pPr>
            <w:r>
              <w:rPr>
                <w:rFonts w:ascii="Arial" w:cs="Arial" w:eastAsia="Arial" w:hAnsi="Arial"/>
                <w:sz w:val="18"/>
                <w:szCs w:val="18"/>
                <w:color w:val="auto"/>
              </w:rPr>
              <w:t>Diluted: Weighted average common and common equivalent shares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8,695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8,759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per common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0.17</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0.17</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0.44</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three months ended September 30, 2013 and 2012, there were 316,000 and 585,125, respectively, potentially dilutive shares consisting of stock options that were excluded from the calculation of earnings per diluted share. For the nine months ended September 30, 2013 and 2012, there were 405,000 and 585,125, respectively, potentially dilutive shares consisting of stock options that were excluded from the calculation of earnings per diluted share.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8" w:name="page9"/>
    <w:bookmarkEnd w:id="8"/>
    <w:p>
      <w:pPr>
        <w:jc w:val="center"/>
        <w:spacing w:after="0" w:line="275" w:lineRule="auto"/>
        <w:rPr>
          <w:sz w:val="20"/>
          <w:szCs w:val="20"/>
          <w:color w:val="auto"/>
        </w:rPr>
      </w:pPr>
      <w:r>
        <w:rPr>
          <w:rFonts w:ascii="Arial" w:cs="Arial" w:eastAsia="Arial" w:hAnsi="Arial"/>
          <w:sz w:val="18"/>
          <w:szCs w:val="18"/>
          <w:b w:val="1"/>
          <w:bCs w:val="1"/>
          <w:color w:val="auto"/>
        </w:rPr>
        <w:t xml:space="preserve">TRANSACT TECHNOLOGIES INCORPORATED 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6. Shareholders’ equity</w:t>
            </w: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640" w:type="dxa"/>
            <w:vAlign w:val="bottom"/>
            <w:gridSpan w:val="2"/>
          </w:tcPr>
          <w:p>
            <w:pPr>
              <w:spacing w:after="0"/>
              <w:rPr>
                <w:sz w:val="20"/>
                <w:szCs w:val="20"/>
                <w:color w:val="auto"/>
              </w:rPr>
            </w:pPr>
            <w:r>
              <w:rPr>
                <w:rFonts w:ascii="Arial" w:cs="Arial" w:eastAsia="Arial" w:hAnsi="Arial"/>
                <w:sz w:val="18"/>
                <w:szCs w:val="18"/>
                <w:color w:val="auto"/>
                <w:w w:val="96"/>
              </w:rPr>
              <w:t>Changes in shareholders’ equity for the nine months ended September 30, 2013 were as follows (in thousands):</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issuance of shares from exercise of stock options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660"/>
              <w:spacing w:after="0"/>
              <w:rPr>
                <w:sz w:val="20"/>
                <w:szCs w:val="20"/>
                <w:color w:val="auto"/>
              </w:rPr>
            </w:pPr>
            <w:r>
              <w:rPr>
                <w:rFonts w:ascii="Arial" w:cs="Arial" w:eastAsia="Arial" w:hAnsi="Arial"/>
                <w:sz w:val="18"/>
                <w:szCs w:val="18"/>
                <w:color w:val="auto"/>
              </w:rPr>
              <w:t>Share-based compensation expense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Incremental tax benefits from stock options exercised</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660"/>
              <w:spacing w:after="0"/>
              <w:rPr>
                <w:sz w:val="20"/>
                <w:szCs w:val="20"/>
                <w:color w:val="auto"/>
              </w:rPr>
            </w:pPr>
            <w:r>
              <w:rPr>
                <w:rFonts w:ascii="Arial" w:cs="Arial" w:eastAsia="Arial" w:hAnsi="Arial"/>
                <w:sz w:val="18"/>
                <w:szCs w:val="18"/>
                <w:color w:val="auto"/>
              </w:rPr>
              <w:t>Issuance of deferred stock units, net of relinquishments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660"/>
              <w:spacing w:after="0"/>
              <w:rPr>
                <w:sz w:val="20"/>
                <w:szCs w:val="20"/>
                <w:color w:val="auto"/>
              </w:rPr>
            </w:pPr>
            <w:r>
              <w:rPr>
                <w:rFonts w:ascii="Arial" w:cs="Arial" w:eastAsia="Arial" w:hAnsi="Arial"/>
                <w:sz w:val="18"/>
                <w:szCs w:val="18"/>
                <w:color w:val="auto"/>
              </w:rPr>
              <w:t>Reversal of deferred tax asset in connection with stock options forfeited</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Dividends declared and paid on common stock</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660"/>
              <w:spacing w:after="0"/>
              <w:rPr>
                <w:sz w:val="20"/>
                <w:szCs w:val="20"/>
                <w:color w:val="auto"/>
              </w:rPr>
            </w:pPr>
            <w:r>
              <w:rPr>
                <w:rFonts w:ascii="Arial" w:cs="Arial" w:eastAsia="Arial" w:hAnsi="Arial"/>
                <w:sz w:val="18"/>
                <w:szCs w:val="18"/>
                <w:color w:val="auto"/>
              </w:rPr>
              <w:t>Purchases of common stock for treasury</w:t>
            </w:r>
          </w:p>
        </w:tc>
        <w:tc>
          <w:tcPr>
            <w:tcW w:w="6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2013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paid a portion of the 2012 incentive bonus for the chief executive officer and chief financial officer in the form of deferred stock units. Such deferred stock units were granted in March 2013 and were fully vested at the time of grant.</w:t>
      </w:r>
    </w:p>
    <w:p>
      <w:pPr>
        <w:spacing w:after="0" w:line="19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For the three months ended September 30, 2013, our Board of Directors declared a quarterly cash dividend of $0.07 per share, totaling approximately $611,000, which was paid in September 2013 to common shareholders of record at the close of business on August 20, 2013. For the nine months ended September 30, 2013, dividends declared and paid totaled $1,738,000, or $0.20 per share.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recorded an income tax provision for the third quarter of 2013 of $434,000 at an effective tax rate of 23.0%, compared to an income tax provision during the third quarter of 2012 of $13,000 at an effective tax rate of 36.1%. For the nine months ended September 30, 2013, we recorded an income tax provision of $1,300,000 at an effective tax rate of 25.4%, compared to an income tax provision during the nine months ended September 30, 2012 of $979,000 at an effective tax rate of 36.0%. Our effective tax rate for the third quarter of 2013 is unusually low due to a $224,000 reduction in tax liabilities for unrecognized tax benefits resulting from the completion of an audit of our 2010 federal income tax return. Our effective tax rate for the first nine months of 2013 is unusually low because it includes: 1) the previously discussed reduction in tax liabilities for unrecognized tax benefits recorded in the third quarter of 2013 and 2) the benefit from the 2012 federal research and development credit (“R&amp;D credit”) of approximately $220,000 as this credit was not renewed until January 2, 2013 as a component of the American Taxpayer Relief Act of 2012.</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U.S. federal income tax as well as income tax of certain state and foreign jurisdictions. We have substantially concluded all U.S. federal income tax, state and local, and foreign tax matters through 2009. During 2008, a limited scope examination of our 2005 and 2006 federal tax returns was completed and during 2013, an examination of our 2010 federal tax return was completed. However, our federal tax returns for the years 2010 through 2012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September 30, 2013, we had $73,000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consolidation and restructuring expenses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discussed in Note 8, Accrued business consolidation and restructuring expenses, of the Company’s 2012 Annual Report on Form 10-K for the year ended December 31, 2012, in January 2012, we determined that we no longer needed to maintain the existing Printrex manufacturing facility in San Jose, California, along with certain redundant headcount. As a result, we incurred expenses of $23,000 and $140,000, respectively, in the three and nine months ended September 30, 2012 for employee termination benefits related to these employee reductions as well as moving costs related to the closing of the San Jose manufacturing operations. This restructuring charge was recorded in accordance with ASC 420-10-25-4 “Exit or Disposal Cost Obligations” and cash payments made under this restructuring plan were completed by October 2012.</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20"/>
          </w:cols>
          <w:pgMar w:left="240" w:top="513" w:right="239" w:bottom="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498475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TransAct Technologies Incorporated (“TransAct”) designs, develops and sells market-specific solutions, including printers, terminals, software and other products for transaction-based and other industries. These world-class products are sold under the Epic,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Ithaca®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oil and gas and medical and mobile. We sell our products to original equipment manufacturers (“OEMs”), value-added resellers ("VARs"),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printers.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6"/>
          <w:szCs w:val="16"/>
          <w:u w:val="single" w:color="auto"/>
          <w:color w:val="auto"/>
        </w:rPr>
        <w:t>www.transactsupplies.com</w:t>
      </w:r>
      <w:r>
        <w:rPr>
          <w:rFonts w:ascii="Arial" w:cs="Arial" w:eastAsia="Arial" w:hAnsi="Arial"/>
          <w:sz w:val="16"/>
          <w:szCs w:val="16"/>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Judgments and Estimates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2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2012. We have reviewed those policies and determined that they remain our critical accounting policies for the nine months ended September 30, 2013.</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Three months ended September 30, 2013 compared to three months ended September 30, 2012</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three months ended September 30, 2013 and 2012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1,841</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7,511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6,100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1,111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1,209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16,768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15,358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1,410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 *</w:t>
            </w: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3,221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4,075</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(854)</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40" w:firstLine="8"/>
        <w:spacing w:after="0" w:line="277" w:lineRule="auto"/>
        <w:tabs>
          <w:tab w:leader="none" w:pos="13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17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sales for the third quarter of 2013 increased $1,410,000, or 9%, from the same period in 2012. Printer sales volume increased 2% to approximately 43,000 units driven primarily by a 20% increase in unit volume from the casino and gaming market and a 45% increase in unit volume from the food safety, banking and POS market. These increases were partially offset by a decrease in unit volume of 57% from the lottery market. The average selling price of our printers increased approximately 9% in the third quarter of 2013 compared to the third quarter of 2012 primarily due to higher sales contributions from our Ithaca ® 9700 food safety terminal. Overall, international sales decreased $854,000, or 21%, primarily driven by lower international casino and gaming printer sales.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Revenue from the food safety, banking and POS market includes sales of food safety terminals, hardware devices that consist of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 or validate checks at bank teller stations. A summary of sales of our worldwide food safety, banking and POS products for the three months ended September 30, 2013 and 2012 is as follows (in thousands, except percentages):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97.9%</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1,866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78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1,841</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increase in domestic food safety, banking and POS product revenue from the third quarter of 2012 was primarily driven by sales from our new Ithaca ® 9700 food safety terminal and Ithaca® 9000 printer during the quarter. These increases were partially offset by lower sales of our legacy POS printers as we continue to decrease our focus on this commoditized market. For the fourth quarter of 2013, we believe sales of our food safety terminals may be impacted by seasonality as restaurants may reduce purchases during the holiday season.</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Revenue from the casino and gaming market includes sales of printers used in slot machines, video lottery terminals (“VLTs”),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(“AWP”), Skills with Prizes (“SWP”) and Fixed Odds Betting Terminals (“FOBT”) at non-casino gaming establishments. Revenue from this market also includes royalties related to our patented casino and gaming technology. In addition, casino and gaming market revenue includes sales of our software solution, the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 that enables casino operators to create promotional coupons and marketing messages and to print them real-time at the slot machine. A summary of sales of our worldwide casino and gaming products for the three months ended September 30, 2013 and 2012 is as follows (in thousands, except percentages):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4,806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2,003</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2,705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3,297</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(592)</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7,511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6,100</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1,411</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increase in domestic sales of our casino and gaming products is primarily due to a 64% increase in sales of our thermal casino printers in addition to higher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compared to 2012 due to a new installation that occurred in the third quarter of 2013. We believe that our higher casino printer sales during the third quarter of 2013 resulted primarily from a higher replacement volume as compared to the third quarter of 2012.</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International casino and gaming printer sales decreased due primarily to a 40% decrease in sales of our off-premise thermal gaming printers mainly from a 91% and 28% decrease in sales to customers in Australia and Asia, and our European distributor, respectively. Sales of our off-premise gaming printers are largely project-oriented, and we therefore cannot predict the level of future sales. Additionally, sales of our thermal casino printers decreased 9% primarily from lower sales to our European distributor.</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Revenue from the lottery market includes sales of thermal on-line and other lottery printers to GTECH Corporation (“GTECH”) and its subsidiaries for various lottery applications. A summary of sales of our worldwide lottery printers for the three months ended September 30, 2013 and 2012 is as follows (in thousands, except percentages):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96.5%</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85</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(1,429)</w:t>
            </w: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2013 to be approximately $4 to $5 million.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Printrex branded printers are sold into markets that include wide format, rack mounted and vehicle mounted black/white and color thermal printers 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 summary of sales of our worldwide Printrex printers for the three months ended September 30, 2013 and 2012 is as follows (in thousands, except percentages):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gridSpan w:val="3"/>
          </w:tcPr>
          <w:p>
            <w:pPr>
              <w:ind w:left="16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929</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76.8%</w:t>
            </w:r>
          </w:p>
        </w:tc>
        <w:tc>
          <w:tcPr>
            <w:tcW w:w="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251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1,111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decrease in sales of Printrex printers is primarily due to lower domestic and international sales of black/ white printers in the oil and gas market, partially offset by higher sales of our two new color printers, the Printrex® 920 and Printrex® 980, into the worldwide oil and gas market.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September 30, 2013 and 2012 is as follows (in thousands, except percentages):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4"/>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7"/>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3,264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94.6%</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91.8%</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(192)</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(123)</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3,766</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(315)</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decrease in domestic revenue from TSG is primarily due to a 30% decrease in sales of non-Printrex consumable products and lower revenue from project-oriented paper testing service contracts as compared to the third quarter of 2012. These decreases were partially offset by higher sales of replacement parts and revenue contributions from consumables for our new Printrex color printers. Internationally, TSG revenue decreased due primarily to lower sales of replacement parts as compared to the third quarter of 2012.</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7,206</w:t>
            </w:r>
          </w:p>
        </w:tc>
        <w:tc>
          <w:tcPr>
            <w:tcW w:w="13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5,679</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w:t>
            </w:r>
          </w:p>
        </w:tc>
      </w:tr>
    </w:tbl>
    <w:p>
      <w:pPr>
        <w:spacing w:after="0" w:line="22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of our EPICENTRAL® print system. Gross profit increased $1,527,000, or 27%, and our gross margin significantly improved by 600 basis points as we continued to transition our business towards a more favorable sales mix of our new value-added products. During the third quarter of 2013, our gross margin primarily benefited from sales contributions from our new Ithaca ® 9700 food safety terminal and EPICENTRAL</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software sales in addition to higher sales volume of our thermal casino printers. We expect our gross margin for the remainder of 2013 to be higher than in 2012 as we expect to continue to benefit from increased sales of our new value-added products.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3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1,087</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decreased $46,000, or 4%, due primarily to lower outside testing and pre-production expenses related to the new products that were launched in the fourth quarter of 2012.</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3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1,571</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12.3%</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bl>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increased by $488,000, or 31%, in the third quarter of 2013 compared to the third quarter of 2012 primarily due to higher expenses associated with the timing of our largest tradeshow, the Global Gaming Expo (“G2E”), which occurred in the third quarter in 2013 and the fourth quarter in 2012. These expenses also increased due to the addition of new sales staff and increased marketing spend to support our newly launched products. Even with the additional sales staff, we expect selling and marketing expenses in the fourth quarter of 2013 to be lower than the third quarter of 2013 due to the timing of the G2E trade show.</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138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1,919</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increased $130,000, or 7%, due primarily to higher professional fees from the recruitment of the previously discussed additional sales staff.</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89"/>
              </w:rPr>
              <w:t>Three months ended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jc w:val="center"/>
              <w:ind w:right="570"/>
              <w:spacing w:after="0"/>
              <w:rPr>
                <w:sz w:val="20"/>
                <w:szCs w:val="20"/>
                <w:color w:val="auto"/>
              </w:rPr>
            </w:pPr>
            <w:r>
              <w:rPr>
                <w:rFonts w:ascii="Arial" w:cs="Arial" w:eastAsia="Arial" w:hAnsi="Arial"/>
                <w:sz w:val="18"/>
                <w:szCs w:val="18"/>
                <w:b w:val="1"/>
                <w:bCs w:val="1"/>
                <w:color w:val="auto"/>
                <w:w w:val="89"/>
              </w:rPr>
              <w:t>September 30,</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2012</w:t>
            </w:r>
          </w:p>
        </w:tc>
        <w:tc>
          <w:tcPr>
            <w:tcW w:w="5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w:t>
            </w:r>
          </w:p>
        </w:tc>
        <w:tc>
          <w:tcPr>
            <w:tcW w:w="122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1,036</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9 to the Condensed Consolidated Financial Statements, in June 2012, Avery Dennison Corporation filed a civil complaint against the Company. In connection with this lawsuit, we incurred legal fees and other related expenses of $142,000 and $1,036,000, respectively, in the third quarter of 2013 and 2012. We may incur additional legal fees related to this lawsuit for the remainder of 2013 and beyond, although we cannot predict the timing and extent of such legal fees.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6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89"/>
              </w:rPr>
              <w:t>Three months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center"/>
              <w:ind w:right="670"/>
              <w:spacing w:after="0"/>
              <w:rPr>
                <w:sz w:val="20"/>
                <w:szCs w:val="20"/>
                <w:color w:val="auto"/>
              </w:rPr>
            </w:pPr>
            <w:r>
              <w:rPr>
                <w:rFonts w:ascii="Arial" w:cs="Arial" w:eastAsia="Arial" w:hAnsi="Arial"/>
                <w:sz w:val="18"/>
                <w:szCs w:val="18"/>
                <w:b w:val="1"/>
                <w:bCs w:val="1"/>
                <w:color w:val="auto"/>
                <w:w w:val="89"/>
              </w:rPr>
              <w:t>September 30,</w:t>
            </w:r>
          </w:p>
        </w:tc>
        <w:tc>
          <w:tcPr>
            <w:tcW w:w="4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12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c>
          <w:tcPr>
            <w:tcW w:w="180" w:type="dxa"/>
            <w:vAlign w:val="bottom"/>
          </w:tcPr>
          <w:p>
            <w:pPr>
              <w:spacing w:after="0"/>
              <w:rPr>
                <w:sz w:val="20"/>
                <w:szCs w:val="20"/>
                <w:color w:val="auto"/>
              </w:rPr>
            </w:pP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2013</w:t>
            </w:r>
          </w:p>
        </w:tc>
        <w:tc>
          <w:tcPr>
            <w:tcW w:w="5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2012</w:t>
            </w:r>
          </w:p>
        </w:tc>
        <w:tc>
          <w:tcPr>
            <w:tcW w:w="4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20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2060" w:type="dxa"/>
            <w:vAlign w:val="bottom"/>
            <w:gridSpan w:val="3"/>
            <w:shd w:val="clear" w:color="auto" w:fill="CCEEFF"/>
          </w:tcPr>
          <w:p>
            <w:pPr>
              <w:jc w:val="right"/>
              <w:ind w:right="1070"/>
              <w:spacing w:after="0"/>
              <w:rPr>
                <w:sz w:val="20"/>
                <w:szCs w:val="20"/>
                <w:color w:val="auto"/>
              </w:rPr>
            </w:pPr>
            <w:r>
              <w:rPr>
                <w:rFonts w:ascii="Arial" w:cs="Arial" w:eastAsia="Arial" w:hAnsi="Arial"/>
                <w:sz w:val="18"/>
                <w:szCs w:val="18"/>
                <w:color w:val="auto"/>
              </w:rPr>
              <w:t>-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January 2012, we determined that we no longer needed to maintain the existing Printrex manufacturing facility in San Jose, California, along with certain redundant headcount. During the three months ended September 30, 2012, we recorded a restructuring charge of $23,000 for employee termination benefits related to these employee reductions as well as moving costs. We did not incur any restructuring charges in the third quarter of 2013.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1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Three months ended</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0" w:type="dxa"/>
            <w:vAlign w:val="bottom"/>
            <w:gridSpan w:val="2"/>
          </w:tcPr>
          <w:p>
            <w:pPr>
              <w:ind w:left="620"/>
              <w:spacing w:after="0"/>
              <w:rPr>
                <w:sz w:val="20"/>
                <w:szCs w:val="20"/>
                <w:color w:val="auto"/>
              </w:rPr>
            </w:pPr>
            <w:r>
              <w:rPr>
                <w:rFonts w:ascii="Arial" w:cs="Arial" w:eastAsia="Arial" w:hAnsi="Arial"/>
                <w:sz w:val="18"/>
                <w:szCs w:val="18"/>
                <w:b w:val="1"/>
                <w:bCs w:val="1"/>
                <w:color w:val="auto"/>
              </w:rPr>
              <w:t>Percent</w:t>
            </w:r>
          </w:p>
        </w:tc>
        <w:tc>
          <w:tcPr>
            <w:tcW w:w="23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Percent of</w:t>
            </w:r>
          </w:p>
        </w:tc>
        <w:tc>
          <w:tcPr>
            <w:tcW w:w="19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Percent of</w:t>
            </w:r>
          </w:p>
        </w:tc>
      </w:tr>
      <w:tr>
        <w:trPr>
          <w:trHeight w:val="223"/>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82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Change</w:t>
            </w:r>
          </w:p>
        </w:tc>
        <w:tc>
          <w:tcPr>
            <w:tcW w:w="180" w:type="dxa"/>
            <w:vAlign w:val="bottom"/>
          </w:tcPr>
          <w:p>
            <w:pPr>
              <w:spacing w:after="0"/>
              <w:rPr>
                <w:sz w:val="19"/>
                <w:szCs w:val="19"/>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6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Sales – 2012</w:t>
            </w:r>
          </w:p>
        </w:tc>
        <w:tc>
          <w:tcPr>
            <w:tcW w:w="20" w:type="dxa"/>
            <w:vAlign w:val="bottom"/>
          </w:tcPr>
          <w:p>
            <w:pPr>
              <w:spacing w:after="0"/>
              <w:rPr>
                <w:sz w:val="19"/>
                <w:szCs w:val="19"/>
                <w:color w:val="auto"/>
              </w:rPr>
            </w:pPr>
          </w:p>
        </w:tc>
      </w:tr>
      <w:tr>
        <w:trPr>
          <w:trHeight w:val="216"/>
        </w:trPr>
        <w:tc>
          <w:tcPr>
            <w:tcW w:w="11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1,915</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1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4,353.5%</w:t>
            </w:r>
          </w:p>
        </w:tc>
        <w:tc>
          <w:tcPr>
            <w:tcW w:w="2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income increased primarily due to a 600 basis point improvement in gross margin in the third quarter of 2013 as compared to the third quarter of 2012. In addition, both our operating profit and operating margin for the third quarter of 2013 were favorably impacted by lower legal fees incurred in connection with the AD lawsuit as compared to the third quarter of 2012 by $894,000 or approximately 530 basis points.</w:t>
      </w: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$8,000 in the third quarter of 2013 compared to net interest income of $3,000 in the third quarter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Interest expense related to the unused revolving credit line fee and amortization of deferred financing costs on our revolving credit facility with TD Bank remained consistent in the third quarter of 2013 compared to the third quarter of 2012. See “Liquidity and Capital Resources” below for more information.</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expense of $22,000 in the third quarter of 2013 compared to other expense of $10,000 in the third quarter of 2012. The 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higher foreign currency transaction exchange losses recorded by our U.K. subsidiary in the third quarter of 2013 compared to the third quarter of 2012.</w:t>
      </w:r>
    </w:p>
    <w:p>
      <w:pPr>
        <w:spacing w:after="0" w:line="200" w:lineRule="exact"/>
        <w:rPr>
          <w:sz w:val="20"/>
          <w:szCs w:val="20"/>
          <w:color w:val="auto"/>
        </w:rPr>
      </w:pPr>
    </w:p>
    <w:p>
      <w:pPr>
        <w:spacing w:after="0" w:line="2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third quarter of 2013 of $434,000 at an effective tax rate of 23.0%, compared to an income tax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provision during the third quarter of 2012 of $13,000 at an effective tax rate of 36.1%. Our effective tax rate for the third quarter of 2013 is unusually low due to a $224,000 reduction in tax liabilities for unrecognized tax benefits resulting from the completion of an audit of our 2010 federal income tax return. For the fourth quarter of 2013, we expect our effective tax rate to be between 33% and 34%.</w:t>
      </w:r>
    </w:p>
    <w:p>
      <w:pPr>
        <w:spacing w:after="0" w:line="200" w:lineRule="exact"/>
        <w:rPr>
          <w:sz w:val="20"/>
          <w:szCs w:val="20"/>
          <w:color w:val="auto"/>
        </w:rPr>
      </w:pPr>
    </w:p>
    <w:p>
      <w:pPr>
        <w:spacing w:after="0" w:line="25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third quarter of 2013 of $1,451,000, or $0.17 per diluted share, compared to $23,000, or $0.00 per diluted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 for the third quarter of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Results of Operations: Nine months ended September 30, 2013 compared to Nine months ended September 30, 2012</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which include printer, terminal and software sales as well as sales of replacement parts, consumables and maintenance and repair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by market for the nine months ended September 30, 2013 and 2012 were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Food safety, banking and POS</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Casino and gaming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21,573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22,623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Lottery</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Printrex</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3,486</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3,622</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TSG</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47,613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48,770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(1,157)</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 *</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10,549</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240" w:type="dxa"/>
            <w:vAlign w:val="bottom"/>
            <w:gridSpan w:val="2"/>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14,555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29.8%</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(4,006)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80"/>
        <w:spacing w:after="0" w:line="277" w:lineRule="auto"/>
        <w:rPr>
          <w:sz w:val="20"/>
          <w:szCs w:val="20"/>
          <w:color w:val="auto"/>
        </w:rPr>
      </w:pPr>
      <w:r>
        <w:rPr>
          <w:rFonts w:ascii="Arial" w:cs="Arial" w:eastAsia="Arial" w:hAnsi="Arial"/>
          <w:sz w:val="18"/>
          <w:szCs w:val="18"/>
          <w:color w:val="auto"/>
        </w:rPr>
        <w:t>*International sales do not include sales of printers made to domestic distributors or other domestic customers who may in turn ship those printers to international destinations.</w:t>
      </w:r>
    </w:p>
    <w:p>
      <w:pPr>
        <w:spacing w:after="0" w:line="197"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Net sales for the first nine months of 2013 decreased $1,157,000, or 2%, from the same period in 2012. Printer sales volume decreased 14% to approximately 117,000 units driven primarily by unit volume decreases of 45% and 9% from the lottery and casino and gaming markets, respectively. Despite slightly lower sales volume in the first nine months of 2013, the average selling price of our printers increased approximately 8% compared to the first nine months of 2012 primarily due to significant sales contributions from our new Ithaca ® 9700 food safety terminal in addition to lower sales of lottery and POS printers which have lower average selling prices than other printers. Overall, international sales decreased $4,006,000, or 28%, primarily driven by lower sales to the casino and gaming market.</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safety, banking and POS: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food safety, banking and POS products for the nine months ended September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8,894</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97.7%</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2,392</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(126)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(37.2%)</w:t>
            </w: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9,107</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2,266</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increase in domestic food safety, banking and POS product revenue as compared to the first nine months of 2012 was primarily driven by significant sales from our new Ithaca ® 9700 food safety terminal and Ithaca® 9000 printer during the nine months of 2013. This was partially offset by lower sales of our banking printers mainly due to the shipment of a large order for our Ithaca® 280 thermal receipt printer to a banking customer in the first nine months of 2012 that did not repeat in the same period in 2013 as well as lower sales of our legacy POS printers as we continue to decrease our focus on this commoditized market. For the fourth quarter of 2013, we believe sales of our food safety terminals may be impacted by seasonality as restaurants may reduce purchases during the holiday season.</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and gaming:</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A summary of sales of our worldwide casino and gaming products for the nine months ended September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12,366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10,345</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9,207</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12,278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(3,071)</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21,573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22,623</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increase in domestic sales of our casino and gaming products is primarily due to higher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due to four new installations that occurred in the first nine months of 2013 in addition to an 8% increase in sales of our thermal casino printers. We believe that our higher casino printer sales during the first nine months of 2013 resulted primarily from a higher replacement volume compared to the first nine months of 2012.</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International casino and gaming printer sales decreased in the first nine months of 2013 due primarily to a 49% decrease in sales of our off-premise thermal gaming printers mainly from 48% decreases in sales to both our European distributor and our customers in Australia and Asia. Sales of our off-premise gaming printers are largely project-oriented, and we therefore cannot predict the level of future sales. Additionally, sales of our thermal casino printers decreased by 15% primarily from 23% lower sales to our European distributor. This decline in sales of our thermal casino printers resulted primarily from fewer installations of VLT gaming machines in Italy as the government approved rollout of these games was substantially completed during 2012, and we therefore expect to ship fewer printers in 2013.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304"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Lottery</w:t>
      </w:r>
      <w:r>
        <w:rPr>
          <w:rFonts w:ascii="Arial" w:cs="Arial" w:eastAsia="Arial" w:hAnsi="Arial"/>
          <w:sz w:val="18"/>
          <w:szCs w:val="18"/>
          <w:b w:val="1"/>
          <w:bCs w:val="1"/>
          <w:color w:val="auto"/>
        </w:rPr>
        <w:t>:</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lottery printers for the nine months ended September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98.9%</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(2,034)</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320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(289)</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2,889</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5,212</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customer’s forecast, we expect total sales to GTECH for 2013 to be approximately $4 to $5 million.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Printrex:</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sales of our worldwide Printrex printers for the nine months ended September 30, 2013 and 2012 is as follows (in thousands, except percentages):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(156)</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3,486</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(136)</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decrease in Printrex printers is primarily due to lower international sales in both the oil and gas and medical and mobile markets, partially offset by higher sales of our two new color printers, the Printrex® 920 and Printrex® 980, into the worldwide oil and gas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TSG:</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nine months ended September 30, 2013 and 2012 is as follows (in thousands, except percentages):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20" w:type="dxa"/>
            <w:vAlign w:val="bottom"/>
            <w:gridSpan w:val="4"/>
          </w:tcPr>
          <w:p>
            <w:pPr>
              <w:ind w:left="14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40" w:type="dxa"/>
            <w:vAlign w:val="bottom"/>
            <w:gridSpan w:val="3"/>
          </w:tcPr>
          <w:p>
            <w:pPr>
              <w:ind w:left="220"/>
              <w:spacing w:after="0"/>
              <w:rPr>
                <w:sz w:val="20"/>
                <w:szCs w:val="20"/>
                <w:color w:val="auto"/>
              </w:rPr>
            </w:pPr>
            <w:r>
              <w:rPr>
                <w:rFonts w:ascii="Arial" w:cs="Arial" w:eastAsia="Arial" w:hAnsi="Arial"/>
                <w:sz w:val="18"/>
                <w:szCs w:val="18"/>
                <w:b w:val="1"/>
                <w:bCs w:val="1"/>
                <w:color w:val="auto"/>
              </w:rPr>
              <w:t>Change</w:t>
            </w: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6"/>
              </w:rPr>
              <w:t>September 30, 2013</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6"/>
              </w:rPr>
              <w:t>September 30, 2012</w:t>
            </w:r>
          </w:p>
        </w:tc>
        <w:tc>
          <w:tcPr>
            <w:tcW w:w="80" w:type="dxa"/>
            <w:vAlign w:val="bottom"/>
          </w:tcPr>
          <w:p>
            <w:pPr>
              <w:spacing w:after="0"/>
              <w:rPr>
                <w:sz w:val="20"/>
                <w:szCs w:val="20"/>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9,960</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9,510</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90.8%</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598</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962</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(364)</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10,558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10,472</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w:t>
            </w:r>
          </w:p>
        </w:tc>
        <w:tc>
          <w:tcPr>
            <w:tcW w:w="4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domestic revenue from TSG is primarily due to a 66% increase in sales of replacement parts in addition to higher service revenue and sales of consumables for our new Printrex color printers. These increases were largely offset by lower non-Printrex consumable product sales of 21%. Internationally, TSG revenue decreased due primarily to lower sales of replacement parts and accessories as compared to the first nine months of 2012.</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20,091</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18,299</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Gross profit increased $1,792,000, or 10%, and our gross margin significantly improved by 470 basis points as we continued to transition our business towards a more favorable sales mix of new value-added products. During the first nine months of 2013, our gross margin primarily benefited from sales contributions from our new Ithaca ® 9700 food safety terminal in addition to four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software installations. We expect our gross margin for the remainder of 2013 to be higher than in 2012 as we expect to continue to benefit from increased sales of our new value-added products.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ind w:right="400"/>
        <w:spacing w:after="0" w:line="277" w:lineRule="auto"/>
        <w:rPr>
          <w:sz w:val="20"/>
          <w:szCs w:val="20"/>
          <w:color w:val="auto"/>
        </w:rPr>
      </w:pPr>
      <w:r>
        <w:rPr>
          <w:rFonts w:ascii="Arial" w:cs="Arial" w:eastAsia="Arial" w:hAnsi="Arial"/>
          <w:sz w:val="18"/>
          <w:szCs w:val="18"/>
          <w:b w:val="1"/>
          <w:bCs w:val="1"/>
          <w:i w:val="1"/>
          <w:iCs w:val="1"/>
          <w:color w:val="auto"/>
        </w:rPr>
        <w:t xml:space="preserve">Engineering, Design and Product Development. </w:t>
      </w:r>
      <w:r>
        <w:rPr>
          <w:rFonts w:ascii="Arial" w:cs="Arial" w:eastAsia="Arial" w:hAnsi="Arial"/>
          <w:sz w:val="18"/>
          <w:szCs w:val="18"/>
          <w:color w:val="auto"/>
        </w:rPr>
        <w:t>Engineering, design and product development information is summarized below (in thousands,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3,252</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Such expenses decreased $204,000, or 6%, which was due primarily to lower outside testing and pre-production expenses related to the four new products that were launched in 2012.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4,846</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12.0%</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Such expenses increased by $856,000, or 18%, in the first nine months of 2013 compared to the first nine months of 2012 primarily due to the addition of new sales staff and increased marketing spend to support our newly launched products and higher expenses associated with the timing of our largest tradeshow, the Global Gaming Expo (“G2E”), which occurred in the third quarter in 2013 and the fourth quarter in 2012. Even with the additional sales staff, we expect selling and marketing expenses in the fourth quarter of 2013 to be lower than the third quarter of 2013 due to the timing of the G2E trade show.</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 and administrative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5,819</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5,822</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 and administrative expenses decreased $3,000 due primarily to higher professional fees from the recruitment of the previously discussed additional sales staff almost fully offset by lower legal fees and a reduction in the accrued contingent consideration liability to be paid in connection with the acquisition of Printrex as discussed in Note 4 to the Condensed Consolidated Financial Statements.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Fees Associated with Lawsuit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Legal fee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w:t>
            </w:r>
          </w:p>
        </w:tc>
        <w:tc>
          <w:tcPr>
            <w:tcW w:w="6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1,507</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(73.6%)</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9 to the Condensed Consolidated Financial Statements, in June 2012, Avery Dennison Corporation filed a civil complaint against the Company. In connection with this lawsuit, we incurred legal fees and other related expenses of $398,000 and $1,507,000, respectively, in the first nine months of 2013 and 2012. We may incur additional legal fees related to this lawsuit for the remainder of 2013 and beyond, although we cannot predict the timing and extent of such legal fees.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i w:val="1"/>
          <w:iCs w:val="1"/>
          <w:color w:val="auto"/>
        </w:rPr>
        <w:t xml:space="preserve">Business Consolidation and Restructuring. </w:t>
      </w:r>
      <w:r>
        <w:rPr>
          <w:rFonts w:ascii="Arial" w:cs="Arial" w:eastAsia="Arial" w:hAnsi="Arial"/>
          <w:sz w:val="16"/>
          <w:szCs w:val="16"/>
          <w:color w:val="auto"/>
        </w:rPr>
        <w:t>Business consolidation and restructuring information is summarized below (in thousands, except percentages):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140</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disclosed in Note 8 to the Condensed Consolidated Financial Statements, in January 2012, we determined that we no longer needed to maintain the existing Printrex manufacturing facility in San Jose, California, along with certain redundant headcount. During the nine months ended September 30, 2012, we recorded a restructuring charge of $140,000 for employee termination benefits related to these employee reductions as well as moving costs. We did not incur any restructuring charges in the first nine months of 2013.</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Income. </w:t>
      </w:r>
      <w:r>
        <w:rPr>
          <w:rFonts w:ascii="Arial" w:cs="Arial" w:eastAsia="Arial" w:hAnsi="Arial"/>
          <w:sz w:val="18"/>
          <w:szCs w:val="18"/>
          <w:color w:val="auto"/>
        </w:rPr>
        <w:t>Operating income information is summarized below (in thousands, except percentages):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tcPr>
          <w:p>
            <w:pPr>
              <w:spacing w:after="0"/>
              <w:rPr>
                <w:sz w:val="18"/>
                <w:szCs w:val="18"/>
                <w:color w:val="auto"/>
              </w:rPr>
            </w:pPr>
          </w:p>
        </w:tc>
        <w:tc>
          <w:tcPr>
            <w:tcW w:w="152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Nine months ended</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10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gridSpan w:val="2"/>
          </w:tcPr>
          <w:p>
            <w:pPr>
              <w:ind w:left="580"/>
              <w:spacing w:after="0"/>
              <w:rPr>
                <w:sz w:val="20"/>
                <w:szCs w:val="20"/>
                <w:color w:val="auto"/>
              </w:rPr>
            </w:pPr>
            <w:r>
              <w:rPr>
                <w:rFonts w:ascii="Arial" w:cs="Arial" w:eastAsia="Arial" w:hAnsi="Arial"/>
                <w:sz w:val="18"/>
                <w:szCs w:val="18"/>
                <w:b w:val="1"/>
                <w:bCs w:val="1"/>
                <w:color w:val="auto"/>
              </w:rPr>
              <w:t>Percent</w:t>
            </w:r>
          </w:p>
        </w:tc>
        <w:tc>
          <w:tcPr>
            <w:tcW w:w="2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Percent of</w:t>
            </w:r>
          </w:p>
        </w:tc>
        <w:tc>
          <w:tcPr>
            <w:tcW w:w="218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8"/>
              </w:rPr>
              <w:t>Percent of</w:t>
            </w:r>
          </w:p>
        </w:tc>
      </w:tr>
      <w:tr>
        <w:trPr>
          <w:trHeight w:val="223"/>
        </w:trPr>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19"/>
                <w:szCs w:val="19"/>
                <w:color w:val="auto"/>
              </w:rPr>
            </w:pPr>
          </w:p>
        </w:tc>
        <w:tc>
          <w:tcPr>
            <w:tcW w:w="17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19"/>
                <w:szCs w:val="19"/>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- 2013</w:t>
            </w:r>
          </w:p>
        </w:tc>
        <w:tc>
          <w:tcPr>
            <w:tcW w:w="180" w:type="dxa"/>
            <w:vAlign w:val="bottom"/>
          </w:tcPr>
          <w:p>
            <w:pPr>
              <w:spacing w:after="0"/>
              <w:rPr>
                <w:sz w:val="19"/>
                <w:szCs w:val="19"/>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Total Sales - 2012</w:t>
            </w:r>
          </w:p>
        </w:tc>
        <w:tc>
          <w:tcPr>
            <w:tcW w:w="20" w:type="dxa"/>
            <w:vAlign w:val="bottom"/>
          </w:tcPr>
          <w:p>
            <w:pPr>
              <w:spacing w:after="0"/>
              <w:rPr>
                <w:sz w:val="19"/>
                <w:szCs w:val="19"/>
                <w:color w:val="auto"/>
              </w:rPr>
            </w:pPr>
          </w:p>
        </w:tc>
      </w:tr>
      <w:tr>
        <w:trPr>
          <w:trHeight w:val="216"/>
        </w:trPr>
        <w:tc>
          <w:tcPr>
            <w:tcW w:w="110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8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2,732</w:t>
            </w: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87.6%</w:t>
            </w:r>
          </w:p>
        </w:tc>
        <w:tc>
          <w:tcPr>
            <w:tcW w:w="2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10.8%</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operating income increased primarily from the 470 basis point improvement in gross margin in the first nine months of 2013 as compared to the first nine months of 2012. Additionally, lower legal fees in connection with the AD lawsuit and no restructuring charges in the first nine months of 2013 also improved both operating income and operating margin by $1,249,000 and approximately 260 basis points, respectively. These increases were partially offset by 2% lower sales volume as well as higher selling and marketing expenses in the first nine months of 2013.</w:t>
      </w:r>
    </w:p>
    <w:p>
      <w:pPr>
        <w:spacing w:after="0" w:line="200" w:lineRule="exact"/>
        <w:rPr>
          <w:sz w:val="20"/>
          <w:szCs w:val="20"/>
          <w:color w:val="auto"/>
        </w:rPr>
      </w:pP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We recorded net interest expense of $9,000 in the first nine months of 2013 compared to net interest income of $7,000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Interest expense related to the unused revolving credit line fee and amortization of deferred financing costs on our revolving credit facility with TD Bank remained consistent in the first nine months of 2013 compared to the first nine months of 2012. See “Liquidity and Capital Resources” below for more information.</w:t>
      </w:r>
    </w:p>
    <w:p>
      <w:pPr>
        <w:spacing w:after="0" w:line="200" w:lineRule="exact"/>
        <w:rPr>
          <w:sz w:val="20"/>
          <w:szCs w:val="20"/>
          <w:color w:val="auto"/>
        </w:rPr>
      </w:pPr>
    </w:p>
    <w:p>
      <w:pPr>
        <w:spacing w:after="0" w:line="25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We recorded other income of $11,000 in the first nine months of 2013 compared to other expense of $21,000 in the first nine months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2012. The change was due to foreign currency transaction exchange gains recorded by our U.K. subsidiary in the first nine months of 2013 compared to losses recorded in the first nine months of 2012.</w:t>
      </w:r>
    </w:p>
    <w:p>
      <w:pPr>
        <w:spacing w:after="0" w:line="200" w:lineRule="exact"/>
        <w:rPr>
          <w:sz w:val="20"/>
          <w:szCs w:val="20"/>
          <w:color w:val="auto"/>
        </w:rPr>
      </w:pPr>
    </w:p>
    <w:p>
      <w:pPr>
        <w:spacing w:after="0" w:line="25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recorded an income tax provision for the nine months ended September 30, 2013 of $1,300,000 at an effective tax rate of 25.4%,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an income tax provision during the nine months ended September 30, 2012 of $979,000 at an effective tax rate of 36.0%. Our effective tax rate for the first nine months of 2013 is unusually low because it includes: 1) a $224,000 reduction in tax liabilities for unrecognized tax benefits resulting from the completion of an audit of our 2010 federal income tax return and 2) the benefit from the 2012 R&amp;D credit of approximately $220,000 as this credit was not renewed until January 2, 2013 as a component of the American Taxpayer Relief Act of 2012. For the fourth quarter of 2013, we expect our effective tax rate to be between 33% and 34%.</w:t>
      </w:r>
    </w:p>
    <w:p>
      <w:pPr>
        <w:spacing w:after="0" w:line="200" w:lineRule="exact"/>
        <w:rPr>
          <w:sz w:val="20"/>
          <w:szCs w:val="20"/>
          <w:color w:val="auto"/>
        </w:rPr>
      </w:pPr>
    </w:p>
    <w:p>
      <w:pPr>
        <w:spacing w:after="0" w:line="25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reported net income during the first nine months of 2013 of $3,826,000, or $0.44 per diluted share, compared to $1,739,000, or $0.19 per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diluted share, for the first nine months of 2012.</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the first nine months of 2013, our cash and cash equivalents balance decreased $4,782,000, or 63%, from December 31, 2012 and we ended the third quarter of 2013 with $2,755,000 in cash and cash equivalents and no debt outstanding. The primary reason for the significant decrease is the result of returning $6,932,000 to shareholders in the form of treasury share repurchases and cash dividends paid on common stock during the first nine months of 2013.</w:t>
      </w:r>
    </w:p>
    <w:p>
      <w:pPr>
        <w:spacing w:after="0" w:line="2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The following significant factors affected our cash provided by operating activities of $2,038,000 in the first nine months of 2013 as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our cash provided by operating activities of $7,784,000 in the first nine months of 2012:</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2013:</w:t>
      </w:r>
    </w:p>
    <w:p>
      <w:pPr>
        <w:spacing w:after="0" w:line="23" w:lineRule="exact"/>
        <w:rPr>
          <w:sz w:val="20"/>
          <w:szCs w:val="20"/>
          <w:color w:val="auto"/>
        </w:rPr>
      </w:pP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reported net income of $3,826,000.</w:t>
      </w:r>
    </w:p>
    <w:p>
      <w:pPr>
        <w:spacing w:after="0" w:line="9" w:lineRule="exact"/>
        <w:rPr>
          <w:rFonts w:ascii="Arial" w:cs="Arial" w:eastAsia="Arial" w:hAnsi="Arial"/>
          <w:sz w:val="18"/>
          <w:szCs w:val="18"/>
          <w:color w:val="auto"/>
        </w:rPr>
      </w:pP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$1,711,000, including $234,000 of amortization related to intangible assets acquired from Printrex.</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receivable decreased $358,000 due to a lower concentration of sales made during the latter portion of the third quarter of 2013 compared to the fourth quarter of 2012.</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Inventories increased $2,576,000 as we continue to increase stocking levels of our new food safety and Printrex products in anticipation of higher expected sales volume.</w:t>
      </w:r>
    </w:p>
    <w:p>
      <w:pPr>
        <w:ind w:left="1140" w:hanging="132"/>
        <w:spacing w:after="0" w:line="250" w:lineRule="auto"/>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Accounts payable decreased $575,000 due primarily to higher payments during the period from inventory purchased in the first nine months of 2013 to support the higher expected sales volume of our new products for the remainder of the year.</w:t>
      </w:r>
    </w:p>
    <w:p>
      <w:pPr>
        <w:ind w:left="1140" w:hanging="132"/>
        <w:spacing w:after="0" w:line="265" w:lineRule="auto"/>
        <w:tabs>
          <w:tab w:leader="none" w:pos="1140" w:val="left"/>
        </w:tabs>
        <w:numPr>
          <w:ilvl w:val="0"/>
          <w:numId w:val="4"/>
        </w:numPr>
        <w:rPr>
          <w:rFonts w:ascii="Arial" w:cs="Arial" w:eastAsia="Arial" w:hAnsi="Arial"/>
          <w:sz w:val="17"/>
          <w:szCs w:val="17"/>
          <w:color w:val="auto"/>
        </w:rPr>
      </w:pPr>
      <w:r>
        <w:rPr>
          <w:rFonts w:ascii="Arial" w:cs="Arial" w:eastAsia="Arial" w:hAnsi="Arial"/>
          <w:sz w:val="17"/>
          <w:szCs w:val="17"/>
          <w:color w:val="auto"/>
        </w:rPr>
        <w:t>Accrued liabilities and other liabilities decreased $638,000 due primarily to a decrease in income taxes payable of approximately $603,000 resulting from higher estimated income tax payments made in the first nine months of 2013 compared to the year-end 2012.</w:t>
      </w:r>
    </w:p>
    <w:p>
      <w:pPr>
        <w:ind w:left="1140" w:hanging="132"/>
        <w:spacing w:after="0"/>
        <w:tabs>
          <w:tab w:leader="none" w:pos="11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$113,000.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-1640205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-1228725</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274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During the first nine months of 2012:</w:t>
      </w:r>
    </w:p>
    <w:p>
      <w:pPr>
        <w:spacing w:after="0" w:line="23" w:lineRule="exact"/>
        <w:rPr>
          <w:sz w:val="20"/>
          <w:szCs w:val="20"/>
          <w:color w:val="auto"/>
        </w:rPr>
      </w:pP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reported net income of $1,739,000.</w:t>
      </w:r>
    </w:p>
    <w:p>
      <w:pPr>
        <w:spacing w:after="0" w:line="9" w:lineRule="exact"/>
        <w:rPr>
          <w:rFonts w:ascii="Arial" w:cs="Arial" w:eastAsia="Arial" w:hAnsi="Arial"/>
          <w:sz w:val="18"/>
          <w:szCs w:val="18"/>
          <w:color w:val="auto"/>
        </w:rPr>
      </w:pPr>
    </w:p>
    <w:p>
      <w:pPr>
        <w:ind w:left="1140" w:right="20" w:hanging="14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recorded depreciation, amortization, and non-cash compensation expense of $1,716,000, including $285,000 of amortization related to intangible assets acquired from Printrex.</w:t>
      </w: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receivable increased $228,000 due to a higher concentration of sales made during the latter portion of the third quarter.</w:t>
      </w:r>
    </w:p>
    <w:p>
      <w:pPr>
        <w:spacing w:after="0" w:line="9" w:lineRule="exact"/>
        <w:rPr>
          <w:rFonts w:ascii="Arial" w:cs="Arial" w:eastAsia="Arial" w:hAnsi="Arial"/>
          <w:sz w:val="18"/>
          <w:szCs w:val="18"/>
          <w:color w:val="auto"/>
        </w:rPr>
      </w:pPr>
    </w:p>
    <w:p>
      <w:pPr>
        <w:ind w:left="1140" w:hanging="142"/>
        <w:spacing w:after="0"/>
        <w:tabs>
          <w:tab w:leader="none" w:pos="11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Inventories decreased $3,397,000 due to our continued effort to reduce inventory purchases and to fulfill sales with existing inventory stock.</w:t>
      </w:r>
    </w:p>
    <w:p>
      <w:pPr>
        <w:spacing w:after="0" w:line="32" w:lineRule="exact"/>
        <w:rPr>
          <w:rFonts w:ascii="Arial" w:cs="Arial" w:eastAsia="Arial" w:hAnsi="Arial"/>
          <w:sz w:val="16"/>
          <w:szCs w:val="16"/>
          <w:color w:val="auto"/>
        </w:rPr>
      </w:pPr>
    </w:p>
    <w:p>
      <w:pPr>
        <w:ind w:left="1140" w:right="2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current and long-term assets increased $433,000 primarily due to higher prepaid tradeshow expenses, insurance and software maintenance contracts.</w:t>
      </w: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Accounts payable increased $909,000 due primarily to the timing of payments during the latter portion of the third quarter.</w:t>
      </w:r>
    </w:p>
    <w:p>
      <w:pPr>
        <w:spacing w:after="0" w:line="9" w:lineRule="exact"/>
        <w:rPr>
          <w:rFonts w:ascii="Arial" w:cs="Arial" w:eastAsia="Arial" w:hAnsi="Arial"/>
          <w:sz w:val="18"/>
          <w:szCs w:val="18"/>
          <w:color w:val="auto"/>
        </w:rPr>
      </w:pPr>
    </w:p>
    <w:p>
      <w:pPr>
        <w:jc w:val="both"/>
        <w:ind w:left="1140" w:hanging="132"/>
        <w:spacing w:after="0" w:line="250"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Accrued liabilities and other liabilities increased $690,000 due primarily to higher accrued legal fees primarily in connection with the Avery Dennison lawsuit of approximately $491,000 as disclosed in Note 9 to the Condensed Consolidated Financial Statements in addition to higher accrued professional fees and promotional liabilities.</w:t>
      </w:r>
    </w:p>
    <w:p>
      <w:pPr>
        <w:spacing w:after="0" w:line="1" w:lineRule="exact"/>
        <w:rPr>
          <w:rFonts w:ascii="Arial" w:cs="Arial" w:eastAsia="Arial" w:hAnsi="Arial"/>
          <w:sz w:val="18"/>
          <w:szCs w:val="18"/>
          <w:color w:val="auto"/>
        </w:rPr>
      </w:pPr>
    </w:p>
    <w:p>
      <w:pPr>
        <w:ind w:left="1140" w:hanging="142"/>
        <w:spacing w:after="0"/>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Incremental tax benefits from stock options exercised of $42,000.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-1503045</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-1091565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Our capital expenditures were $562,000 and $675,000 in the first nine months of 2013 and 2012, respectively. Expenditures in 2013</w:t>
      </w:r>
      <w:r>
        <w:rPr>
          <w:rFonts w:ascii="Arial" w:cs="Arial" w:eastAsia="Arial" w:hAnsi="Arial"/>
          <w:sz w:val="17"/>
          <w:szCs w:val="17"/>
          <w:i w:val="1"/>
          <w:iCs w:val="1"/>
          <w:color w:val="auto"/>
        </w:rPr>
        <w:t xml:space="preserve"> </w:t>
      </w:r>
      <w:r>
        <w:rPr>
          <w:rFonts w:ascii="Arial" w:cs="Arial" w:eastAsia="Arial" w:hAnsi="Arial"/>
          <w:sz w:val="17"/>
          <w:szCs w:val="17"/>
          <w:color w:val="auto"/>
        </w:rPr>
        <w:t>included approximately $89,000 for costs incurred in connection with an upgrade to the Company’s ERP software and the remaining amount primarily for the purchase of new product tooling and computer equipment. Expenditures in 2012 included $369,000 for the purchase of new product tooling with the remaining amount primarily for the purchase of computer hardware and software. Additionally, our capitalized software development costs were $42,000 and $23,000 in the first nine months of 2013 and 2012, respectively, all of which was related to our EPICENTRAL</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print system.</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 expenditures, including capitalized software development costs, for 2013 are expected to be approximately $1,000,000 primarily for new product tooling and tooling enhancements for our existing products.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We used $6,210,000 of cash from financing activities during the first nine months of 2013 to purchase $5,194,000 of common stock for</w:t>
      </w:r>
      <w:r>
        <w:rPr>
          <w:rFonts w:ascii="Arial" w:cs="Arial" w:eastAsia="Arial" w:hAnsi="Arial"/>
          <w:sz w:val="18"/>
          <w:szCs w:val="18"/>
          <w:i w:val="1"/>
          <w:iCs w:val="1"/>
          <w:color w:val="auto"/>
        </w:rPr>
        <w:t xml:space="preserve"> </w:t>
      </w:r>
      <w:r>
        <w:rPr>
          <w:rFonts w:ascii="Arial" w:cs="Arial" w:eastAsia="Arial" w:hAnsi="Arial"/>
          <w:sz w:val="18"/>
          <w:szCs w:val="18"/>
          <w:color w:val="auto"/>
        </w:rPr>
        <w:t>treasury and to pay cash dividends of $1,738,000 to common shareholders partially offset by proceeds and tax benefits from stock option exercises of $722,000. During the first nine months of 2012, we used $5,376,000 of cash from financing activities due to the repurchase of $5,563,000 of Company stock partially offset by proceeds and tax benefits from stock option exercises of $187,000.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262255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Working Capital</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working capital decreased 7% to $23,811,000 at September 30, 2013 from $25,492,000 at December 31, 2012. Our current ratio of current assets to current liabilities was 3.5 at both September 30, 2013 and December 31, 2012. The decrease in our working capital was largely due to lower cash and cash equivalent balances partially offset by higher inventory and lower accounts payable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 and Borrowings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a credit facility (the “TD Bank Credit Facility”) with TD Bank which provides for a $20,000,000 revolving credit line that expires on November 28, 2014. Borrowings under the TD Bank Credit Facility bear a floating rate of interest at the prime rate minus one percent and are secured by a lien on all of our assets. We also pay a fee of 0.25% on unused borrowings under the TD Bank Credit Facility.</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7, 2012, we signed an amendment to the TD Bank Credit Facility that allows us to declare and pay cash dividends to holders of our outstanding common shares subject to approval by our Board of Directors and provided that no default or event of default has occurred and is continuing under the credit facility on the date of the dividend payment. The amendment also allows us to use up to $5,000,000 in revolving credit loans to fund future cash dividend payments or treasury share buybacks as well as requires cash dividend payments to be treated as distributions for purposes of quarterly debt covenant calculations.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September 30, 2013. The following table lists the financial covenants and the performance measurements at September 30, 2013: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780" w:type="dxa"/>
            <w:vAlign w:val="bottom"/>
            <w:tcBorders>
              <w:bottom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0"/>
              </w:rPr>
              <w:t>Financial Covenant</w:t>
            </w:r>
          </w:p>
        </w:tc>
        <w:tc>
          <w:tcPr>
            <w:tcW w:w="28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Requirement/Restriction</w:t>
            </w:r>
          </w:p>
        </w:tc>
        <w:tc>
          <w:tcPr>
            <w:tcW w:w="3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Calculation at September 30, 2013</w:t>
            </w:r>
          </w:p>
        </w:tc>
      </w:tr>
      <w:tr>
        <w:trPr>
          <w:trHeight w:val="216"/>
        </w:trPr>
        <w:tc>
          <w:tcPr>
            <w:tcW w:w="3780" w:type="dxa"/>
            <w:vAlign w:val="bottom"/>
          </w:tcPr>
          <w:p>
            <w:pPr>
              <w:jc w:val="center"/>
              <w:ind w:right="50"/>
              <w:spacing w:after="0"/>
              <w:rPr>
                <w:sz w:val="20"/>
                <w:szCs w:val="20"/>
                <w:color w:val="auto"/>
              </w:rPr>
            </w:pPr>
            <w:r>
              <w:rPr>
                <w:rFonts w:ascii="Arial" w:cs="Arial" w:eastAsia="Arial" w:hAnsi="Arial"/>
                <w:sz w:val="18"/>
                <w:szCs w:val="18"/>
                <w:color w:val="auto"/>
                <w:w w:val="91"/>
              </w:rPr>
              <w:t>Operating cash flow / Total debt service</w:t>
            </w:r>
          </w:p>
        </w:tc>
        <w:tc>
          <w:tcPr>
            <w:tcW w:w="2880" w:type="dxa"/>
            <w:vAlign w:val="bottom"/>
          </w:tcPr>
          <w:p>
            <w:pPr>
              <w:jc w:val="center"/>
              <w:spacing w:after="0"/>
              <w:rPr>
                <w:sz w:val="20"/>
                <w:szCs w:val="20"/>
                <w:color w:val="auto"/>
              </w:rPr>
            </w:pPr>
            <w:r>
              <w:rPr>
                <w:rFonts w:ascii="Arial" w:cs="Arial" w:eastAsia="Arial" w:hAnsi="Arial"/>
                <w:sz w:val="18"/>
                <w:szCs w:val="18"/>
                <w:color w:val="auto"/>
                <w:w w:val="93"/>
              </w:rPr>
              <w:t>Minimum of 1.25 times</w:t>
            </w:r>
          </w:p>
        </w:tc>
        <w:tc>
          <w:tcPr>
            <w:tcW w:w="3620" w:type="dxa"/>
            <w:vAlign w:val="bottom"/>
          </w:tcPr>
          <w:p>
            <w:pPr>
              <w:jc w:val="center"/>
              <w:spacing w:after="0"/>
              <w:rPr>
                <w:sz w:val="20"/>
                <w:szCs w:val="20"/>
                <w:color w:val="auto"/>
              </w:rPr>
            </w:pPr>
            <w:r>
              <w:rPr>
                <w:rFonts w:ascii="Arial" w:cs="Arial" w:eastAsia="Arial" w:hAnsi="Arial"/>
                <w:sz w:val="18"/>
                <w:szCs w:val="18"/>
                <w:color w:val="auto"/>
                <w:w w:val="91"/>
              </w:rPr>
              <w:t>94.0 times</w:t>
            </w:r>
          </w:p>
        </w:tc>
      </w:tr>
      <w:tr>
        <w:trPr>
          <w:trHeight w:val="216"/>
        </w:trPr>
        <w:tc>
          <w:tcPr>
            <w:tcW w:w="37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94"/>
              </w:rPr>
              <w:t>Funded Debt / EBITDA</w:t>
            </w:r>
          </w:p>
        </w:tc>
        <w:tc>
          <w:tcPr>
            <w:tcW w:w="2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Maximum of 3.0 times</w:t>
            </w:r>
          </w:p>
        </w:tc>
        <w:tc>
          <w:tcPr>
            <w:tcW w:w="3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 times</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2013, undrawn commitments under the TD Bank Credit facility were $20,000,000.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Payments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10, 2012, we announced that our Board of Directors approved the initiation of a quarterly cash dividend program which is subject to the Board’s approval each quarter. On May 2, 2013, our Board of Directors declared an increase to the quarterly cash dividend from $0.06 per share to $0.07 per share. For the three months ended September 30, 2013, our Board of Directors declared a quarterly cash dividend of $0.07 per share, totaling approximately $611,000, which was paid in September 2013 to common shareholders of record at the close of business on August 20, 2013. For the nine months ended September 30, 2013, dividends declared and paid totaled $1,738,000, or $0.20 per share. We expect to pay approximately $2,300,000 in cash dividends to our common shareholders during 2013.</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its expiration on May 27, 2013, we maintained a stock repurchase program (the “Stock Repurchase Program”) whereby we were authorized to repurchase up to $15,000,000, as increased from $10,000,000 in March 2012, of our outstanding shares of common stock from time to time in the open market, depending on market conditions, share price and other factors. The Stock Repurchase Program expired on May 27, 2013 and was not renewed. During the nine months ended September 30, 2013, we repurchased 114,161 shares of our common stock for approximately $887,000 at an average price per share of $7.77 under the Stock Repurchase Program. As of September 30, 2013, no additional shares are authorized for future repurchases due to the expiration of the Stock Repurchase Program.</w:t>
      </w:r>
    </w:p>
    <w:p>
      <w:pPr>
        <w:spacing w:after="0" w:line="2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shares repurchased under the Stock Repurchase Program, during the three months ended September 30, 2013, we repurchased 490,000 shares of our common stock for approximately $4,307,000 at an average price per share of $8.79 in an open-market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Resource Sufficiency</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We believe that our cash and cash equivalents on hand and cash flows generated from operating activities will provide sufficient resources to meet our working capital needs, finance our capital expenditures and dividend payments and meet our liquidity requirements through at least the next twelve months.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 Off-Balance Sheet Arrangements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2012. There have been no material changes in our contractual obligations outside the ordinary course of business since December 31, 2012. We have no material off-balance sheet arrangements as defined in Item 303(a)(4)(ii) of Regulation S-K.</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disclosure of our exposure to market risk is set forth under the heading “Quantitative and Qualitative Disclosures about Market Risk” in our Annual Report on Form 10-K for the fiscal year ended December 31, 2012. There has been no material change in our exposure to market risk during the nine months ended September 30, 2013.</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under the supervision and with the participation of its management, including the Chief Executive Officer and the Chief Financial Officer, evaluated the effectiveness of the design and operation of the Company’s “disclosure controls and procedures” (as defined in Rule 13a-15(e) under the Securities Exchange Act of 1934 (the “Exchange Act”)) as of the end of the period covered by this report. Based on that evaluation, the Chief Executive Officer and the Chief Financial Officer concluded that the Company’s disclosure controls and procedures were effective as of September 30, 2013. There has been no change in the Company’s internal control over financial reporting during the quarter ended September 30, 2013, that has materially affected, or is reasonably likely to materially affect, the Company’s internal control over financial reporting.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8, 2012, Avery Dennison Corporation (“AD”) filed a civil complaint against the Company and a former employee of the Company and of AD, in the Court of Common Pleas (the “Court”) in Lake County, Ohio. The complaint alleges that this former employee and the Company misappropriated unspecified trade secrets and confidential information related to the design of our food safety terminals from AD. The complaint requests a preliminary and permanent injunction against the Company from manufacturing and selling our Ithaca® 9700 and 9800 food safety terminals. On July 16, 2012, the Company filed its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the Company’s further sale and marketing of the food safety terminals, pending the appeals court's decision. On July 29, 2013, TransAct opposed this request. On October 15, 2013, the Eleventh District Court of Appeals affirmed the lower court’s decision in the Company’s favor and denied AD’s further request for an injunction pending the Court of Appeal’s decision. On October 24, 2013, AD filed a motion seeking that the Court of Appeals reconsider its decision.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Information regarding risk factors appears in Item 1A of our Annual Report on Form 10-K for the year ended December 31, 2012.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May 27, 2013, the Company’s Stock Repurchase Program expired and was not renewed. From January 1, 2013 through the expiration date of the Stock Repurchase Program, we repurchased 114,161 shares of our common stock for approximately $887,000 at an average price per share of $7.77. As of September 30, 2013, no additional shares are authorized for future repurchases due to the expiration of the Stock Repurchase Program. In addition to shares repurchased under the Stock Repurchase Program, during the three months ended September 30, 2013, we repurchased 490,000 shares of our common stock for approximately $4,307,000 at an average price per share of $8.79 in an open-market transaction. For additional information, see the discussion under “Management’s Discussion and Analysis of Financial Condition and Results of Operations — Liquidity and Capital Resources — Stock Repurchase Program,” above. The following table summarizes the repurchase of our common stock in the nine months ended September 30, 2013: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Total Number</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of Shares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4"/>
              </w:rPr>
              <w:t>Approximate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8"/>
                <w:szCs w:val="18"/>
                <w:color w:val="auto"/>
                <w:w w:val="83"/>
              </w:rPr>
              <w:t>Purchased as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3"/>
              </w:rPr>
              <w:t>Dollar Value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Part of</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of Shares that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May Yet Be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8"/>
                <w:szCs w:val="18"/>
                <w:color w:val="auto"/>
                <w:w w:val="91"/>
              </w:rPr>
              <w:t>Total Number</w:t>
            </w: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Announced</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of Shares</w:t>
            </w:r>
          </w:p>
        </w:tc>
        <w:tc>
          <w:tcPr>
            <w:tcW w:w="1160" w:type="dxa"/>
            <w:vAlign w:val="bottom"/>
            <w:gridSpan w:val="3"/>
          </w:tcPr>
          <w:p>
            <w:pPr>
              <w:ind w:left="20"/>
              <w:spacing w:after="0"/>
              <w:rPr>
                <w:sz w:val="20"/>
                <w:szCs w:val="20"/>
                <w:color w:val="auto"/>
              </w:rPr>
            </w:pPr>
            <w:r>
              <w:rPr>
                <w:rFonts w:ascii="Arial" w:cs="Arial" w:eastAsia="Arial" w:hAnsi="Arial"/>
                <w:sz w:val="18"/>
                <w:szCs w:val="18"/>
                <w:color w:val="auto"/>
                <w:w w:val="99"/>
              </w:rPr>
              <w:t>Average Price</w:t>
            </w:r>
          </w:p>
        </w:tc>
        <w:tc>
          <w:tcPr>
            <w:tcW w:w="100" w:type="dxa"/>
            <w:vAlign w:val="bottom"/>
          </w:tcPr>
          <w:p>
            <w:pPr>
              <w:spacing w:after="0"/>
              <w:rPr>
                <w:sz w:val="18"/>
                <w:szCs w:val="18"/>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Plans or</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under the May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Purchased</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Paid per Share</w:t>
            </w:r>
          </w:p>
        </w:tc>
        <w:tc>
          <w:tcPr>
            <w:tcW w:w="100" w:type="dxa"/>
            <w:vAlign w:val="bottom"/>
          </w:tcPr>
          <w:p>
            <w:pPr>
              <w:spacing w:after="0"/>
              <w:rPr>
                <w:sz w:val="20"/>
                <w:szCs w:val="2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Programs</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9"/>
              </w:rPr>
              <w:t>2010 Program</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January 1, 2013 – January 31, 2013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45,177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5,863,000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February 1, 2013 – February 28, 2013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23,339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8.06</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23,339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5,675,000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March 1, 2013 – March 31, 2013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20,384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5,514,000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April 1, 2013 – April 30, 2013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22,494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22,494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5,340,000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May 1, 2013 – May 31, 2013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June 1, 2013 – June 30, 2013</w:t>
            </w:r>
          </w:p>
        </w:tc>
        <w:tc>
          <w:tcPr>
            <w:tcW w:w="11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July 1, 2013 – July 31, 2013</w:t>
            </w:r>
          </w:p>
        </w:tc>
        <w:tc>
          <w:tcPr>
            <w:tcW w:w="11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August 1, 2013 – August 31, 2013</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490,000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8.79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September 1, 2013 – September 30, 2013</w:t>
            </w:r>
          </w:p>
        </w:tc>
        <w:tc>
          <w:tcPr>
            <w:tcW w:w="180" w:type="dxa"/>
            <w:vAlign w:val="bottom"/>
            <w:tcBorders>
              <w:bottom w:val="single" w:sz="8" w:color="CCEEFF"/>
            </w:tcBorders>
            <w:gridSpan w:val="2"/>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604,161</w:t>
            </w:r>
          </w:p>
        </w:tc>
        <w:tc>
          <w:tcPr>
            <w:tcW w:w="8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8.60</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114,161</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 Stock Repurchase Program expired on May 27, 2013 and was not renewed.</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ectPr>
          <w:pgSz w:w="11900" w:h="16838" w:orient="portrait"/>
          <w:cols w:equalWidth="0" w:num="1">
            <w:col w:w="11420"/>
          </w:cols>
          <w:pgMar w:left="240" w:top="513" w:right="239" w:bottom="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p>
    <w:p>
      <w:pPr>
        <w:jc w:val="right"/>
        <w:ind w:right="4379"/>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405765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1560" w:type="dxa"/>
            <w:vAlign w:val="bottom"/>
          </w:tcPr>
          <w:p>
            <w:pPr>
              <w:spacing w:after="0"/>
              <w:rPr>
                <w:sz w:val="20"/>
                <w:szCs w:val="20"/>
                <w:color w:val="auto"/>
              </w:rPr>
            </w:pPr>
            <w:r>
              <w:rPr>
                <w:rFonts w:ascii="Arial" w:cs="Arial" w:eastAsia="Arial" w:hAnsi="Arial"/>
                <w:sz w:val="18"/>
                <w:szCs w:val="18"/>
                <w:b w:val="1"/>
                <w:bCs w:val="1"/>
                <w:color w:val="auto"/>
              </w:rPr>
              <w:t>Item 6. EXHIBITS</w:t>
            </w:r>
          </w:p>
        </w:tc>
        <w:tc>
          <w:tcPr>
            <w:tcW w:w="9860" w:type="dxa"/>
            <w:vAlign w:val="bottom"/>
          </w:tcPr>
          <w:p>
            <w:pPr>
              <w:spacing w:after="0"/>
              <w:rPr>
                <w:sz w:val="20"/>
                <w:szCs w:val="20"/>
                <w:color w:val="auto"/>
              </w:rPr>
            </w:pPr>
          </w:p>
        </w:tc>
      </w:tr>
      <w:tr>
        <w:trPr>
          <w:trHeight w:val="459"/>
        </w:trPr>
        <w:tc>
          <w:tcPr>
            <w:tcW w:w="1560" w:type="dxa"/>
            <w:vAlign w:val="bottom"/>
          </w:tcPr>
          <w:p>
            <w:pPr>
              <w:spacing w:after="0"/>
              <w:rPr>
                <w:sz w:val="20"/>
                <w:szCs w:val="20"/>
                <w:color w:val="auto"/>
              </w:rPr>
            </w:pPr>
            <w:r>
              <w:rPr>
                <w:rFonts w:ascii="Arial" w:cs="Arial" w:eastAsia="Arial" w:hAnsi="Arial"/>
                <w:sz w:val="18"/>
                <w:szCs w:val="18"/>
                <w:color w:val="auto"/>
              </w:rPr>
              <w:t>Exhibit 31.1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31.2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32.1</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Exhibit 32.2</w:t>
            </w:r>
          </w:p>
        </w:tc>
        <w:tc>
          <w:tcPr>
            <w:tcW w:w="9860" w:type="dxa"/>
            <w:vAlign w:val="bottom"/>
          </w:tcPr>
          <w:p>
            <w:pPr>
              <w:ind w:left="6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tcPr>
          <w:p>
            <w:pPr>
              <w:ind w:left="60"/>
              <w:spacing w:after="0"/>
              <w:rPr>
                <w:sz w:val="20"/>
                <w:szCs w:val="20"/>
                <w:color w:val="auto"/>
              </w:rPr>
            </w:pPr>
            <w:r>
              <w:rPr>
                <w:rFonts w:ascii="Arial" w:cs="Arial" w:eastAsia="Arial" w:hAnsi="Arial"/>
                <w:sz w:val="18"/>
                <w:szCs w:val="18"/>
                <w:color w:val="auto"/>
              </w:rPr>
              <w:t>XBRL Instance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5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tcPr>
          <w:p>
            <w:pPr>
              <w:ind w:left="6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96"/>
        </w:trPr>
        <w:tc>
          <w:tcPr>
            <w:tcW w:w="1560" w:type="dxa"/>
            <w:vAlign w:val="bottom"/>
          </w:tcPr>
          <w:p>
            <w:pPr>
              <w:spacing w:after="0"/>
              <w:rPr>
                <w:sz w:val="24"/>
                <w:szCs w:val="24"/>
                <w:color w:val="auto"/>
              </w:rPr>
            </w:pPr>
          </w:p>
        </w:tc>
        <w:tc>
          <w:tcPr>
            <w:tcW w:w="9860" w:type="dxa"/>
            <w:vAlign w:val="bottom"/>
          </w:tcPr>
          <w:p>
            <w:pPr>
              <w:ind w:left="4040"/>
              <w:spacing w:after="0"/>
              <w:rPr>
                <w:sz w:val="20"/>
                <w:szCs w:val="20"/>
                <w:color w:val="auto"/>
              </w:rPr>
            </w:pPr>
            <w:r>
              <w:rPr>
                <w:rFonts w:ascii="Arial" w:cs="Arial" w:eastAsia="Arial" w:hAnsi="Arial"/>
                <w:sz w:val="22"/>
                <w:szCs w:val="22"/>
                <w:color w:val="auto"/>
              </w:rPr>
              <w:t>22</w:t>
            </w:r>
          </w:p>
        </w:tc>
      </w:tr>
      <w:tr>
        <w:trPr>
          <w:trHeight w:val="405"/>
        </w:trPr>
        <w:tc>
          <w:tcPr>
            <w:tcW w:w="1560" w:type="dxa"/>
            <w:vAlign w:val="bottom"/>
            <w:tcBorders>
              <w:bottom w:val="single" w:sz="8" w:color="808080"/>
            </w:tcBorders>
          </w:tcPr>
          <w:p>
            <w:pPr>
              <w:spacing w:after="0"/>
              <w:rPr>
                <w:sz w:val="24"/>
                <w:szCs w:val="24"/>
                <w:color w:val="auto"/>
              </w:rPr>
            </w:pPr>
          </w:p>
        </w:tc>
        <w:tc>
          <w:tcPr>
            <w:tcW w:w="9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2300" w:type="dxa"/>
        <w:tblCellMar>
          <w:top w:w="0" w:type="dxa"/>
          <w:left w:w="0" w:type="dxa"/>
          <w:bottom w:w="0" w:type="dxa"/>
          <w:right w:w="0" w:type="dxa"/>
        </w:tblCellMar>
      </w:tblPr>
      <w:tr>
        <w:trPr>
          <w:trHeight w:val="237"/>
        </w:trPr>
        <w:tc>
          <w:tcPr>
            <w:tcW w:w="4440" w:type="dxa"/>
            <w:vAlign w:val="bottom"/>
          </w:tcPr>
          <w:p>
            <w:pPr>
              <w:spacing w:after="0"/>
              <w:rPr>
                <w:sz w:val="20"/>
                <w:szCs w:val="20"/>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TRANSACT TECHNOLOGIES INCORPORATED</w:t>
            </w:r>
          </w:p>
        </w:tc>
      </w:tr>
      <w:tr>
        <w:trPr>
          <w:trHeight w:val="230"/>
        </w:trPr>
        <w:tc>
          <w:tcPr>
            <w:tcW w:w="44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(Registrant)</w:t>
            </w:r>
          </w:p>
        </w:tc>
      </w:tr>
      <w:tr>
        <w:trPr>
          <w:trHeight w:val="641"/>
        </w:trPr>
        <w:tc>
          <w:tcPr>
            <w:tcW w:w="444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A. DeMartino</w:t>
            </w:r>
          </w:p>
        </w:tc>
      </w:tr>
      <w:tr>
        <w:trPr>
          <w:trHeight w:val="202"/>
        </w:trPr>
        <w:tc>
          <w:tcPr>
            <w:tcW w:w="4440" w:type="dxa"/>
            <w:vAlign w:val="bottom"/>
          </w:tcPr>
          <w:p>
            <w:pPr>
              <w:spacing w:after="0" w:line="201" w:lineRule="exact"/>
              <w:rPr>
                <w:sz w:val="20"/>
                <w:szCs w:val="20"/>
                <w:color w:val="auto"/>
              </w:rPr>
            </w:pPr>
            <w:r>
              <w:rPr>
                <w:rFonts w:ascii="Arial" w:cs="Arial" w:eastAsia="Arial" w:hAnsi="Arial"/>
                <w:sz w:val="18"/>
                <w:szCs w:val="18"/>
                <w:color w:val="auto"/>
              </w:rPr>
              <w:t>November 8, 2013</w:t>
            </w: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Steven A. DeMartino</w:t>
            </w:r>
          </w:p>
        </w:tc>
      </w:tr>
      <w:tr>
        <w:trPr>
          <w:trHeight w:val="216"/>
        </w:trPr>
        <w:tc>
          <w:tcPr>
            <w:tcW w:w="4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9"/>
              </w:rPr>
              <w:t>President, Chief Financial Officer, Treasurer and Secretary</w:t>
            </w:r>
          </w:p>
        </w:tc>
      </w:tr>
      <w:tr>
        <w:trPr>
          <w:trHeight w:val="230"/>
        </w:trPr>
        <w:tc>
          <w:tcPr>
            <w:tcW w:w="44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655"/>
        </w:trPr>
        <w:tc>
          <w:tcPr>
            <w:tcW w:w="4440" w:type="dxa"/>
            <w:vAlign w:val="bottom"/>
          </w:tcPr>
          <w:p>
            <w:pPr>
              <w:spacing w:after="0"/>
              <w:rPr>
                <w:sz w:val="24"/>
                <w:szCs w:val="24"/>
                <w:color w:val="auto"/>
              </w:rPr>
            </w:pP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R. Albano</w:t>
            </w:r>
          </w:p>
        </w:tc>
      </w:tr>
      <w:tr>
        <w:trPr>
          <w:trHeight w:val="202"/>
        </w:trPr>
        <w:tc>
          <w:tcPr>
            <w:tcW w:w="4440" w:type="dxa"/>
            <w:vAlign w:val="bottom"/>
          </w:tcPr>
          <w:p>
            <w:pPr>
              <w:spacing w:after="0"/>
              <w:rPr>
                <w:sz w:val="17"/>
                <w:szCs w:val="17"/>
                <w:color w:val="auto"/>
              </w:rPr>
            </w:pPr>
          </w:p>
        </w:tc>
        <w:tc>
          <w:tcPr>
            <w:tcW w:w="4680" w:type="dxa"/>
            <w:vAlign w:val="bottom"/>
          </w:tcPr>
          <w:p>
            <w:pPr>
              <w:spacing w:after="0" w:line="201" w:lineRule="exact"/>
              <w:rPr>
                <w:sz w:val="20"/>
                <w:szCs w:val="20"/>
                <w:color w:val="auto"/>
              </w:rPr>
            </w:pPr>
            <w:r>
              <w:rPr>
                <w:rFonts w:ascii="Arial" w:cs="Arial" w:eastAsia="Arial" w:hAnsi="Arial"/>
                <w:sz w:val="18"/>
                <w:szCs w:val="18"/>
                <w:color w:val="auto"/>
              </w:rPr>
              <w:t>Chad R. Albano</w:t>
            </w:r>
          </w:p>
        </w:tc>
      </w:tr>
      <w:tr>
        <w:trPr>
          <w:trHeight w:val="216"/>
        </w:trPr>
        <w:tc>
          <w:tcPr>
            <w:tcW w:w="444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Chief Accounting Officer and Corporate Controller</w:t>
            </w:r>
          </w:p>
        </w:tc>
      </w:tr>
      <w:tr>
        <w:trPr>
          <w:trHeight w:val="230"/>
        </w:trPr>
        <w:tc>
          <w:tcPr>
            <w:tcW w:w="444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420"/>
          </w:cols>
          <w:pgMar w:left="240" w:top="513"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color w:val="auto"/>
        </w:rPr>
        <w:t>Exhibit 31.1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Bart C. Shuldman, certify that:</w:t>
      </w:r>
    </w:p>
    <w:p>
      <w:pPr>
        <w:spacing w:after="0" w:line="252" w:lineRule="exact"/>
        <w:rPr>
          <w:sz w:val="20"/>
          <w:szCs w:val="20"/>
          <w:color w:val="auto"/>
        </w:rPr>
      </w:pPr>
    </w:p>
    <w:p>
      <w:pPr>
        <w:ind w:left="660" w:hanging="229"/>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 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SARBANES-OXLEY ACT OF 2002</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 Steven A. DeMartino, certify that:</w:t>
      </w:r>
    </w:p>
    <w:p>
      <w:pPr>
        <w:spacing w:after="0" w:line="252" w:lineRule="exact"/>
        <w:rPr>
          <w:sz w:val="20"/>
          <w:szCs w:val="20"/>
          <w:color w:val="auto"/>
        </w:rPr>
      </w:pPr>
    </w:p>
    <w:p>
      <w:pPr>
        <w:ind w:left="660" w:hanging="22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TransAct Technologies Incorporated;</w:t>
      </w:r>
    </w:p>
    <w:p>
      <w:pPr>
        <w:spacing w:after="0" w:line="252"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hanging="229"/>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left="660" w:hanging="229"/>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jc w:val="both"/>
        <w:ind w:left="1300" w:hanging="22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300" w:hanging="225"/>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300" w:hanging="235"/>
        <w:spacing w:after="0" w:line="264"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hanging="229"/>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1300" w:hanging="225"/>
        <w:spacing w:after="0" w:line="308" w:lineRule="auto"/>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300" w:hanging="235"/>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841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6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connection with the Quarterly Report of TransAct Technologies Incorporated (the “Company”) on Form 10-Q for the period ending September 30, 2013, as filed with the Securities and Exchange Commission on the date hereof (the “Report”), I, Bart C. Shuldman, Chairman and Chief Executive Officer of the Company, certify, pursuant to 18 U.S.C. § 1350, as adopted pursuant to § 906 of the Sarbanes-Oxley Act of 2002, that to the best of my knowledge:</w:t>
      </w:r>
    </w:p>
    <w:p>
      <w:pPr>
        <w:spacing w:after="0" w:line="174" w:lineRule="exact"/>
        <w:rPr>
          <w:sz w:val="20"/>
          <w:szCs w:val="20"/>
          <w:color w:val="auto"/>
        </w:rPr>
      </w:pPr>
    </w:p>
    <w:p>
      <w:pPr>
        <w:ind w:left="820" w:hanging="3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588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Bart C. Shuldman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ectPr>
          <w:pgSz w:w="11900" w:h="16838" w:orient="portrait"/>
          <w:cols w:equalWidth="0" w:num="1">
            <w:col w:w="11420"/>
          </w:cols>
          <w:pgMar w:left="240" w:top="61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TransAct Technologies Incorporated (the “Company”) on Form 10-Q for the period ending September 30, 2013, as filed with the Securities and Exchange Commission on the date hereof (the “Report”), I, Steven A. DeMartino, President, Chief Financial Officer, Treasurer and Secretary of the Company, certify, pursuant to 18 U.S.C. § 1350, as adopted pursuant to § 906 of the Sarbanes-Oxley Act of 2002, that to the best of my knowledge:</w:t>
      </w:r>
    </w:p>
    <w:p>
      <w:pPr>
        <w:spacing w:after="0" w:line="214" w:lineRule="exact"/>
        <w:rPr>
          <w:sz w:val="20"/>
          <w:szCs w:val="20"/>
          <w:color w:val="auto"/>
        </w:rPr>
      </w:pPr>
    </w:p>
    <w:p>
      <w:pPr>
        <w:ind w:left="820" w:hanging="3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820" w:hanging="302"/>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2013</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0200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0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Steven A. DeMartino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Treasurer and Secretary</w:t>
      </w:r>
    </w:p>
    <w:sectPr>
      <w:pgSz w:w="11900" w:h="16838" w:orient="portrait"/>
      <w:cols w:equalWidth="0" w:num="1">
        <w:col w:w="11420"/>
      </w:cols>
      <w:pgMar w:left="240" w:top="6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x"/>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2019-12-06T15:58:25Z</dcterms:created>
  <dcterms:modified xsi:type="dcterms:W3CDTF">2019-12-06T15:58:25Z</dcterms:modified>
</cp:coreProperties>
</file>