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233" w:lineRule="exact"/>
        <w:rPr>
          <w:sz w:val="24"/>
          <w:szCs w:val="24"/>
          <w:color w:val="auto"/>
        </w:rPr>
      </w:pPr>
    </w:p>
    <w:p>
      <w:pPr>
        <w:ind w:left="660"/>
        <w:spacing w:after="0"/>
        <w:tabs>
          <w:tab w:leader="none" w:pos="3880" w:val="left"/>
          <w:tab w:leader="none" w:pos="4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0-21121</w:t>
      </w:r>
    </w:p>
    <w:p>
      <w:pPr>
        <w:spacing w:after="0" w:line="3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80" w:type="dxa"/>
            <w:vAlign w:val="bottom"/>
            <w:gridSpan w:val="3"/>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06-1456680</w:t>
            </w:r>
          </w:p>
        </w:tc>
      </w:tr>
      <w:tr>
        <w:trPr>
          <w:trHeight w:val="234"/>
        </w:trPr>
        <w:tc>
          <w:tcPr>
            <w:tcW w:w="554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8"/>
        </w:trPr>
        <w:tc>
          <w:tcPr>
            <w:tcW w:w="55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One Hamden Center, 2319 Whitney Avenue, Suite 3B, Hamden, CT</w:t>
            </w:r>
          </w:p>
        </w:tc>
        <w:tc>
          <w:tcPr>
            <w:tcW w:w="5880" w:type="dxa"/>
            <w:vAlign w:val="bottom"/>
            <w:gridSpan w:val="3"/>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06518</w:t>
            </w:r>
          </w:p>
        </w:tc>
      </w:tr>
      <w:tr>
        <w:trPr>
          <w:trHeight w:val="193"/>
        </w:trPr>
        <w:tc>
          <w:tcPr>
            <w:tcW w:w="5540" w:type="dxa"/>
            <w:vAlign w:val="bottom"/>
            <w:tcBorders>
              <w:top w:val="single" w:sz="8" w:color="auto"/>
            </w:tcBorders>
          </w:tcPr>
          <w:p>
            <w:pPr>
              <w:jc w:val="center"/>
              <w:ind w:left="250"/>
              <w:spacing w:after="0" w:line="193" w:lineRule="exact"/>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32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(Zip Code)</w:t>
            </w:r>
          </w:p>
        </w:tc>
      </w:tr>
      <w:tr>
        <w:trPr>
          <w:trHeight w:val="219"/>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203-859-6800</w:t>
            </w:r>
          </w:p>
        </w:tc>
      </w:tr>
      <w:tr>
        <w:trPr>
          <w:trHeight w:val="215"/>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w:t>
            </w:r>
          </w:p>
        </w:tc>
      </w:tr>
      <w:tr>
        <w:trPr>
          <w:trHeight w:val="234"/>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57"/>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Title of Each Class - Common Stock, par value $.01 per share</w:t>
            </w:r>
          </w:p>
        </w:tc>
        <w:tc>
          <w:tcPr>
            <w:tcW w:w="5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 - NASDAQ Global Market</w:t>
            </w:r>
          </w:p>
        </w:tc>
      </w:tr>
    </w:tbl>
    <w:p>
      <w:pPr>
        <w:ind w:left="25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r>
        <w:rPr>
          <w:rFonts w:ascii="Times New Roman" w:cs="Times New Roman" w:eastAsia="Times New Roman" w:hAnsi="Times New Roman"/>
          <w:sz w:val="18"/>
          <w:szCs w:val="18"/>
          <w:b w:val="1"/>
          <w:bCs w:val="1"/>
          <w:color w:val="auto"/>
        </w:rPr>
        <w:t>: None</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4" w:lineRule="exact"/>
        <w:rPr>
          <w:sz w:val="24"/>
          <w:szCs w:val="24"/>
          <w:color w:val="auto"/>
        </w:rPr>
      </w:pPr>
    </w:p>
    <w:p>
      <w:pPr>
        <w:jc w:val="both"/>
        <w:ind w:right="6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4"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t>
            </w:r>
          </w:p>
        </w:tc>
        <w:tc>
          <w:tcPr>
            <w:tcW w:w="2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 o</w:t>
            </w:r>
          </w:p>
        </w:tc>
        <w:tc>
          <w:tcPr>
            <w:tcW w:w="7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tc>
        <w:tc>
          <w:tcPr>
            <w:tcW w:w="2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tc>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stock held by non-affiliates of the Registrant was approximately $49,400,000 based on the last sale price on June 30, 2015.</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2016, the number of shares outstanding of the Registrant’s common stock, $0.01 par value, was 7,782,292.</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within 120 days after the year covered by this Form 10-K with respect to the 2016 Annual Meeting of Stockholders are incorporated by reference into Part III hereof.</w:t>
      </w:r>
    </w:p>
    <w:p>
      <w:pPr>
        <w:sectPr>
          <w:pgSz w:w="11900" w:h="16909" w:orient="portrait"/>
          <w:cols w:equalWidth="0" w:num="1">
            <w:col w:w="11420"/>
          </w:cols>
          <w:pgMar w:left="240" w:top="216" w:right="239" w:bottom="0" w:gutter="0" w:footer="0" w:header="0"/>
        </w:sectPr>
      </w:pPr>
    </w:p>
    <w:bookmarkStart w:id="1" w:name="page2"/>
    <w:bookmarkEnd w:id="1"/>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342900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230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79"/>
              </w:rPr>
              <w:t>INDEX</w:t>
            </w:r>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PART I.</w:t>
              </w:r>
            </w:hyperlink>
          </w:p>
        </w:tc>
        <w:tc>
          <w:tcPr>
            <w:tcW w:w="39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540" w:type="dxa"/>
            <w:vAlign w:val="bottom"/>
            <w:gridSpan w:val="26"/>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Unresolved Staff Comments</w:t>
              </w:r>
            </w:hyperlink>
          </w:p>
        </w:tc>
        <w:tc>
          <w:tcPr>
            <w:tcW w:w="7140" w:type="dxa"/>
            <w:vAlign w:val="bottom"/>
            <w:gridSpan w:val="19"/>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Properties</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Legal Proceedings</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Mine Safety Disclosures</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80"/>
              <w:spacing w:after="0"/>
              <w:rPr>
                <w:sz w:val="20"/>
                <w:szCs w:val="20"/>
                <w:color w:val="auto"/>
              </w:rPr>
            </w:pPr>
            <w:r>
              <w:rPr>
                <w:rFonts w:ascii="Times New Roman" w:cs="Times New Roman" w:eastAsia="Times New Roman" w:hAnsi="Times New Roman"/>
                <w:sz w:val="18"/>
                <w:szCs w:val="18"/>
                <w:color w:val="0000EE"/>
                <w:w w:val="89"/>
              </w:rPr>
              <w:t>PART II.</w:t>
            </w:r>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8040" w:type="dxa"/>
            <w:vAlign w:val="bottom"/>
            <w:tcBorders>
              <w:top w:val="single" w:sz="8" w:color="0000EE"/>
            </w:tcBorders>
            <w:gridSpan w:val="28"/>
          </w:tcPr>
          <w:p>
            <w:pPr>
              <w:spacing w:after="0" w:line="195"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Selected Financial Data</w:t>
              </w:r>
            </w:hyperlink>
          </w:p>
        </w:tc>
        <w:tc>
          <w:tcPr>
            <w:tcW w:w="114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6420" w:type="dxa"/>
            <w:vAlign w:val="bottom"/>
            <w:tcBorders>
              <w:bottom w:val="single" w:sz="8" w:color="0000EE"/>
            </w:tcBorders>
            <w:gridSpan w:val="24"/>
          </w:tcPr>
          <w:p>
            <w:pPr>
              <w:spacing w:after="0" w:line="195"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60" w:type="dxa"/>
            <w:vAlign w:val="bottom"/>
            <w:gridSpan w:val="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434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13"/>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Financial Statements and Supplementary Data</w:t>
              </w:r>
            </w:hyperlink>
          </w:p>
        </w:tc>
        <w:tc>
          <w:tcPr>
            <w:tcW w:w="5860" w:type="dxa"/>
            <w:vAlign w:val="bottom"/>
            <w:gridSpan w:val="1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6440" w:type="dxa"/>
            <w:vAlign w:val="bottom"/>
            <w:tcBorders>
              <w:top w:val="single" w:sz="8" w:color="0000EE"/>
            </w:tcBorders>
            <w:gridSpan w:val="25"/>
          </w:tcPr>
          <w:p>
            <w:pPr>
              <w:spacing w:after="0" w:line="195"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2740" w:type="dxa"/>
            <w:vAlign w:val="bottom"/>
            <w:gridSpan w:val="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5"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7420" w:type="dxa"/>
            <w:vAlign w:val="bottom"/>
            <w:gridSpan w:val="21"/>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0000EE"/>
            </w:tcBorders>
            <w:gridSpan w:val="5"/>
          </w:tcPr>
          <w:p>
            <w:pPr>
              <w:jc w:val="center"/>
              <w:ind w:right="20"/>
              <w:spacing w:after="0"/>
              <w:rPr>
                <w:rFonts w:ascii="Times New Roman" w:cs="Times New Roman" w:eastAsia="Times New Roman" w:hAnsi="Times New Roman"/>
                <w:sz w:val="18"/>
                <w:szCs w:val="18"/>
                <w:color w:val="0000EE"/>
                <w:w w:val="87"/>
              </w:rPr>
            </w:pPr>
            <w:hyperlink w:anchor="page29">
              <w:r>
                <w:rPr>
                  <w:rFonts w:ascii="Times New Roman" w:cs="Times New Roman" w:eastAsia="Times New Roman" w:hAnsi="Times New Roman"/>
                  <w:sz w:val="18"/>
                  <w:szCs w:val="18"/>
                  <w:color w:val="0000EE"/>
                  <w:w w:val="87"/>
                </w:rPr>
                <w:t>PART III.</w:t>
              </w:r>
            </w:hyperlink>
          </w:p>
        </w:tc>
        <w:tc>
          <w:tcPr>
            <w:tcW w:w="382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Directors, Executive Officers and Corporate Governance</w:t>
              </w:r>
            </w:hyperlink>
          </w:p>
        </w:tc>
        <w:tc>
          <w:tcPr>
            <w:tcW w:w="5100" w:type="dxa"/>
            <w:vAlign w:val="bottom"/>
            <w:gridSpan w:val="1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Executive Compensation</w:t>
              </w:r>
            </w:hyperlink>
          </w:p>
        </w:tc>
        <w:tc>
          <w:tcPr>
            <w:tcW w:w="7380" w:type="dxa"/>
            <w:vAlign w:val="bottom"/>
            <w:gridSpan w:val="20"/>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7260" w:type="dxa"/>
            <w:vAlign w:val="bottom"/>
            <w:tcBorders>
              <w:bottom w:val="single" w:sz="8" w:color="0000EE"/>
            </w:tcBorders>
            <w:gridSpan w:val="27"/>
          </w:tcPr>
          <w:p>
            <w:pPr>
              <w:spacing w:after="0" w:line="195"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920" w:type="dxa"/>
            <w:vAlign w:val="bottom"/>
            <w:gridSpan w:val="2"/>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9"/>
          </w:tcPr>
          <w:p>
            <w:pPr>
              <w:spacing w:after="0" w:line="195"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Certain Relationships and Related Transactions, and Director Independence</w:t>
              </w:r>
            </w:hyperlink>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5420" w:type="dxa"/>
            <w:vAlign w:val="bottom"/>
            <w:tcBorders>
              <w:top w:val="single" w:sz="8" w:color="0000EE"/>
            </w:tcBorders>
            <w:gridSpan w:val="23"/>
          </w:tcPr>
          <w:p>
            <w:pPr>
              <w:spacing w:after="0" w:line="195"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Principal Accounting Fees and Services</w:t>
              </w:r>
            </w:hyperlink>
          </w:p>
        </w:tc>
        <w:tc>
          <w:tcPr>
            <w:tcW w:w="3760" w:type="dxa"/>
            <w:vAlign w:val="bottom"/>
            <w:gridSpan w:val="6"/>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40"/>
              <w:spacing w:after="0"/>
              <w:rPr>
                <w:rFonts w:ascii="Times New Roman" w:cs="Times New Roman" w:eastAsia="Times New Roman" w:hAnsi="Times New Roman"/>
                <w:sz w:val="18"/>
                <w:szCs w:val="18"/>
                <w:color w:val="0000EE"/>
                <w:w w:val="86"/>
              </w:rPr>
            </w:pPr>
            <w:hyperlink w:anchor="page31">
              <w:r>
                <w:rPr>
                  <w:rFonts w:ascii="Times New Roman" w:cs="Times New Roman" w:eastAsia="Times New Roman" w:hAnsi="Times New Roman"/>
                  <w:sz w:val="18"/>
                  <w:szCs w:val="18"/>
                  <w:color w:val="0000EE"/>
                  <w:w w:val="86"/>
                </w:rPr>
                <w:t>PART IV.</w:t>
              </w:r>
            </w:hyperlink>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15.</w:t>
            </w:r>
          </w:p>
        </w:tc>
        <w:tc>
          <w:tcPr>
            <w:tcW w:w="60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Exhibits</w:t>
              </w:r>
            </w:hyperlink>
          </w:p>
        </w:tc>
        <w:tc>
          <w:tcPr>
            <w:tcW w:w="4100" w:type="dxa"/>
            <w:vAlign w:val="bottom"/>
            <w:gridSpan w:val="15"/>
          </w:tcPr>
          <w:p>
            <w:pPr>
              <w:spacing w:after="0"/>
              <w:rPr>
                <w:sz w:val="16"/>
                <w:szCs w:val="16"/>
                <w:color w:val="auto"/>
              </w:rPr>
            </w:pPr>
          </w:p>
        </w:tc>
        <w:tc>
          <w:tcPr>
            <w:tcW w:w="640" w:type="dxa"/>
            <w:vAlign w:val="bottom"/>
            <w:tcBorders>
              <w:top w:val="single" w:sz="8" w:color="0000EE"/>
            </w:tcBorders>
            <w:gridSpan w:val="4"/>
          </w:tcPr>
          <w:p>
            <w:pPr>
              <w:spacing w:after="0"/>
              <w:rPr>
                <w:sz w:val="16"/>
                <w:szCs w:val="16"/>
                <w:color w:val="auto"/>
              </w:rPr>
            </w:pPr>
          </w:p>
        </w:tc>
        <w:tc>
          <w:tcPr>
            <w:tcW w:w="3840" w:type="dxa"/>
            <w:vAlign w:val="bottom"/>
            <w:gridSpan w:val="8"/>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451"/>
        </w:trPr>
        <w:tc>
          <w:tcPr>
            <w:tcW w:w="1002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SIGNATURES</w:t>
            </w:r>
          </w:p>
        </w:tc>
        <w:tc>
          <w:tcPr>
            <w:tcW w:w="1400" w:type="dxa"/>
            <w:vAlign w:val="bottom"/>
          </w:tcPr>
          <w:p>
            <w:pPr>
              <w:spacing w:after="0"/>
              <w:rPr>
                <w:sz w:val="24"/>
                <w:szCs w:val="24"/>
                <w:color w:val="auto"/>
              </w:rPr>
            </w:pPr>
          </w:p>
        </w:tc>
      </w:tr>
      <w:tr>
        <w:trPr>
          <w:trHeight w:val="390"/>
        </w:trPr>
        <w:tc>
          <w:tcPr>
            <w:tcW w:w="84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6880" w:type="dxa"/>
            <w:vAlign w:val="bottom"/>
            <w:gridSpan w:val="1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1"/>
        </w:trPr>
        <w:tc>
          <w:tcPr>
            <w:tcW w:w="1002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400" w:type="dxa"/>
            <w:vAlign w:val="bottom"/>
          </w:tcPr>
          <w:p>
            <w:pPr>
              <w:spacing w:after="0"/>
              <w:rPr>
                <w:sz w:val="24"/>
                <w:szCs w:val="24"/>
                <w:color w:val="auto"/>
              </w:rPr>
            </w:pPr>
          </w:p>
        </w:tc>
      </w:tr>
      <w:tr>
        <w:trPr>
          <w:trHeight w:val="390"/>
        </w:trPr>
        <w:tc>
          <w:tcPr>
            <w:tcW w:w="10020" w:type="dxa"/>
            <w:vAlign w:val="bottom"/>
            <w:gridSpan w:val="31"/>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Index to Consolidated Financial Statements</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451"/>
        </w:trPr>
        <w:tc>
          <w:tcPr>
            <w:tcW w:w="8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EXHIBITS</w:t>
            </w: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0"/>
        </w:trPr>
        <w:tc>
          <w:tcPr>
            <w:tcW w:w="10020" w:type="dxa"/>
            <w:vAlign w:val="bottom"/>
            <w:gridSpan w:val="31"/>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Index to Exhibits</w:t>
              </w:r>
            </w:hyperlink>
          </w:p>
        </w:tc>
        <w:tc>
          <w:tcPr>
            <w:tcW w:w="1400" w:type="dxa"/>
            <w:vAlign w:val="bottom"/>
          </w:tcPr>
          <w:p>
            <w:pPr>
              <w:spacing w:after="0"/>
              <w:rPr>
                <w:sz w:val="24"/>
                <w:szCs w:val="24"/>
                <w:color w:val="auto"/>
              </w:rPr>
            </w:pPr>
          </w:p>
        </w:tc>
      </w:tr>
      <w:tr>
        <w:trPr>
          <w:trHeight w:val="676"/>
        </w:trPr>
        <w:tc>
          <w:tcPr>
            <w:tcW w:w="7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TransAct designs, develops and sells market-specific solutions, including printers, terminals, software and other products for transaction-based and other industries. These world-class products are sold under the AccuDate™, Ithaca®, RESPONDER®, Epic, EPICENTRAL™, and Printrex® brand names. Known and respected worldwide for innovative designs and real-world service reliability, our thermal, inkjet and impact printers and terminals generate top-quality food rotation date and nutritional labels, promotional coupons and transaction records such as receipts, tickets, register journals and other documents as well as printed logging and plotting of oil field and well drilling data. We focus on the following core markets: food safety, banking and point-of-sale (“POS”), casino and gaming, lottery, and Printrex (which serves the oil and gas, medical and mobile printing markets). We sell our products to original equipment manufacturers (“OEMs”), value-added resellers, selected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Times New Roman" w:cs="Times New Roman" w:eastAsia="Times New Roman" w:hAnsi="Times New Roman"/>
          <w:sz w:val="17"/>
          <w:szCs w:val="17"/>
          <w:u w:val="single" w:color="auto"/>
          <w:color w:val="auto"/>
        </w:rPr>
        <w:t>www.transactsupplies.com</w:t>
      </w:r>
      <w:r>
        <w:rPr>
          <w:rFonts w:ascii="Times New Roman" w:cs="Times New Roman" w:eastAsia="Times New Roman" w:hAnsi="Times New Roman"/>
          <w:sz w:val="17"/>
          <w:szCs w:val="17"/>
          <w:color w:val="auto"/>
        </w:rPr>
        <w:t>, and our direct selling team, we address the on-line demand for these products. We have one primary operating, hardware research and development and eastern region service center located in Ithaca, NY. In addition, we have a casino and gaming sales headquarters, software research and development and western region service center in Las Vegas, NV, a sales and service center for the oil and gas industry in Houston, TX, a European sales and service center in the United Kingdom, and a sales office located in Macau. Our executive offices are located at One Hamden Center, 2319 Whitney Avenue, Suite 3B, Hamden, CT, 06518, with a telephone number of (203) 859-6800.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one reportable segment, the design, development, assembly and marketing of transaction printers and terminals and providing related software, services, supplies and spare parts. Information about our net sales, gross profit and assets can be found in our Consolidated Financial Statements on pages F-3 and F-4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Services and Distribution Methods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Printers and terminals: </w:t>
      </w:r>
      <w:r>
        <w:rPr>
          <w:rFonts w:ascii="Times New Roman" w:cs="Times New Roman" w:eastAsia="Times New Roman" w:hAnsi="Times New Roman"/>
          <w:sz w:val="18"/>
          <w:szCs w:val="18"/>
          <w:color w:val="auto"/>
        </w:rPr>
        <w:t>TransAct designs, develops, assembles and markets a broad array of transaction-based and specialty printers and terminals utilizing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thermal, inkjet and impact printing technology for applications, primarily in the food safety, banking and POS, casino and gaming, lottery, oil and gas, medical and mobile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safety terminals also offer configurable menu options. In addition to our configurable printers and terminals, we design and assemble custom printers for certain OEM customers. In collaboration with these customers, we provide engineering and manufacturing expertise for the design and development of specialized printers.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safety, banking and POS: </w:t>
      </w:r>
      <w:r>
        <w:rPr>
          <w:rFonts w:ascii="Times New Roman" w:cs="Times New Roman" w:eastAsia="Times New Roman" w:hAnsi="Times New Roman"/>
          <w:sz w:val="18"/>
          <w:szCs w:val="18"/>
          <w:color w:val="auto"/>
        </w:rPr>
        <w:t>Our food safety terminals are printing devices that consist of an operating system, a touchscreen and one or two thermal 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mechanisms, that print easy-to-read expiration and "enjoy by" date labels to help restaurants effectively manage food rotation and spoilage. In the food safety market, we use an internal sales force to manage sales of our terminals through distribution, as well as to solicit sales directly from end-users.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banking and POS printers include hundreds of optional configurations that can be selected to meet particular customer needs. We believe that this is a significant competitive strength, as it allows us to satisfy a wide variety of printing applications that our customers request. In the banking market, we sell printers that are used by banks, credit unions and other financial institutions to print receipts and/or validate checks at bank teller stations. In the POS market, we sell several models of printers utilizing inkjet, thermal and impact printing technology. Our printers are used primarily by retailers in the restaurant (including fine dining, casual dining, and fast food) and hospitality industries to print receipts for consumers, validate checks, or print on linerless labels or other inserted media.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primarily sell our products directly to end-user banks and financial institutions through the use of our internal sales force.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Lottery: </w:t>
      </w:r>
      <w:r>
        <w:rPr>
          <w:rFonts w:ascii="Times New Roman" w:cs="Times New Roman" w:eastAsia="Times New Roman" w:hAnsi="Times New Roman"/>
          <w:sz w:val="18"/>
          <w:szCs w:val="18"/>
          <w:color w:val="auto"/>
        </w:rPr>
        <w:t>We supply lottery printers to IGT (formerly GTECH Corporation) and its subsidiaries, our largest customer and the world’s largest provider of lottery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terminals. In addition, during 2015 we launched a new lottery printer, the Epic 3000, that we will begin to sell to other lottery system customers beyond IGT. These printers are designed for high-volume, high-speed printing of lottery tickets for various lottery applications. Sales of our lottery products are made directly to IGT and managed by an internal sales representative.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Casino and gaming: </w:t>
      </w:r>
      <w:r>
        <w:rPr>
          <w:rFonts w:ascii="Times New Roman" w:cs="Times New Roman" w:eastAsia="Times New Roman" w:hAnsi="Times New Roman"/>
          <w:sz w:val="18"/>
          <w:szCs w:val="18"/>
          <w:color w:val="auto"/>
        </w:rPr>
        <w:t>We sell several models of printers used in slot machines and video lottery terminals (“VLT’s”) and other gaming machines that 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tickets or receipts instead of issuing coins (“ticket-in, ticket-out” or “TITO”) at casinos, racetracks (“racinos”) and other gaming venues worldwide. These printers utilize thermal printing technology and can print tickets or receipts in monochrome or two-color (depending upon the model), and offer various other features such as jam resistant bezels and a dual port interface that enables casinos to print coupons and promotions. In addition, we sell printers using thermal printing technology for use in non-casino establishments, including game types such as Amusements with Prizes (“AWP”), Skills with Prizes (“SWP”), Fixed Odds Betting Terminals (“FOBT”) and other off-premise gaming type machines around the world. We sell our products primarily to (1) slot machine manufacturers, who incorporate our printers into slot machines and, in turn, sell completed slot machines directly to casinos and other gaming establishments and (2) through our primary worldwide distributor, Suzo-Happ Group. We also maintain a dedicated internal sales force to solicit sales from slot manufacturers and casinos, as well as to manage sales through our distributor.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486" w:gutter="0" w:footer="0" w:header="0"/>
        </w:sectPr>
      </w:pPr>
    </w:p>
    <w:bookmarkStart w:id="4" w:name="page5"/>
    <w:bookmarkEnd w:id="4"/>
    <w:p>
      <w:pPr>
        <w:jc w:val="both"/>
        <w:spacing w:after="0" w:line="203" w:lineRule="auto"/>
        <w:rPr>
          <w:sz w:val="20"/>
          <w:szCs w:val="20"/>
          <w:color w:val="auto"/>
        </w:rPr>
      </w:pPr>
      <w:r>
        <w:rPr>
          <w:rFonts w:ascii="Times New Roman" w:cs="Times New Roman" w:eastAsia="Times New Roman" w:hAnsi="Times New Roman"/>
          <w:sz w:val="18"/>
          <w:szCs w:val="18"/>
          <w:color w:val="auto"/>
        </w:rPr>
        <w:t>We also offer a software solution, the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Print System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that enables casino operators to create promotional coupons and marketing messages and print them in real-time at the slot machine. With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casinos can utilize the system to create multiple promotions and incentives to either increase customer time spent on the casino floor or encourage additional visits to generate more revenue to the casinos.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Printrex: </w:t>
      </w:r>
      <w:r>
        <w:rPr>
          <w:rFonts w:ascii="Times New Roman" w:cs="Times New Roman" w:eastAsia="Times New Roman" w:hAnsi="Times New Roman"/>
          <w:sz w:val="18"/>
          <w:szCs w:val="18"/>
          <w:color w:val="auto"/>
        </w:rPr>
        <w:t>Printrex printers include wide format, rack mounted and vehicle mounted black/white and color thermal printers used by customers to log and plot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field and down hole well drilling data in the oil and gas exploration industry. It also includes high-speed color inkjet desktop printers used to print logs at data centers of the oil and gas field service companies. In 2015, we launched the Responder MP2™, our first printer for the large machine-to-machine (M2M) vertical market. The Responder MP2™ is an all-in-one mobile printing solution for a number of vehicles, including fire, police, EMS, insurance, public utilities and delivery. In addition, we sell wide format thermal printers used to print test results in ophthalmology devices in the medical industry, as well as vehicle mounted printers used to print schematics and certain other critical information in emergency services vehicles and other mobile printing applications. We primarily sell our Printrex products directly to oil field service and drilling companies and OEM’s, as well as through regional distributors in the United States, Europe, Canada and Asia. We also maintain a dedicated internal sales representative with a sales office located in Houston, Texas.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TSG, we proactively market the sale of consumable products (including inkjet cartridges, ribbons, receipt paper, color thermal paper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xml:space="preserve"> and TransAct Care, and other repair services for our printers and terminals. Within the United States, we provide repair services through our eastern region service center in Ithaca, NY, our western region service center in Las Vegas, NV and our oil and gas industry service center in Houston, TX. Internationally, we provide repair services through our European service center located in Doncaster, United Kingdom, and through partners strategically located around the world.</w:t>
      </w:r>
    </w:p>
    <w:p>
      <w:pPr>
        <w:spacing w:after="0" w:line="2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our services.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In addition to personalized telephone and technical support, we also market and sell consumable products 24 hours a day, seven days a week, via our online webstore </w:t>
      </w:r>
      <w:r>
        <w:rPr>
          <w:rFonts w:ascii="Times New Roman" w:cs="Times New Roman" w:eastAsia="Times New Roman" w:hAnsi="Times New Roman"/>
          <w:sz w:val="18"/>
          <w:szCs w:val="18"/>
          <w:u w:val="single" w:color="auto"/>
          <w:color w:val="auto"/>
        </w:rPr>
        <w:t>www.transactsupplies.com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design our products to optimize product performance, quality, reliability and durability. These designs combine cost efficient materials, sourcing and assembly methods with high standards of workmanship. Approximately 95% of our printer production is primarily through one third-party contract manufacturer in Asia and to a lesser extent two others in Asia. The remaining 5% of our products are assembled in our Ithaca, NY facility largely on a configure-to-order basis using components and subassemblies that have been sourced from vendors and contract manufacturers around the world.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procure component parts and subassemblies for use in the assembly of our products in Ithaca, NY. Critical component parts and subassemblies include thermal, inkjet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purchases of component parts have declined while purchases of fully-assembled printers produced by our contract manufacturers have increased.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buy substantially all of our thermal print mechanisms, an important component of our thermal printers, and fully assembled printers for several of our printer and food safety terminal models, from one foreign contract manufacturer, and to a much lesser extent, one other foreign contract manufacturer.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a supply agreement with our foreign contract manufacturers, our relationship with them remains strong and we have no reason to believe that they will discontinue their supply of thermal print mechanisms to us during 2016 or that their terms to us will be any less favorable than they have been historically.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our banking inkjet printers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banking and POS market, but also in other manufacturer’s printing devices across several other markets.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2017. Prices under this agreement were fixed through May 2013, but may be changed during the remainder of the agreement if the exchange rate fluctuates significantly between the Japanese yen and the U.S. dollar.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TransAct relies on a combination of trade secrets, patents, employee and third party nondisclosure agreements, copyright laws and contractual rights to establish and protect its proprietary rights in its products. We hold 33 United States and 35 foreign patents and have 4 United States and 6 foreign patent applications pending pertaining to our products. The duration of these patents range from 2 to 16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Restaurants typically reduce purchases of new food safety equipment in the fourth quarter due to the increased volume of transactions during that holiday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Customers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IGT (formerly GTECH Corporation) has been our most significant customer. On May 29, 2015, we signed a new agreement with IGT to sell on-line lottery and casino printers to IGT through December 31, 2019. This new agreement replaced the previous agreement that expired on May 29, 2015. Under the terms of the new agreement, we will sell on-line lottery and casino printers to IGT on a non-exclusive basis, and IGT will purchase such printers from us on a non-exclusive basis. This new agreement will allow TransAct to sell printers to other lottery system customers beyond IGT.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IGT and other customers representing 10% or more of our total net sales were as follows:</w:t>
      </w:r>
    </w:p>
    <w:p>
      <w:pPr>
        <w:spacing w:after="0" w:line="25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IGT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15"/>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Suzo-Happ</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Eurocoin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backlog of firm orders was approximately $5,403,000 as of February 29, 2016, compared to $11,356,000 as of February 27, 2015. Based on customers’ current delivery requirements, we expect to ship our entire current backlog during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market for transaction-based and specialty printers is extremely competitive, and we expect such competition to continue in the future. However, we experience less competition for our food safety terminals and EPICENTRAL software due to the highly customized nature of the product.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food safety market, we compete with Avery Dennison Corporation, Ecolab Inc. and Integrated Control Corp. We compete in this market based largely on our ability to provide highly specialized products, custom engineering and ongoing technical support.</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banking and POS market, our major competitor is Epson America, Inc., which holds a dominant market position of the POS markets into which we sell. We also compete, to a much lesser extent, with CognitiveTPG, Star Micronics America, Inc., Citizen -- CBM America Corporation, Pertech Industries, Inc., Addmaster, and Samsung/Bixolon. Certain competitors of ours have greater financial resources, lower costs attributable to higher volume production and sometimes offer lower prices than us. However, we have and will continue to deemphasize efforts in the POS and banking markets going forward.</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casino and gaming market (consisting principally of slot machine and VLT transaction printing and promotional coupon printing), we compete with several companies including JCM Global (formerly FutureLogic, Inc.), Nanoptix, Inc., Custom Engineering SPA and others. Certain of our products sold for casino and gaming applications compete based upon our ability to provide highly specialized products, custom engineering and ongoing technical support.</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lottery market (consisting principally of on-line lottery transaction printing), we hold a leading position, based largely on our long-term relationship with IGT. On May 29, 2015, we signed a non-exclusive agreement with IGT to provide thermal lottery printers to IGT for various lottery applications through December 31, 2019. Prior to this agreement, we had an exclusive purchase agreement whereby IGT exclusively purchased all of its requirements for thermal on-line lottery printers from us and we exclusively sold such printers to IGT. We now compete in this market with other lottery printer providers such as Custom Engineering SPA, Star Micronics and Wincor Nixdorf.</w:t>
      </w:r>
    </w:p>
    <w:p>
      <w:pPr>
        <w:spacing w:after="0" w:line="20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the Printrex market, we primarily compete with the Imaging Systems Group, Inc. (“iSys”), Neuralog Inc. and GSI Group. We compete in this market based largely on our ability to provide specialized, custom-engineered products.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620" w:gutter="0" w:footer="0" w:header="0"/>
        </w:sectPr>
      </w:pPr>
    </w:p>
    <w:bookmarkStart w:id="6" w:name="page7"/>
    <w:bookmarkEnd w:id="6"/>
    <w:p>
      <w:pPr>
        <w:jc w:val="both"/>
        <w:spacing w:after="0" w:line="280" w:lineRule="auto"/>
        <w:rPr>
          <w:sz w:val="20"/>
          <w:szCs w:val="20"/>
          <w:color w:val="auto"/>
        </w:rPr>
      </w:pPr>
      <w:r>
        <w:rPr>
          <w:rFonts w:ascii="Times New Roman" w:cs="Times New Roman" w:eastAsia="Times New Roman" w:hAnsi="Times New Roman"/>
          <w:sz w:val="18"/>
          <w:szCs w:val="18"/>
          <w:color w:val="auto"/>
        </w:rPr>
        <w:t>The TSG business is highly fragmented, and we compete with numerous competitors of various sizes, including POS and internet resellers, depending on the geographic area.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for competing in our markets is to continually develop new products (hardware and software) and product line extensions that are technologically advanced and provide differentiated features and functions,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thermal, inkjet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Activities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$3,599,000, $4,302,000, and $4,065,000 in 2015, 2014 and 2013, respectively, on engineering, design and product development efforts in connection with specialized engineering and design to introduce new hardware and software products and to customize or improve existing products.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sale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which enables casino customers to print coupons and promotions at the slot machine. Unamortized development costs for such software were approximately $31,000 and $169,000 as of December 31, 2015 and 2014, respectively. The total amount charged to cost of sales for capitalized software development costs were approximately $138,000, $201,000, and $199,000 in 2015, 2014 and 2013,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2015, TransAct and our subsidiaries employed 125 persons, all of whom were full-time employees. None of our employees are unionized, and we consider our relationships with our employees to be good.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3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financial information regarding our geographic areas see Note 15 – Geographic Area Information in the Notes to the Consolidated Financial Statements. Risks related to our foreign operations are described in Item 1A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Copyrights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 of their respective owners. The trademarks we own include TransAct®, AccuDate™, Epic, EPICENTRAL®, Ithaca®, RESPONDER®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make available free of charge through the “Investor Relations” tab on our internet website, </w:t>
      </w:r>
      <w:r>
        <w:rPr>
          <w:rFonts w:ascii="Times New Roman" w:cs="Times New Roman" w:eastAsia="Times New Roman" w:hAnsi="Times New Roman"/>
          <w:sz w:val="18"/>
          <w:szCs w:val="18"/>
          <w:b w:val="1"/>
          <w:bCs w:val="1"/>
          <w:u w:val="single" w:color="auto"/>
          <w:color w:val="auto"/>
        </w:rPr>
        <w:t>www.transact-tech.com</w:t>
      </w:r>
      <w:r>
        <w:rPr>
          <w:rFonts w:ascii="Times New Roman" w:cs="Times New Roman" w:eastAsia="Times New Roman" w:hAnsi="Times New Roman"/>
          <w:sz w:val="18"/>
          <w:szCs w:val="18"/>
          <w:color w:val="auto"/>
        </w:rPr>
        <w:t>, our annual report on Form 10-K, quarterly reports on Form 10-Q, current reports on Form 8-K, and all amendments to those reports as soon as reasonably practicable after such material is electronically filed with or furnished to the Securities and Exchange Commission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2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486" w:gutter="0" w:footer="0" w:header="0"/>
        </w:sectPr>
      </w:pPr>
    </w:p>
    <w:bookmarkStart w:id="7" w:name="page8"/>
    <w:bookmarkEnd w:id="7"/>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consumables and the generation of sales from those products;</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both domestically and internationally;</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products by others;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responses to price competition;</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research and development activities;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consumables, technologies or businesses;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we spend to promote our products and services;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 and servicing our installed base of printers;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third-party components at reasonable prices;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changes in interest rates affecting returns on cash balances and investments, that affect customer demand;</w:t>
      </w: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world-wide oil and gas prices;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events (such as hurricanes) that can disrupt or interrupt the operation of our customers or suppliers facilities;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3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in this report, quarter-to-quarter comparisons of our operating results may not be an indicator of future performance.</w:t>
      </w:r>
    </w:p>
    <w:p>
      <w:pPr>
        <w:spacing w:after="0" w:line="18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success of newer products such as the AccuDate™ food safety terminals and RESPONDER MP2™ is dependent on how quickly customers in the related markets accept them given the very little market penetration these products have experienced since they are new and innovative and have limited competition. Additionally, the success of innovative technology, such as printing coupons and promotions at the slot machine using EPICENTRAL™, is dependent on our casino customers' acceptance of such technology. While we have designed EPICENTRAL™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success depends upon our ability to adapt our capabilities and processes to meet the demands of producing new and innovative products. Because our newer products contain software and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Infringement on the proprietary rights of others could put us at a competitive disadvantage, and any related litigation could be time consuming and costly. </w:t>
      </w:r>
      <w:r>
        <w:rPr>
          <w:rFonts w:ascii="Times New Roman" w:cs="Times New Roman" w:eastAsia="Times New Roman" w:hAnsi="Times New Roman"/>
          <w:sz w:val="18"/>
          <w:szCs w:val="18"/>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were involved in regarding alleged misappropriation of unspecified trade secrets and confidential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could have a material adverse effect on our business, operating results and financial condition.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growth has slowed and has resulted in recessions in numerous countries, including many of those in North America, Europe and Asia, where the Company does substantially all of its business. If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distributors and resellers to sell our products and services.</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upon distributors and resellers exposes us to numerous risks, including:</w:t>
      </w:r>
    </w:p>
    <w:p>
      <w:pPr>
        <w:spacing w:after="0" w:line="250" w:lineRule="exact"/>
        <w:rPr>
          <w:sz w:val="20"/>
          <w:szCs w:val="20"/>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channel and the ability to bring new products to market;</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 including disruption in distribution should the distributors and / or resellers’ financial condition deteriorate;</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visibility to end user demand and pricing issues which makes forecasting more difficult;</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or resellers leveraging their buying power to change the terms of pricing, payment and product delivery schedules;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competition should a distributor or reseller decide to manufacture printers internally or source printers from a competitor.</w:t>
      </w:r>
    </w:p>
    <w:p>
      <w:pPr>
        <w:spacing w:after="0" w:line="2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outsourced substantially all of the assembly of our printers and terminals to three contract manufacturers and will be dependent on them for the manufacturing of such products. A failure by these contract manufacturers, or any disruption in such manufacturing or the flow of product from these manufacturers, may adversely affect our business results.</w:t>
      </w:r>
    </w:p>
    <w:p>
      <w:pPr>
        <w:jc w:val="both"/>
        <w:spacing w:after="0" w:line="254" w:lineRule="auto"/>
        <w:rPr>
          <w:sz w:val="20"/>
          <w:szCs w:val="20"/>
          <w:color w:val="auto"/>
        </w:rPr>
      </w:pPr>
      <w:r>
        <w:rPr>
          <w:rFonts w:ascii="Times New Roman" w:cs="Times New Roman" w:eastAsia="Times New Roman" w:hAnsi="Times New Roman"/>
          <w:sz w:val="18"/>
          <w:szCs w:val="18"/>
          <w:color w:val="auto"/>
        </w:rPr>
        <w:t>In an effort to achieve additional cost savings and operation benefits, we have continued to outsource the manufacturing and assembly of our printers and terminals to contract manufacturers in Asia. Approximately 80% of our printer and terminal manufacturing is conducted by one third party manufacturer in Asia.</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increased elements of risk that arise from conducting certain operating processes in foreign jurisdictions may lead to an increase in reputational risk.</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manufacturers have access to our intellectual property, which increases the risk of infringement or misappropriation of this intellectual property.</w:t>
      </w:r>
    </w:p>
    <w:p>
      <w:pPr>
        <w:spacing w:after="0" w:line="246"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Political, social or economic instability in regions in which our manufacturers are located, could cause disruptions in trade, including exports to the U.S. </w:t>
      </w:r>
      <w:r>
        <w:rPr>
          <w:rFonts w:ascii="Times New Roman" w:cs="Times New Roman" w:eastAsia="Times New Roman" w:hAnsi="Times New Roman"/>
          <w:sz w:val="17"/>
          <w:szCs w:val="17"/>
          <w:color w:val="auto"/>
        </w:rPr>
        <w:t>A significant portion of our printers and terminals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85" w:lineRule="exact"/>
        <w:rPr>
          <w:sz w:val="20"/>
          <w:szCs w:val="20"/>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trade law provisions or regulations;</w:t>
      </w:r>
    </w:p>
    <w:p>
      <w:pPr>
        <w:spacing w:after="0" w:line="26" w:lineRule="exact"/>
        <w:rPr>
          <w:rFonts w:ascii="Times New Roman" w:cs="Times New Roman" w:eastAsia="Times New Roman" w:hAnsi="Times New Roman"/>
          <w:sz w:val="18"/>
          <w:szCs w:val="18"/>
          <w:color w:val="auto"/>
        </w:rPr>
      </w:pPr>
    </w:p>
    <w:p>
      <w:pPr>
        <w:ind w:left="660" w:hanging="330"/>
        <w:spacing w:after="0" w:line="24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shipping and air carriers who may experience capacity issues that adversely affect our ability to ship inventory in a timely manner or for an acceptable cost;</w:t>
      </w: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and other charges on imports and exports;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uncertainties and adverse economic conditions (including inflation and recession);</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against foreign currencies;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such as dock strikes;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the delivery of cargo due to port security considerations;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political instability in any of the countries in which our printers and terminals are manufactured.</w:t>
      </w:r>
    </w:p>
    <w:p>
      <w:pPr>
        <w:spacing w:after="0" w:line="22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disruption in the supply of such component parts and consumable products could have a material adverse effect on our operations and financial results.</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209" w:lineRule="exact"/>
        <w:rPr>
          <w:sz w:val="20"/>
          <w:szCs w:val="20"/>
          <w:color w:val="auto"/>
        </w:rPr>
      </w:pPr>
    </w:p>
    <w:p>
      <w:pPr>
        <w:ind w:left="660" w:hanging="33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foreign currency rates could restrict sales, or increase costs of purchasing, in foreign countries;</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may impose burdensome tariffs, quotas, taxes, trade barriers or capital flow restrictions;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may reduce demand for our products or put our foreign assets at risk;</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or import of technology may reduce or eliminate the ability to sell in or purchase from certain markets; and</w:t>
      </w:r>
    </w:p>
    <w:p>
      <w:pPr>
        <w:spacing w:after="0" w:line="8" w:lineRule="exact"/>
        <w:rPr>
          <w:rFonts w:ascii="Times New Roman" w:cs="Times New Roman" w:eastAsia="Times New Roman" w:hAnsi="Times New Roman"/>
          <w:sz w:val="18"/>
          <w:szCs w:val="18"/>
          <w:color w:val="auto"/>
        </w:rPr>
      </w:pPr>
    </w:p>
    <w:p>
      <w:pPr>
        <w:ind w:left="660" w:hanging="330"/>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manufacturing forecasts.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889" w:gutter="0" w:footer="0" w:header="0"/>
        </w:sectPr>
      </w:pPr>
    </w:p>
    <w:bookmarkStart w:id="9" w:name="page10"/>
    <w:bookmarkEnd w:id="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sales to our largest customer, IGT, will continue to represent a material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sustain and manage growth.</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customer service and support, and the continued implementation and improvement of our operational, financial and management information systems.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209" w:lineRule="exact"/>
        <w:rPr>
          <w:sz w:val="20"/>
          <w:szCs w:val="20"/>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technologically advanced products that satisfy the user demands;</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quality and reliability;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dependable and efficient distribution networks.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the loss of which could materially impact our business.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enforce our patents or if it is determined that we infringe patents held by others it could damage our business.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protect intellectual property could harm our reputation, and our competitive position may be materially damaged.</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variations in quarterly operating results and other factors, such as:</w:t>
      </w:r>
    </w:p>
    <w:p>
      <w:pPr>
        <w:spacing w:after="0" w:line="231" w:lineRule="exact"/>
        <w:rPr>
          <w:sz w:val="20"/>
          <w:szCs w:val="20"/>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operations or prospects;</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our customers;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by our competitors;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completion of acquisitions by us or by our competitors;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or adoption of additional government regulations;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reduced analyst coverage;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domestic and international market and economic conditions.</w:t>
      </w:r>
    </w:p>
    <w:p>
      <w:pPr>
        <w:spacing w:after="0" w:line="23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trading volume and a reduction in analyst coverage of our common stock may contribute to its price volatility.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common stock is traded on the NASDAQ Global Market. During the year ended December 31, 2015, the average daily trading volume for our common stock as reported by the NASDAQ Global Market was approximately 25,000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provide any assurance that current laws, or any laws enacted in the future, will not have a material adverse effect on our business.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computer software costs may not be recoverable.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To the extent technological feasibility of products is not achieved, related capitalized computer software costs may not be recoverable.</w:t>
      </w:r>
    </w:p>
    <w:p>
      <w:pPr>
        <w:spacing w:after="0" w:line="21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jc w:val="both"/>
        <w:spacing w:after="0" w:line="272" w:lineRule="auto"/>
        <w:rPr>
          <w:sz w:val="20"/>
          <w:szCs w:val="20"/>
          <w:color w:val="auto"/>
        </w:rPr>
      </w:pPr>
      <w:r>
        <w:rPr>
          <w:rFonts w:ascii="Times New Roman" w:cs="Times New Roman" w:eastAsia="Times New Roman" w:hAnsi="Times New Roman"/>
          <w:sz w:val="17"/>
          <w:szCs w:val="17"/>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3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Our principal facilities as of December 31, 2015 are listed below and we believe that all facilities generally are in good condition, adequately maintained and suitable for their present and currently contemplated uses.</w:t>
      </w: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6"/>
              </w:rPr>
              <w:t>Size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5"/>
        </w:trPr>
        <w:tc>
          <w:tcPr>
            <w:tcW w:w="23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 Sq.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Expiration</w:t>
            </w:r>
          </w:p>
        </w:tc>
      </w:tr>
      <w:tr>
        <w:trPr>
          <w:trHeight w:val="24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9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Operations Conducted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0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Hamden, Connecticut</w:t>
            </w:r>
          </w:p>
        </w:tc>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Executive offices and TSG sales office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23, 2017</w:t>
            </w:r>
          </w:p>
        </w:tc>
      </w:tr>
      <w:tr>
        <w:trPr>
          <w:trHeight w:val="197"/>
        </w:trPr>
        <w:tc>
          <w:tcPr>
            <w:tcW w:w="2380" w:type="dxa"/>
            <w:vAlign w:val="bottom"/>
          </w:tcPr>
          <w:p>
            <w:pPr>
              <w:spacing w:after="0"/>
              <w:rPr>
                <w:sz w:val="17"/>
                <w:szCs w:val="17"/>
                <w:color w:val="auto"/>
              </w:rPr>
            </w:pPr>
          </w:p>
        </w:tc>
        <w:tc>
          <w:tcPr>
            <w:tcW w:w="494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Hardware  design  and  development,  assembly  and  service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Ithaca, New York *</w:t>
            </w:r>
          </w:p>
        </w:tc>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73,900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2016</w:t>
            </w:r>
          </w:p>
        </w:tc>
      </w:tr>
      <w:tr>
        <w:trPr>
          <w:trHeight w:val="197"/>
        </w:trPr>
        <w:tc>
          <w:tcPr>
            <w:tcW w:w="2380" w:type="dxa"/>
            <w:vAlign w:val="bottom"/>
            <w:shd w:val="clear" w:color="auto" w:fill="CCEEFF"/>
          </w:tcPr>
          <w:p>
            <w:pPr>
              <w:spacing w:after="0"/>
              <w:rPr>
                <w:sz w:val="17"/>
                <w:szCs w:val="17"/>
                <w:color w:val="auto"/>
              </w:rPr>
            </w:pPr>
          </w:p>
        </w:tc>
        <w:tc>
          <w:tcPr>
            <w:tcW w:w="4940" w:type="dxa"/>
            <w:vAlign w:val="bottom"/>
            <w:shd w:val="clear" w:color="auto" w:fill="CCEEFF"/>
          </w:tcPr>
          <w:p>
            <w:pPr>
              <w:ind w:left="360"/>
              <w:spacing w:after="0" w:line="197" w:lineRule="exact"/>
              <w:rPr>
                <w:sz w:val="20"/>
                <w:szCs w:val="20"/>
                <w:color w:val="auto"/>
              </w:rPr>
            </w:pPr>
            <w:r>
              <w:rPr>
                <w:rFonts w:ascii="Times New Roman" w:cs="Times New Roman" w:eastAsia="Times New Roman" w:hAnsi="Times New Roman"/>
                <w:sz w:val="18"/>
                <w:szCs w:val="18"/>
                <w:color w:val="auto"/>
              </w:rPr>
              <w:t>Software design and development, service center and casino</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gaming sales office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31, 2022</w:t>
            </w:r>
          </w:p>
        </w:tc>
      </w:tr>
      <w:tr>
        <w:trPr>
          <w:trHeight w:val="21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Doncaster, United Kingdom</w:t>
            </w:r>
          </w:p>
        </w:tc>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office and service center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2016</w:t>
            </w:r>
          </w:p>
        </w:tc>
      </w:tr>
      <w:tr>
        <w:trPr>
          <w:trHeight w:val="21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office and service center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2016</w:t>
            </w:r>
          </w:p>
        </w:tc>
      </w:tr>
      <w:tr>
        <w:trPr>
          <w:trHeight w:val="22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Macau, China</w:t>
            </w:r>
          </w:p>
        </w:tc>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office</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2016</w:t>
            </w:r>
          </w:p>
        </w:tc>
      </w:tr>
      <w:tr>
        <w:trPr>
          <w:trHeight w:val="222"/>
        </w:trPr>
        <w:tc>
          <w:tcPr>
            <w:tcW w:w="23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14, 2016 we signed an amendment to extend our lease in Ithaca to May 31, 2021. The amendment is included as an exhibit to this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(the “Court of Appeals”), which heard oral arguments on the appeal on July 16, 2013. On July 23, 2013, AD requested that the Court of Appeals enjoin our further sale and marketing of the food safety terminals, pending the Court of Appeals’ decision. On July 29, 2013, we opposed this request. On October 15, 2013, the Court of Appeals ruled in our favor, affirming the Court’s decision and denying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TACT. As of February 29, 2016, there were 363 holders of record of the common stock. The high and low bid sales prices of the common stock reported during each quarter of the years ended December 31, 2015 and 2014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8"/>
              </w:rPr>
              <w:t>Year Ended</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Year Ended</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40" w:type="dxa"/>
            <w:vAlign w:val="bottom"/>
            <w:tcBorders>
              <w:bottom w:val="single" w:sz="8" w:color="auto"/>
            </w:tcBorders>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2014</w:t>
            </w:r>
          </w:p>
        </w:tc>
        <w:tc>
          <w:tcPr>
            <w:tcW w:w="20" w:type="dxa"/>
            <w:vAlign w:val="bottom"/>
          </w:tcPr>
          <w:p>
            <w:pPr>
              <w:spacing w:after="0"/>
              <w:rPr>
                <w:sz w:val="19"/>
                <w:szCs w:val="19"/>
                <w:color w:val="auto"/>
              </w:rPr>
            </w:pPr>
          </w:p>
        </w:tc>
      </w:tr>
      <w:tr>
        <w:trPr>
          <w:trHeight w:val="222"/>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High</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Low</w:t>
            </w:r>
          </w:p>
        </w:tc>
        <w:tc>
          <w:tcPr>
            <w:tcW w:w="20" w:type="dxa"/>
            <w:vAlign w:val="bottom"/>
          </w:tcPr>
          <w:p>
            <w:pPr>
              <w:spacing w:after="0"/>
              <w:rPr>
                <w:sz w:val="19"/>
                <w:szCs w:val="19"/>
                <w:color w:val="auto"/>
              </w:rPr>
            </w:pPr>
          </w:p>
        </w:tc>
      </w:tr>
      <w:tr>
        <w:trPr>
          <w:trHeight w:val="215"/>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3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0"/>
                <w:szCs w:val="20"/>
                <w:color w:val="auto"/>
              </w:rPr>
            </w:pPr>
          </w:p>
        </w:tc>
      </w:tr>
    </w:tbl>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$2,485,000 or $0.32 per share and $2,556,000 or $0.31 per share, in 2015 and 2014, respectively. On February 1, 2016, our Board of Directors approved the first quarter 2016 dividend in the amount of $0.08 per share payable on or about March 15, 2016 to common shareholders of record at the close of business on February 19,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Prior to its expiration on July 31, 2015, we maintained a stock repurchase program. Under this stock repurchase program, we were authorized to repurchase up to $7,500,000 of our outstanding shares of common stock from time to time in the open market, depending on market conditions, share price and other factors. We use the cost method to account for treasury stock purchases, under which the price paid for the stock is charged to the treasury stock</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account. Repurchases of our common stock are accounted for as of the settlement date. From January 1, 2015 through the expiration date of this stock repurchase program, we repurchased 166,553 shares of our common stock for approximately $1,020,000 at an average price of $6.12 per share. From the start of this stock repurchase program on August 11, 2014 through December 31, 2014, we repurchased 434,998 shares of our common stock for approximately $2,634,000 at an average price per share of $6.06. From January 1, 2005 through the expiration of the stock repurchase program on July 31, 2015, we repurchased a total of 3,388,589 shares of common stock for approximately $26,181,000, at an average price of $7.73 per share.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Under this new repurchase program, we are authorized to repurchase up to $5,000,000 of our outstanding shares of common stock from time to time in the open market through December 31, 2017 at prevailing market prices based on market conditions, share price and other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31"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18"/>
          <w:szCs w:val="18"/>
          <w:color w:val="auto"/>
        </w:rPr>
        <w:t>For a discussion of the Company’s equity compensation plan information, please see Item 12. Security Ownership of Certain Beneficial Owners and Management and Related Stockholder Matters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PERFORMANCE GRAPH</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the Company’s Common Stock from December 31, 2010 through December 31, 2015, with the CRSP Total Return Index for the Nasdaq Stock Market (U.S.) and the Nasdaq Computer Hardware Stocks Index. The graph assumes that $100 was invested on December 31, 2010 in each of TransAct’s common stock, the CRSP Total Return Index for the Nasdaq Stock Market (U.S.) and the Nasdaq Computer Manufacturer Stocks Index, and that all dividends were reinvested.</w:t>
      </w:r>
    </w:p>
    <w:p>
      <w:pPr>
        <w:spacing w:after="0" w:line="210"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142240</wp:posOffset>
            </wp:positionV>
            <wp:extent cx="6828790" cy="512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8790"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12/31/10</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12/31/15</w:t>
            </w:r>
          </w:p>
        </w:tc>
      </w:tr>
      <w:tr>
        <w:trPr>
          <w:trHeight w:val="197"/>
        </w:trPr>
        <w:tc>
          <w:tcPr>
            <w:tcW w:w="32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TransAct Technologies Incorporated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3"/>
        </w:trPr>
        <w:tc>
          <w:tcPr>
            <w:tcW w:w="3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133.01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197"/>
        </w:trPr>
        <w:tc>
          <w:tcPr>
            <w:tcW w:w="3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CRSP Total Return Index for the Nasdaq</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Market (U.S.)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w:t>
            </w:r>
          </w:p>
        </w:tc>
      </w:tr>
      <w:tr>
        <w:trPr>
          <w:trHeight w:val="21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Computer Hardware Stocks Index</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147.85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200.43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 (in thousands, except per share amounts)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summarized from our audited financial statements of the past five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2011</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 Data: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59,676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60,141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68,386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65,969</w:t>
            </w:r>
          </w:p>
        </w:tc>
      </w:tr>
      <w:tr>
        <w:trPr>
          <w:trHeight w:val="215"/>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25,092</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24,626</w:t>
            </w: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18,475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r>
      <w:tr>
        <w:trPr>
          <w:trHeight w:val="215"/>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15"/>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9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15"/>
        </w:trPr>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and paid per share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64"/>
        </w:trPr>
        <w:tc>
          <w:tcPr>
            <w:tcW w:w="3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2011</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 Data: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32,569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45,228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w:t>
            </w:r>
          </w:p>
        </w:tc>
      </w:tr>
      <w:tr>
        <w:trPr>
          <w:trHeight w:val="215"/>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Working capital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18,361</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24,871</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w:t>
            </w: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32,521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35,313</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should be read in conjunction with the Consolidated Financial Statements and notes thereto.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2015, we focused our efforts on sales execution and growing the revenue of our new, value-added products and technologies. From 2012 to 2015, we spent significant time and resources developing new products such as the Ithaca® 9700 food safety terminal, EPICENTRAL™ software for the casino and gaming industry, RESPONDER MP2™ mobile printer for vehicles and our Printrex® 920 and 980 color printers for the oil and gas industry. With that first development phase behind us we were able to fully shift our focus to growing our revenue resulting in a 12% increase overall from the prior year. Additionally, we were able to successfully execute against our cost reduction initiatives and lowered operating expenses by over $1 million during 2015 upon completing the product development investments we made during the past three years.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2015, our sales increased due to continued growth of sales in our food safety terminals as well as higher lottery printer sales. The investments we have made in the food safety market have resulted in strong sales growth that we believe will continue to grow in future years. In regards to our casino and gaming markets, we continued to gain domestic market share despite a relative weak replacement cycle in the domestic casino and gaming market as well as sluggishness in the international markets. Our Printex market has seen a significant negative impact from the world-wide decline in oil and gas prices. While it is difficult to predict when a rebound of oil and gas prices will occur, with the adjustments we have made to our cost structure and focus on sales, we have experienced considerable growth during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2015, our total net sales increased 12% to approximately $59,676,000. See the table below for a breakdown of our sales by market: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safety, banking and POS</w:t>
            </w: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13,029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Casino and gaming</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21,755</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22,731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Lottery</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4,761</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Printrex</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TSG</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5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53,108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2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Sales of our food safety, banking and POS products increased 40% in 2015 compared to 2014. In the food safety market, our focus lies with providing terminals that print food rotational date and nutritional labels to help restaurants and other food providing establishments effectively manage food rotation and spoilage. Sales of our food safety terminals almost doubled in 2015; increasing 92% over 2014 and also increasing sequentially each quarter of 2015. The increase resulted largely from the continued success of our AccuDate™ 9700 terminal. In addition to the continued market penetration of the AccuDate™ 9700, we introduced a new food safety terminal, the AccuDate™ Pro and experienced the first revenue contributions from this product during 2015. In the POS market, we focus primarily on supplying printers that print receipts or linerless labels for customers in the restaurant and quick serve markets. During 2015, sales of our POS printers increased 30% compared to 2014, primarily driven by sales of our Ithaca ® 9000 printers to support new initiatives at McDonald’s. We expect this level of sales to continue into 2016. In the banking market, we focus mainly on supplying printers for use in bank teller stations at banks and financial institutions primarily in the U.S., though we have recently de-emphasized our focus on this legacy market Opportunities in the banking market are project oriented and, as a result, our banking printer sales can fluctuate significantly year-to-year. During 2015, our banking printer sales decreased 16%. Our focus for 2016 will be to continue increasing market penetration with our line of food safety terminals as well as continue to support McDonald’s initiatives and accelerated rollouts with our Ithaca® 9000 printer. However, we have aligned our sales force mostly towards food safety.</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casino and gaming products decreased 4% in 2015 compared to 2014. In our casino and gaming market, our focus lies primarily in supplying printers for use in slot machines at casinos and racetracks, as well as in other electronic gaming devices that print tickets or receipts, worldwide. Additionally, we supplement these printer sales with revenue from EPICENTRAL™, our promotional printing system that enables casino operators to create promotional coupons and marketing messages and print them real time at the slot machine. Domestic printer sales increased 6% even with a weak replacement cycle for printers, as we believe we increased market share during 2015. International printer sales declined by 11% due to sluggishness in Europe, Australia and Asia. EPICENTRAL™ software sales decreased 28% due to one installation completed in 2015 compared to a larger, multi-property installation completed during 2014. We plan to make strategic investments to improve and enhance EPICENTRAL for Aristocrat and to add features requested by our customers during 2016 which we believe will lead to future revenue growth beginning in 2016.</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lottery market, we continue to hold a leading position based on our long-term relationship with IGT (formerly GTECH Corporation), our largest customer and the world’s largest provider of lottery terminals. IGT has been our customer since 1995, and we continue to maintain a good relationship with them. On May 29, 2015, we signed a non-exclusive agreement with IGT to provide thermal lottery printers to IGT for various lottery applications through December 31, 2019. Prior to this agreement, we had an exclusive purchase agreement whereby IGT exclusively purchased all of its requirements for thermal on-line lottery printers from us and we exclusively sold such printers to IGT. During 2015, total lottery printer sales to IGT increased approximately 99%, compared to 2014, due to a number of new installations domestically and internationally. Our sales to IGT each year are directly dependent on the timing and number of new and upgraded lottery terminal installations IGT performs and are not indicative of IGT’s overall business or revenue. While we no longer have an exclusive arrangement with IGT, we do not believe this will significantly impact our business as we continue to have a good relationship with IGT and we now have the ability to sell our market leading products to other lottery system customers. In fact, we recently launched our new EPIC 3000 lottery printer for the lottery market and we expect to see our first contributions from this product during 2016.</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of our Printrex branded printers include wide format, rack mounted and vehicle mounted thermal printers used by customers to log and plot oil field and down hole well drilling data in the oil and gas exploration industry. Sales in this market also includes wide format printers used to print test results in ophthalmology devices in the medical industry, as well as vehicle mounted printers used to print schematics and certain other critical information in emergency services vehicles and other mobile printing applications. During 2015, we experienced a 65% lower Printrex product sales due to the negative impact on drilling activity from our customers resulting from the steep decline in worldwide oil prices. Although we are uncertain when the oil and gas market will recover, we have taken prudent steps to align our cost structure with the current revenue level while we wait for the rebound to occur. In the mobile market, we recognized the first sales contributions of the Responder MP2™, our first printer for the large machine-to-machine (M2M) vertical market. The Responder MP2™ is an all-in-one mobile printing solution for a number of vehicles, including fire, police, EMS, insurance, public utilities and delivery. Although this is our first product entrant into this market, we remain optimistic that the Responder MP2™ will begin to add to our revenue stream in the years to come.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TSG group, which sells service, replacement parts and consumable products, including receipt paper, ribbons and inkjet cartridges, continues to offer a recurring revenue stream for the Company. TSG sales increased 13% in 2015 from 2014 primarily due to higher sales of replacement parts mainly to IGT for the lottery market. This increase was partially offset by a decrease in sales of Printrex consumables due to lower usage by our oil and gas customers due to depressed oil prices, as well as lower sales of HP inkjet cartridges used in our banking printers as we deemphasize our focus on this commoditized product.</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Operationally, our gross margin increased to a record high 41.9% in 2015 from 40.9% in 2014. Our gross margin in 2015 improved due to a more favorable sales mix compared to 2014 as we experienced higher sales of our higher margin value-added food safety terminals and TSG products. This truly demonstrates the positive impact the transition to our new products is having on our gross margin. We believe this trend will continue in 2016 as sales of our new products continue to grow and become a larger portion of our overall sales. In 2015 we achieved operating margin of 7.5% compared to a negative operating margin of 7.1% in 2014. The negative operating margin in 2014 resulted mainly from $5.5 million in legal and settlement expenses we incurred related to the AD Lawsuit that was settled in March 2015.</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reported net income of $3,092,000 and net income per diluted share of $0.39 for 2015, compared to a net loss of $2,421,000 and net loss per diluted share of $0.29 for 2014. In terms of cash flow for 2015, we experienced a very strong year, generating $5,600,000 of cash from operating activities. We also returned $3,500,000 to our shareholders in the form of $2,485,000 for cash dividends and $1,020,000 for treasury share while still finishing the year with cash and cash equivalents of $4,473,000 and no debt on our Consolidated Balance Sheet at December 31, 2015.</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Our typical contracts include the sale of printers and terminals, which are sometimes accompanied by separately-priced extended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1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Our software solution,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enables casino operators to create promotional coupons and marketing messages and to print them in real-time at the slot machine. Revenue arrangements for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include multiple deliverables and as a result such arrangements are accounted for in accordance with both ASC 605-25, “Multiple-Element Arrangements” and ASC 985-605, “Software.”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23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related to extended warranty and product maintenance contracts is recognized pursuant to ASC 605-20-25, “Separately Priced Extended Warranty and Product Maintenance Contracts.” Pursuant to this guidance, revenue related to separately priced product maintenance contracts is deferred and recognized over the term of the maintenance period. We record deferred revenue for advance payments received from customers for maintenance contracts.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 We have standardized credit granting and review policies and procedures for all customer accounts, including: credit reviews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2015 was approximately $50,000, or less than 1%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Our inventories are stated at the lower of cost (principally standard cost, which approximates actual cost on a first-in, first-out basis)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271"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We acquire businesses in purchase transactions that result in the recognition of goodwill and intangible assets.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$888,000 of unamortized definite-lived intangible assets at December 31, 2015. We have determined that no goodwill impairment has occurred based on our assessment as of December 31, 2015 when the impairment review is performed.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 preparing our Consolidated Financial Statements, we are required to estimate income taxes in each of the jurisdictions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 We generally warrant our products for up to 36 months and record the estimated cost of such product warranties at the time the sale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 We record an estimated liability related to contingencies based on our estimates of the probable outcomes pursuant to ASC 450,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 As of December 31, 2014 we had reduced the contingent liability to $0 in connection with a contingent consideration arrangement entered into as part of the Printrex acquisition. The reduction made in 2014 resulted from a decrease of $60,000 that was the result of our revised estimate of the expected payout in connection with this arrangement primarily due to changes in probabilities and decreases in revenue and gross margin estimates, and was credited to general and administrative expense during 2014. No contingent liability reserve was recorded in 2015 and we will not make any further reserves in the future in regards to the Printrex acquisition as the contingent consideration measurement period expired on December 31, 2014. See Note 3 to the Consolidated Financial Statements for further discussion.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 We calculate share-based compensation expense in accordance with ASC 718, “Compensation – Stock Compensation”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judgment. To the extent any of the assumptions were to change from year to year, the fair value of new option grants may vary significantly.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Year ended December 31, 2015 compared to year ended December 31, 2014</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years ended December 31, 2015 and 2014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safety, banking and POS</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13,029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Casino and gaming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21,755</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22,731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Lottery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4,761</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Printrex</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TSG</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53,108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13,946</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8700" w:type="dxa"/>
            <w:vAlign w:val="bottom"/>
            <w:gridSpan w:val="19"/>
          </w:tcPr>
          <w:p>
            <w:pPr>
              <w:ind w:left="540"/>
              <w:spacing w:after="0" w:line="197" w:lineRule="exact"/>
              <w:rPr>
                <w:sz w:val="20"/>
                <w:szCs w:val="20"/>
                <w:color w:val="auto"/>
              </w:rPr>
            </w:pPr>
            <w:r>
              <w:rPr>
                <w:rFonts w:ascii="Times New Roman" w:cs="Times New Roman" w:eastAsia="Times New Roman" w:hAnsi="Times New Roman"/>
                <w:sz w:val="18"/>
                <w:szCs w:val="18"/>
                <w:color w:val="auto"/>
              </w:rPr>
              <w:t>International sales do not include sales of printers made to domestic distributors or other customers who in turn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w w:val="99"/>
              </w:rPr>
              <w:t>ship those printers to international destinations.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83185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8"/>
          <w:szCs w:val="18"/>
          <w:color w:val="auto"/>
        </w:rPr>
        <w:t>Net sales for 2015 increased $6,568,000, or 12%, from 2014. Printer and terminal sales volume increased 22% to approximately 167,000 units primarily due to increases in the lottery and food safety, banking and POS markets, of 97% and 33%, respectively. The average selling price of our printers decreased approximately 7% from 2014 to 2015 due primarily to a large portion of our sales being generated from lower priced lottery printers. Overall, international sales decreased $595,000, or 4%, primarily driven by lower sales in the international casino and gaming, TSG and Printrex markets. The declines in the international market were partially offset by increases in both the food safety, banking and POS and lottery markets.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Food safety, banking and POS: </w:t>
      </w:r>
      <w:r>
        <w:rPr>
          <w:rFonts w:ascii="Times New Roman" w:cs="Times New Roman" w:eastAsia="Times New Roman" w:hAnsi="Times New Roman"/>
          <w:sz w:val="18"/>
          <w:szCs w:val="18"/>
          <w:color w:val="auto"/>
        </w:rPr>
        <w:t>Revenue from the food safety, banking and POS market includes sales of food safety terminals which are printing devices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an operating system, a touchscreen and one or two thermal print mechanisms, that print easy-to-read expiration and "enjoy by" date labels to help restaurants effectively manage food rotation and spoilage. Revenue from this market also includes sales of thermal, inkjet and impact printers used primarily by retailers in the restaurant (including fine dining, casual dining and fast food) and hospitality industries to print receipts for consumers, validate checks, or print on linerless labels or other inserted media. In addition, revenue includes sales of printers used by banks, credit unions and other financial institutions to print receipts and/or validate checks at bank teller stations. A summary of sales of our worldwide food safety, banking and POS products for the years ended December 31, 2015 and 2014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9,308</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3,721</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both domestic and international food safety, banking and POS product revenue from 2014 was primarily driven by a 92% increase in sales of our food safety terminals due largely to the resumption of shipments to our distributor who made a large initial stocking order in 2013 and did not make any purchases during the first nine months of 2014. Also, 2015 food safety sales benefited from shipments to a large national quick service chain store as well as first revenue contributions from our newly launched AccuDate™ Pro food safety terminal. We expect sales of our food safety terminals to continue to increase during 2016. In addition to increased food safety terminal sales, sales of our Ithaca®9000 printers increased 31% due to new initiatives by McDonald’s Corporation that started and accelerated in 2015. We expect sales to McDonalds for these initiatives to continue into 2016. These increases were partially offset by lower sales of our legacy banking printers and other POS printers. We expect sales of these legacy products to continue to decline during 2016 as we shift sales focus to our new products.</w:t>
      </w:r>
    </w:p>
    <w:p>
      <w:pPr>
        <w:spacing w:after="0" w:line="200" w:lineRule="exact"/>
        <w:rPr>
          <w:sz w:val="20"/>
          <w:szCs w:val="20"/>
          <w:color w:val="auto"/>
        </w:rPr>
      </w:pP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Casino and gaming: </w:t>
      </w:r>
      <w:r>
        <w:rPr>
          <w:rFonts w:ascii="Times New Roman" w:cs="Times New Roman" w:eastAsia="Times New Roman" w:hAnsi="Times New Roman"/>
          <w:sz w:val="18"/>
          <w:szCs w:val="18"/>
          <w:color w:val="auto"/>
        </w:rPr>
        <w:t>Revenue from the casino and gaming market includes sales of printers used in slot machines, video lottery terminals (“VLTs”),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print system that enables casino operators to create promotional coupons and marketing messages and to print them real-time at the slot machine. A summary of sales of our worldwide casino and gaming products for the years ended December 31, 2015 and 2014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11,354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10,437</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12,294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22,731</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2015, domestic printer sales increased 6% compared to 2014 which we believe is due to market share gains, as the replacement cycle for slot machines remains weak. Domestic EPICENTRAL™ software sales also increased 79% as we completed one installation during 2015 compared to no domestic installations completed in 2014.</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International sales declined in 2015 due to decreases in sales of our thermal casino printer and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software of 19% and 87%, respectively. EPICENTRAL™ software sales decreased as we had no new international installations in 2015 compared to one large multi-property installation for a customer in South America in 2014. We expect EPICENTRAL software sales to be higher in 2016 than in 2015 based on our backlog of signed contracts and pipeline of prospects. The decreases in sales of thermal casino printer and EPICENRAL™ were partially offset by a 22% increase in sales of our off-premises thermal gaming printers in 2015 compared to 2014 largely due to installations in sports betting machines in Spain. Sales of our off-premise gaming printers are largely project-oriented and therefore may fluctuate significantly from quarter to quarter and year to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Lottery: </w:t>
      </w:r>
      <w:r>
        <w:rPr>
          <w:rFonts w:ascii="Times New Roman" w:cs="Times New Roman" w:eastAsia="Times New Roman" w:hAnsi="Times New Roman"/>
          <w:sz w:val="18"/>
          <w:szCs w:val="18"/>
          <w:color w:val="auto"/>
        </w:rPr>
        <w:t>Revenue from the lottery market includes sales of thermal on-line and other lottery printers to IGT and its subsidiaries for various lottery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 summary of sales of our worldwide lottery printers for the years ended December 31, 2015 and 2014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Year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Change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1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2015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1,404</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9,468</w:t>
            </w:r>
          </w:p>
        </w:tc>
        <w:tc>
          <w:tcPr>
            <w:tcW w:w="4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4,761</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4,707</w:t>
            </w: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887" w:gutter="0" w:footer="0" w:header="0"/>
        </w:sectPr>
      </w:pPr>
    </w:p>
    <w:bookmarkStart w:id="20" w:name="page21"/>
    <w:bookmarkEnd w:id="20"/>
    <w:p>
      <w:pPr>
        <w:jc w:val="both"/>
        <w:spacing w:after="0" w:line="264"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IGT (formerly GTECH Corporation) performs, and as a result, may fluctuate significantly quarter-to-quarter and year-to-year and are not indicative of IGT’s overall business or revenue. International sales increased significantly due to a one-time sale to IGT of a custom lottery printer for the Spanish lottery.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Printrex: </w:t>
      </w:r>
      <w:r>
        <w:rPr>
          <w:rFonts w:ascii="Times New Roman" w:cs="Times New Roman" w:eastAsia="Times New Roman" w:hAnsi="Times New Roman"/>
          <w:sz w:val="18"/>
          <w:szCs w:val="18"/>
          <w:color w:val="auto"/>
        </w:rPr>
        <w:t>Printrex branded printers are sold into markets that include wide format, rack mounted and vehicle mounted black/white and color thermal printers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years ended December 31, 2015 and 2014 is as follows (in thousands, except percentages):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8"/>
                <w:szCs w:val="18"/>
                <w:color w:val="auto"/>
              </w:rPr>
            </w:pPr>
          </w:p>
        </w:tc>
        <w:tc>
          <w:tcPr>
            <w:tcW w:w="1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Year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4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color w:val="auto"/>
              </w:rPr>
              <w:t>December 31, 2015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(2,529)</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decrease in Printrex printers is primarily due to 67% lower worldwide sales of printers in the oil and gas market due to the continued negative impact from the decline in worldwide oil prices we expect to continue to negatively impact our sales during 2016. In addition, worldwide sales of our medical and mobile printers declined 59% due largely to the loss of a customer in the medical industry. Due to the low margin on this product, we do not believe the loss of this customer will have a material adverse impact to our 2016 operating results. This decrease was partially offset by the first contribution from our RESPONDER mobile printer in 2015.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TSG: </w:t>
      </w:r>
      <w:r>
        <w:rPr>
          <w:rFonts w:ascii="Times New Roman" w:cs="Times New Roman" w:eastAsia="Times New Roman" w:hAnsi="Times New Roman"/>
          <w:sz w:val="18"/>
          <w:szCs w:val="18"/>
          <w:color w:val="auto"/>
        </w:rPr>
        <w:t>Revenue from TSG includes sales of consumable products (inkjet cartridges, ribbons, receipt paper, color thermal paper and other printing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parts, maintenance and repair services, testing services, refurbished printers, and shipping and handling charges. A summary of sales in our worldwide TSG market for the years ended December 31, 2015 and 2014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1,286</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12,398</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domestic revenue from TSG is primarily due to a 58% increase in sales of replacement parts mainly to IGT who purchased unusually high volume of spare parts for the lottery market in 2015 that is not likely to repeat in 2016 and to a lesser extent a 22% increase in services revenue largely from project oriented paper testing services. These increases were partially offset by a 9% decline in non-Printrex consumables, largely from the decline of HP inkjet cartridges, as we continue to deemphasize this commoditized consumable product. As a result, we expect sales of HP inkjet cartridges to continue to decline in 2016. In addition, consumables revenue for our Printrex color printers declined by 32%, due to lower printing usage resulting from reduced drilling activity caused by the decline in worldwide oil prices.</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Internationally, TSG revenue decreased due primarily to lower sales of replacement parts and accessories in 2015 compared to 2014 due to a unusually high sales to IGT in 2014 to support international legacy lottery printers that did not reoccur in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21,711</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increased $3,267,000, or 15%, on a 12% increase in sales. Additionally, our gross margin increased by 100 basis points as we experienced a more favorable sales mix during 2015 compared to 2014. This increase in gross margin was achieved despite a large portion of our sales being generated from our lottery printers during 2015 which carry lower gross margin than our other products. The improved gross margin was attained primarily due to higher margin contributions from TSG products and food safety terminal sales. We expect our gross margin for 2016 to increase as we expect to benefit from increased sales of our newer, value-added products.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Engineering, design and product development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 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3,599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r>
      <w:tr>
        <w:trPr>
          <w:trHeight w:val="605"/>
        </w:trPr>
        <w:tc>
          <w:tcPr>
            <w:tcW w:w="2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27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645"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decreased $703,000 or 16%, due primarily to a 17% reduction of engineering compensation costs as a result of our 2014 cost reduction initiatives as well as lower pre-production expenses during 2015 compared to 2014 when we were in the process of launching three new products. We expect engineering, design and product development expenses in 2016 to be higher than 2015 due to increased strategic investment in our EPICENTRAL™ software development and continued expansion of our line of food safety terminals.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7,806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7,920</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$114,000, or 1%, primarily due to lower marketing expenses from cost savings initiatives as well as lower travel expenses in our Printrex markets as we consciously decided to reduce these expenses in response to the worldwide decline in the oil and gas markets. These decreases were partially offset by the planned investments we made during the second half of 2014 and early 2015 in new sales and marketing staff to focus on sales execution of our new products. We expect selling and marketing expenses to be slightly higher in 2016 compared to 2015 due to the full year impact from the investments we have made in our sales and marketing staff during 2015 to support the launch of a new food safety terminal and the growth of the food safety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7,367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$389,000, or 5%, due primarily to lower salary expenses related to the departure of our VP, Business Development during the fourth quarter of 2014, who was not replaced and severance costs related to the cost reduction initiatives that were incurred during the fourth quarter of 2014. These decreases were partially offset by higher incentive compensation expenses during 2015 compared to 2014. We expect general and administrative expenses in 2016 to be slightly higher than with 2015 due to increased health care costs.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Legal Fees and Settlement Expenses Associated with Lawsuit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fees and settlement expenses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 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1,738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disclosed in Note 10 to the Consolidated Financial Statements, in June 2012, AD filed a civil complaint against the Company, which we settled in March 2015. In connection with this lawsuit, we incurred legal fees and settlement expenses of $1,738,000 and $5,505,000 in 2015 and 2014, respectively. Due to the settlement of the AD lawsuit in March 2015, we do not expect to incur any further expenses in the future.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(Loss). </w:t>
      </w:r>
      <w:r>
        <w:rPr>
          <w:rFonts w:ascii="Times New Roman" w:cs="Times New Roman" w:eastAsia="Times New Roman" w:hAnsi="Times New Roman"/>
          <w:sz w:val="18"/>
          <w:szCs w:val="18"/>
          <w:color w:val="auto"/>
        </w:rPr>
        <w:t>Operating income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 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color w:val="auto"/>
                <w:w w:val="97"/>
              </w:rPr>
              <w:t>Total Sales –</w:t>
            </w: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9"/>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4,468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218.5%</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increase in our operating income and operating margin was primarily due to lower legal fees and settlement expenses incurred in 2015 compared to 2014 as well as a 12% increase in sales during 2015. Excluding the AD legal fees, our operating income would have been $6,206,000, or 10.4% of net sales in 2015 compared to $1,733,000, or 3.3% of net sales in 2014.</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$28,000 in 2015 compared to $49,000 in 2014. The decrease in net interest expense is due to the lower unused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line fee we are charged when we renewed the TD Bank Credit Facility on November 26, 2014. As of the renewal we are charged a fee of 0.15% on unused borrowings compared to 0.25% under the prior credit facility. “Liquidity and Capital Resources” below for more information.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051" w:gutter="0" w:footer="0" w:header="0"/>
        </w:sectPr>
      </w:pPr>
    </w:p>
    <w:bookmarkStart w:id="22" w:name="page23"/>
    <w:bookmarkEnd w:id="22"/>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other income of $2,000 in 2015 compared to other expense of $33,000 in 2014. The change was primarily due to a $27,000 loss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disposal of equipment during 2014 in addition to lower foreign currency exchange losses recorded by our U.K. subsidiary in 2015 compared to 2014.</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an income tax provision for 2015 of $1,350,000 at an effective tax rate of 30.4% compared to an income tax benefit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$1,433,000 at an effective tax rate of 37.2% for 2014. The effective tax rate for 2014 is higher than our 2015 due to the impact from the net loss reported for the year ending 2014. We expect our annual effective tax rate for 2016 to be approximately 32%.</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We reported net income during 2015 of $3,092,000, or $0.39, per diluted share, compared to net loss of $2,421,000, or $(0.29), per diluted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Year ended December 31, 2014 compared to year ended December 31, 2013</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years ended December 31, 2014 and 2013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safety, banking and POS</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11,296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Casino and gaming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22,731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27,300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Lottery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4,761</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Printrex</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TSG</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60,141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8700" w:type="dxa"/>
            <w:vAlign w:val="bottom"/>
            <w:gridSpan w:val="19"/>
          </w:tcPr>
          <w:p>
            <w:pPr>
              <w:ind w:left="540"/>
              <w:spacing w:after="0" w:line="197" w:lineRule="exact"/>
              <w:rPr>
                <w:sz w:val="20"/>
                <w:szCs w:val="20"/>
                <w:color w:val="auto"/>
              </w:rPr>
            </w:pPr>
            <w:r>
              <w:rPr>
                <w:rFonts w:ascii="Times New Roman" w:cs="Times New Roman" w:eastAsia="Times New Roman" w:hAnsi="Times New Roman"/>
                <w:sz w:val="18"/>
                <w:szCs w:val="18"/>
                <w:color w:val="auto"/>
              </w:rPr>
              <w:t>International sales do not include sales of printers made to domestic distributors or other customers who in turn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w w:val="99"/>
              </w:rPr>
              <w:t>ship those printers to international destinations.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Net sales for 2014 decreased $7,033,000, or 12%, from 2013. Printer and terminal sales volume decreased 10% to approximately 138,000 units primarily due to declines in the casino and gaming, and food safety, banking and POS markets, of 15% and 7%, respectively. The average selling price of our printers decreased approximately 3% from 2013 to 2014 due primarily to lower sales of our food safety terminals which have a significantly higher average selling price than most of our other printers. Overall, international sales increased $777,000, or 6%, primarily driven by higher sales in both the international casino and gaming and TSG markets.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Food safety, banking and POS: </w:t>
      </w:r>
      <w:r>
        <w:rPr>
          <w:rFonts w:ascii="Times New Roman" w:cs="Times New Roman" w:eastAsia="Times New Roman" w:hAnsi="Times New Roman"/>
          <w:sz w:val="18"/>
          <w:szCs w:val="18"/>
          <w:color w:val="auto"/>
        </w:rPr>
        <w:t>A summary of sales of our worldwide food safety, banking and POS products for the years ended December 31, 2014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11,296</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decrease in domestic food safety, banking and POS product revenue from 2013 was primarily driven by lower sales from our Ithaca® 9700 food safety terminal due to a large initial stocking order to a distributor that occurred in 2013 and did not repeat in 2014. This decrease was partially offset by higher sales of our Ithaca® 9000 printers to McDonald’s during 2014 compared to 2013, as they accelerated a rollout of these printers for a new initiative.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food safety, banking and POS printer sales for 2014 were relatively consistent with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Casino and gaming: </w:t>
      </w:r>
      <w:r>
        <w:rPr>
          <w:rFonts w:ascii="Times New Roman" w:cs="Times New Roman" w:eastAsia="Times New Roman" w:hAnsi="Times New Roman"/>
          <w:sz w:val="18"/>
          <w:szCs w:val="18"/>
          <w:color w:val="auto"/>
        </w:rPr>
        <w:t>A summary of sales of our worldwide casino and gaming products for the years ended December 31, 2014 and 2013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10,437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15,367</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27,300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decrease in both domestic hardware and software casino and gaming sales from 2013 resulted primarily from general weakness in the replacement cycle in the domestic casino market, as well as a large replacement of a certain OEM’s slot machines at a multi-property casino group in 2013 that did not repeat in 2014. Domestic sales of our thermal Epic 950 gaming printer decreased 27% in 2014 compared to 2013. In addition EPICENTRAL™ software sales fell 78% in 2014 compared to 2013 due to no new domestic installations occurring in 2014 compared to five installations in 2013.</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increase in international sales is due to an increase in sales of our thermal EPIC 950 printer and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software sales of 4% and 106%, respectively. The increase in EPICENTRAL™ software sales is due to one large multi-property installation for a customer in South America in 2014 compared to two smaller installations in 2013. These increases were partially offset by decreased sales of our off-premises thermal gaming printers of 13% in 2014 when compared to 2013.</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244"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 xml:space="preserve">Lottery: </w:t>
      </w:r>
      <w:r>
        <w:rPr>
          <w:rFonts w:ascii="Times New Roman" w:cs="Times New Roman" w:eastAsia="Times New Roman" w:hAnsi="Times New Roman"/>
          <w:sz w:val="18"/>
          <w:szCs w:val="18"/>
          <w:color w:val="auto"/>
        </w:rPr>
        <w:t>A summary of sales of our worldwide lottery printers for the years ended December 31, 2014 and 2013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4,417</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sales to IGT (formerly GTECH Corporation)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Printrex: </w:t>
      </w:r>
      <w:r>
        <w:rPr>
          <w:rFonts w:ascii="Times New Roman" w:cs="Times New Roman" w:eastAsia="Times New Roman" w:hAnsi="Times New Roman"/>
          <w:sz w:val="18"/>
          <w:szCs w:val="18"/>
          <w:color w:val="auto"/>
        </w:rPr>
        <w:t>A summary of sales of our worldwide Printrex printers for the years ended December 31, 2014 and 2013 is as follows (in thousands,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decrease in Printrex printers is primarily due to 9% lower worldwide sales of printers in the oil and gas market due to the negative impact of steeply declining worldwide oil prices. In addition, worldwide sales of our medical and mobile printers declined 11% due to lower sales to a medical printer customer that began to phase out the use of our printer during 2014.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TSG: </w:t>
      </w:r>
      <w:r>
        <w:rPr>
          <w:rFonts w:ascii="Times New Roman" w:cs="Times New Roman" w:eastAsia="Times New Roman" w:hAnsi="Times New Roman"/>
          <w:sz w:val="18"/>
          <w:szCs w:val="18"/>
          <w:color w:val="auto"/>
        </w:rPr>
        <w:t>A summary of sales in our worldwide TSG market for the years ended December 31, 2014 and 2013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6"/>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11,925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decrease in domestic revenue from TSG is primarily due to a 15% decrease in sales of non-Printrex consumables, largely from the decline of HP inkjet cartridges, as we continue to deemphasize this commoditized consumable product. In addition, service revenue declined by 29%, largely due to a 57% decline in paper testing service revenue as we performed fewer tests in 2014 than in 2013, as well as lower maintenance and repair revenue from fewer service contracts. These decreases were partially offset by a 10% increase in sales of replacement parts as well as a 78% increase of consumables for our new Printrex color printers. Internationally, TSG revenue increased due primarily to higher sales of replacement parts and accessories as compared to 2013.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25,092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Gross profit decreased $3,381,000, or 14%, on 12% lower sales volume and a slightly less favorable sales mix. Additionally, our gross margin declined by 80 basis points due to lower sales contributions from our value-added Ithaca® 9700 food safety terminals, casino printers and EPICENTRAL™ software.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Engineering, design and product development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 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4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Year ended</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3"/>
              </w:rPr>
              <w:t>4,302</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7255" cy="136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22"/>
          <w:szCs w:val="22"/>
          <w:color w:val="auto"/>
        </w:rPr>
        <w:t>%</w:t>
      </w:r>
    </w:p>
    <w:p>
      <w:pPr>
        <w:jc w:val="both"/>
        <w:spacing w:after="0" w:line="257" w:lineRule="auto"/>
        <w:rPr>
          <w:sz w:val="20"/>
          <w:szCs w:val="20"/>
          <w:color w:val="auto"/>
        </w:rPr>
      </w:pPr>
      <w:r>
        <w:rPr>
          <w:rFonts w:ascii="Times New Roman" w:cs="Times New Roman" w:eastAsia="Times New Roman" w:hAnsi="Times New Roman"/>
          <w:sz w:val="18"/>
          <w:szCs w:val="18"/>
          <w:color w:val="auto"/>
        </w:rPr>
        <w:t>Engineering, design and product development expenses increased $237,000, or 6%, due primarily to additional engineering staff and higher pre-production expenses related to new product development for the new products we launched in 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7,920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Selling and marketing expenses increased $574,000, or 8%, primarily due to the planned investment in new sales and marketing staff to support our new products, a full year of commissions to our new casino and gaming distributor added in late 2013, Suzo Happ, and increased marketing spend to support our newly launched products in 2014.</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7" w:right="239" w:bottom="0"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7,756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6,588</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$1,168,000, or 18%, due primarily to changes in the accrued contingent consideration liability to be paid in connection with the acquisition of Printrex. In 2014, we reduced the contingent consideration liability by $60,000 to zero, compared to a reduction of $900,000 in 2013. Excluding the changes we recorded to the contingent consideration liability, general and administrative expenses increased $328,000, or 4% in 2014 compared to 2013. This increase is primarily due to higher severance costs related to the cost reduction initiatives we initiated in the fourth quarter 2014.</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Legal Fees and Settlement Expenses Associated with Lawsuit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fees and settlement expenses information is summarized below (in thousands,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8"/>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5,505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1,056.5%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disclosed in Note 10 to the Consolidated Financial Statements, in June 2012, AD filed a civil complaint against the Company, which we settled in March 2015. In connection with this lawsuit, we incurred legal fees and settlement expenses of $5,505,000 and $476,000 in 2014 and 2013,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(Loss). </w:t>
      </w:r>
      <w:r>
        <w:rPr>
          <w:rFonts w:ascii="Times New Roman" w:cs="Times New Roman" w:eastAsia="Times New Roman" w:hAnsi="Times New Roman"/>
          <w:sz w:val="18"/>
          <w:szCs w:val="18"/>
          <w:color w:val="auto"/>
        </w:rPr>
        <w:t>Operating income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 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Percent of</w:t>
            </w:r>
          </w:p>
        </w:tc>
      </w:tr>
      <w:tr>
        <w:trPr>
          <w:trHeight w:val="197"/>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20"/>
              <w:spacing w:after="0" w:line="197" w:lineRule="exact"/>
              <w:rPr>
                <w:sz w:val="20"/>
                <w:szCs w:val="20"/>
                <w:color w:val="auto"/>
              </w:rPr>
            </w:pPr>
            <w:r>
              <w:rPr>
                <w:rFonts w:ascii="Times New Roman" w:cs="Times New Roman" w:eastAsia="Times New Roman" w:hAnsi="Times New Roman"/>
                <w:sz w:val="18"/>
                <w:szCs w:val="18"/>
                <w:color w:val="auto"/>
                <w:w w:val="97"/>
              </w:rPr>
              <w:t>Total Sales –</w:t>
            </w:r>
          </w:p>
        </w:tc>
        <w:tc>
          <w:tcPr>
            <w:tcW w:w="1200" w:type="dxa"/>
            <w:vAlign w:val="bottom"/>
            <w:gridSpan w:val="2"/>
          </w:tcPr>
          <w:p>
            <w:pPr>
              <w:jc w:val="center"/>
              <w:ind w:right="20"/>
              <w:spacing w:after="0" w:line="197" w:lineRule="exact"/>
              <w:rPr>
                <w:sz w:val="20"/>
                <w:szCs w:val="20"/>
                <w:color w:val="auto"/>
              </w:rPr>
            </w:pPr>
            <w:r>
              <w:rPr>
                <w:rFonts w:ascii="Times New Roman" w:cs="Times New Roman" w:eastAsia="Times New Roman" w:hAnsi="Times New Roman"/>
                <w:sz w:val="18"/>
                <w:szCs w:val="18"/>
                <w:color w:val="auto"/>
                <w:w w:val="99"/>
              </w:rPr>
              <w:t>Total Sales –</w:t>
            </w:r>
          </w:p>
        </w:tc>
      </w:tr>
      <w:tr>
        <w:trPr>
          <w:trHeight w:val="240"/>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6,617</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decrease in our operating income and operating margin was primarily due to higher legal fees and $3,625,000 of settlement expenses related to the lawsuit with AD that we settled in March 2015 as well as a 12% decline in sales. In addition, our operating margin for 2013 benefited by 150 basis points from the $900,000 reduction in the Printrex accrued contingent consideration liability.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$49,000 in 2014 compared to $23,000 in 2013. The increase in net interest expense is primarily due to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earned on a lower average cash balance during 2014, as we used a significant amount of our cash to repurchase our common stock and pay cash dividends during the latter half of 2013 and 2014. Interest expense related to the unused revolving credit line fee and amortization of deferred financing costs on our revolving credit facility with TD Bank remained consistent in 2014 and 2013. See “Liquidity and Capital Resources” below for more information.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other expense of $33,000 in 2014 compared to $63,000 in 2013. The change was primarily due to a $60,000 loss from the disposal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tooling equipment during 2013 somewhat offset by higher foreign currency transaction exchange losses recorded by our U.K. subsidiary in 2014 compared to 2013.</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an income tax benefit for 2014 of $1,433,000 at an effective tax rate of 37.2% compared to an income tax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$1,596,000 at an effective tax rate of 24.4% for 2013. Our effective tax rate for 2013 was unusually low because it included; (1) a $224,000 reduction in tax liabilities for unrecognized tax benefits resulting from the completion of an audit of our 2010 federal income tax return and (2) the benefit from both the 2012 and 2013 R&amp;D credit, as the credit for 2012 was not renewed until January 2, 2013.</w:t>
      </w:r>
    </w:p>
    <w:p>
      <w:pPr>
        <w:spacing w:after="0" w:line="20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We reported a net loss during 2014 of $2,421,000, or $(0.29), per diluted share, compared to net income of $4,935,000, or $0.57, per diluted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for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2015, our cash balance increased $1,342,000, or 43%, from December 31, 2014 and we returned a substantial portion of our cash flow to shareholders in the form of $2,485,000 of cash dividends paid to common shareholders and $1,020,000 of repurchases of our common stock. Even after funding these items and our capital expenditures, we still ended 2015 with $4,473,000 in cash and cash equivalents and no debt outstanding.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217"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following significant factors primarily affected our cash provided by operating activities of $5,547,000 in 2015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$6,053,000 in 2014. During 2015:</w:t>
      </w:r>
    </w:p>
    <w:p>
      <w:pPr>
        <w:spacing w:after="0" w:line="1" w:lineRule="exact"/>
        <w:rPr>
          <w:sz w:val="20"/>
          <w:szCs w:val="20"/>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net income of $3,092,000.</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$1,914,000.</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$1,916,000 due primarily to improved collections during the fourth quarter of 2015 compared to the fourth quarter of 2014.</w:t>
      </w:r>
    </w:p>
    <w:p>
      <w:pPr>
        <w:ind w:left="660" w:right="20" w:hanging="330"/>
        <w:spacing w:after="0" w:line="24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$509,000 due to the sell through of inventory on hand during 2015. During 2016, we expect our inventory to steadily decline beginning in the second quarter.</w:t>
      </w: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$277,000 due primarily to the timing of payments.</w:t>
      </w:r>
    </w:p>
    <w:p>
      <w:pPr>
        <w:spacing w:after="0" w:line="8" w:lineRule="exact"/>
        <w:rPr>
          <w:rFonts w:ascii="Times New Roman" w:cs="Times New Roman" w:eastAsia="Times New Roman" w:hAnsi="Times New Roman"/>
          <w:sz w:val="18"/>
          <w:szCs w:val="18"/>
          <w:color w:val="auto"/>
        </w:rPr>
      </w:pPr>
    </w:p>
    <w:p>
      <w:pPr>
        <w:ind w:left="660" w:hanging="330"/>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$3,487,000 due primarily to the payment of the AD lawsuit settlement in April 2015. See Note 10 – Commitments and Contingencies in the Notes to the Consolidated Financial Statements for further information on the lawsuit.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2014:</w:t>
      </w:r>
    </w:p>
    <w:p>
      <w:pPr>
        <w:spacing w:after="0" w:line="27" w:lineRule="exact"/>
        <w:rPr>
          <w:sz w:val="20"/>
          <w:szCs w:val="20"/>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net loss of $2,421,000.</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$1,951,000.</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$4,139,000 due primarily to lower sales volume during the fourth quarter of 2014 compared to the fourth quarter of 2013 in addition to improved collections.</w:t>
      </w:r>
    </w:p>
    <w:p>
      <w:pPr>
        <w:ind w:left="660" w:hanging="330"/>
        <w:spacing w:after="0" w:line="24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$1,703,000 due to the sell through of inventory on hand during 2014 compared to increasing stocking levels of our new food safety and Printrex products during 2013.</w:t>
      </w:r>
    </w:p>
    <w:p>
      <w:pPr>
        <w:ind w:left="660" w:hanging="330"/>
        <w:spacing w:after="0" w:line="24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$2,384,000 due primarily to lower inventory purchases made during the fourth quarter of 2014 compared to the fourth quarter of 2013, as well as the timing of payments.</w:t>
      </w:r>
    </w:p>
    <w:p>
      <w:pPr>
        <w:ind w:left="660" w:hanging="330"/>
        <w:spacing w:after="0" w:line="24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increased $1,022,000 due primarily to higher legal expenses related to the AD Lawsuit and higher accrued incentive compensation in 2014 compared to 2013.</w:t>
      </w:r>
    </w:p>
    <w:p>
      <w:pPr>
        <w:ind w:left="660" w:right="20" w:hanging="330"/>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accrued lawsuit settlement expenses of $3,625,000 related to the settlement with AD. See Note 10 – Commitments and Contingencies in the Notes to the Consolidated Financial Statements for further information on the settlement charges recorded.</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capital expenditures were $959,000 and $660,000 in 2015 and 2014, respectively. Expenditures in 2015 included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$396,000 of cost incurred for the purchase of a new phone system and other computer equipment, $296,000 for leasehold improvements primarily for improvements made to our Las Vegas facility, $153,000 for costs incurred for the purchase of new product tooling, and the remaining amount primarily for the purchase of furniture and fixtures and engineering equipment.</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Capital expenditures for 2016 are expected to be approximately $1,000,000, primarily for new product tooling, and tooling enhancements for our existing products, as well as for new computer software and equipment purchases.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We used $3,238,000 of cash from financing activities during 2015 to pay cash dividends of $2,485,000 to common shareholders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$1,020,000 of common stock for treasury, partially offset by proceeds and tax benefits from stock option exercises of $267,000. Additionally, during 2015, we borrowed $2,500,000 under the TD Bank Credit Facility to partially fund the $3,600,000 settlement payment related to the AD lawsuit which we fully repaid. During 2014, we used $5,178,000 of cash from financing activities during to purchase $2,634,000 of common stock for treasury, to pay cash dividends of $2,556,000 to common shareholders and $8,000 in financing costs associated with our amended TD Bank Credit Facility (as discussed below), partially offset by proceeds and tax benefits from stock option exercises of $20,000.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working capital increased approximately 3% to $18,983,000 at December 31, 2015 from $18,361,000 at December 31, 2014. Our current ratio of current assets to current liabilities increased from 2.9 at December 31, 2014 to 4.0 at December 31, 2015. The increase in both our working capital and current ratio was primarily due to the settlement accrual related to the AD lawsuit in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Sufficiency</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on hand and cash flows generated from operating activities will provide sufficient resources to meet our working capital needs, finance our capital expenditures, dividend payments and meet our liquidity requirements through at least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and Borrowings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total deferred financing costs relating to expenses incurred to complete the TD Bank Credit Facility was $8,000.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2014 related to the settlement of the AD lawsuit); and modified the definition of Operating Cash Flow to exclude unfinanced capital expenditures for the quarters ending December 31, 2014, March 31, 2015 and June 30, 2015.</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2015. The following table lists the financial covenants and the performance measurements at December 31, 2015:</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Financial Covenant</w:t>
            </w: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Requirement/Restriction</w:t>
            </w:r>
          </w:p>
        </w:tc>
        <w:tc>
          <w:tcPr>
            <w:tcW w:w="10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Calculation at December 31, 2015</w:t>
            </w:r>
          </w:p>
        </w:tc>
      </w:tr>
      <w:tr>
        <w:trPr>
          <w:trHeight w:val="215"/>
        </w:trPr>
        <w:tc>
          <w:tcPr>
            <w:tcW w:w="3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Operating cash flow / Total debt service</w:t>
            </w: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Minimum of 1.25 times</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118.8 times</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Funded debt / EBITDA</w:t>
            </w:r>
          </w:p>
        </w:tc>
        <w:tc>
          <w:tcPr>
            <w:tcW w:w="10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of 3.0 times</w:t>
            </w: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times</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undrawn commitments under the TD Bank Credit facility were $20,000,000.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Dividend Payments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$2,485,000 or $0.32 per share and $2,556,000 or $0.31 per share, in 2015 and 2014, respectively. On February 1, 2016, our Board of Directors approved the first quarter 2016 dividend in the amount of $0.08 per share payable on or about March 15, 2016 to common shareholders of record at the close of business on February 19, 2016. We expect to pay approximately $2,500,000 in cash dividends to our common shareholders during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its expiration on July 31, 2015, we maintained a stock repurchase program. Under this stock repurchase program, we were authorized to repurchase up to $7,500,000 of our outstanding shares of common stock from time to time in the open market, depending on market conditions, share price and other factors. We use the cost method to account for treasury stock purchases, under which the price paid for the stock is charged to the treasury stock account. Repurchases of our common stock are accounted for as of the settlement date. From January 1, 2015 through the expiration date of this stock repurchase program, we repurchased 166,553 shares of our common stock for approximately $1,020,000 at an average price of $6.12 per share. From the start of this stock repurchase program on August 11, 2014 through December 31, 2014, we repurchased 434,998 shares of common stock for approximately $2,634,000 at an average price of $6.06 per share. From January 1, 2005 through the expiration date of the stock repurchase program on July 31, 2015, we repurchased a total of 3,388,589 shares of common stock for approximately $26,181,000, at an average price of $7.73 per share.</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Under this new repurchase program, we are authorized to repurchase up to $5,000,000 of our outstanding shares of common stock from time to time in the open market through December 31, 2017 at prevailing market prices based on market conditions, share price and other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Shareholders’ equity increased $334,000 to $25,728,000 at December 31, 2015 from $25,394,000 at December 31, 2014. The increase was primarily due to net income of $3,092,000, share-based compensation expense related to stock options of $488,000, proceeds and the associated incremental tax benefits of approximately $267,000 from the issuance of 34,600 shares of common stock from stock option exercises and approximately $121,000 from the issuance of 13,988 shares of deferred stock units, net of relinquishments. These increases were partially offset by our payment of $2,485,000 in dividends and purchase of 166,553 shares of treasury stock for $1,020,000.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3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As of December 31, 2015, we had no off 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as of December 31, 2015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Payments due by period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&lt; 1 year</w:t>
            </w: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 years</w:t>
            </w: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&gt; 5 years</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6,898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Purchase obligations are for purchases made in the normal course of business to meet operational requirements, primarily of fully assembled printers and component part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2016. As such, we do not believe that inflation will have a significant impact on our business during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567"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2015 (principally the U.K. Pound Sterling) would not have a material impact on our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of the Company are annexed to this report as pages F-3 through F-18. An index to such materials appears on page F-1.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2015. Based upon that evaluation, our management, our Chief Executive Officer and Chief Financial Officer concluded that, as of December 31, 2015, our disclosure controls and procedures are effective.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2015. Management based its assessment on criteria established in Internal Control–Integrated Framework issued by the Committee of Sponsoring Organizations of the Treadway Commission (“2013 COSO”). Based on our assessment, management has concluded that our internal control over financial reporting was effective as of December 31, 2015.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 forth below is certain information regarding our executive officers. The remaining information in response to this item will be contained in our Proxy Statement for our 2016 Annual Meeting of Stockholders (the “Proxy Statement”), which will be filed within 120 days after the year covered by this Form 10-K and is incorporated herein by reference.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3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following list is included as an unnumbered item in Part III of this Report in lieu of being included in the Proxy Statement for the Annual Meeting of Stockholders to be held on May 12, 2016.</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00" w:type="dxa"/>
            <w:vAlign w:val="bottom"/>
          </w:tcPr>
          <w:p>
            <w:pPr>
              <w:spacing w:after="0"/>
              <w:rPr>
                <w:sz w:val="21"/>
                <w:szCs w:val="21"/>
                <w:color w:val="auto"/>
              </w:rPr>
            </w:pPr>
          </w:p>
        </w:tc>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Bart C. Shuldman</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tc>
      </w:tr>
      <w:tr>
        <w:trPr>
          <w:trHeight w:val="21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Newmark</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Sales and Marketing</w:t>
            </w:r>
          </w:p>
        </w:tc>
      </w:tr>
      <w:tr>
        <w:trPr>
          <w:trHeight w:val="21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Donald E. Brooks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President-Engineering</w:t>
            </w:r>
          </w:p>
        </w:tc>
      </w:tr>
      <w:tr>
        <w:trPr>
          <w:trHeight w:val="21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S. Chernay</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Casino, Gaming Sales and Lottery</w:t>
            </w:r>
          </w:p>
        </w:tc>
      </w:tr>
      <w:tr>
        <w:trPr>
          <w:trHeight w:val="21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Andrew J. Hoffman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w:t>
            </w:r>
          </w:p>
        </w:tc>
      </w:tr>
      <w:tr>
        <w:trPr>
          <w:trHeight w:val="215"/>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r>
    </w:tbl>
    <w:p>
      <w:pPr>
        <w:jc w:val="both"/>
        <w:spacing w:after="0" w:line="254"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ART</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2"/>
          <w:szCs w:val="12"/>
          <w:color w:val="auto"/>
        </w:rPr>
        <w:t>HULDMAN</w:t>
      </w:r>
      <w:r>
        <w:rPr>
          <w:rFonts w:ascii="Times New Roman" w:cs="Times New Roman" w:eastAsia="Times New Roman" w:hAnsi="Times New Roman"/>
          <w:sz w:val="18"/>
          <w:szCs w:val="18"/>
          <w:color w:val="auto"/>
        </w:rPr>
        <w:t xml:space="preserve">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ARTINO</w:t>
      </w:r>
      <w:r>
        <w:rPr>
          <w:rFonts w:ascii="Times New Roman" w:cs="Times New Roman" w:eastAsia="Times New Roman" w:hAnsi="Times New Roman"/>
          <w:sz w:val="18"/>
          <w:szCs w:val="18"/>
          <w:color w:val="auto"/>
        </w:rPr>
        <w:t xml:space="preserve">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NDREW</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EWMARK</w:t>
      </w:r>
      <w:r>
        <w:rPr>
          <w:rFonts w:ascii="Times New Roman" w:cs="Times New Roman" w:eastAsia="Times New Roman" w:hAnsi="Times New Roman"/>
          <w:sz w:val="18"/>
          <w:szCs w:val="18"/>
          <w:color w:val="auto"/>
        </w:rPr>
        <w:t xml:space="preserve"> joined TransAct on January 12, 2014 as Executive Vice President, Sales and Marketing with responsibility for the sales and marketing of all TransAct products. Prior to joining TransAct, Mr. Newmark was an investor and consultant with Newmark Capital Management from 2009 to 2015. From 2005 to 2009, Mr. Newmark was employed by Newell Rubbermaid as Vice President, Business Development and Strategy. Until 2005, Mr. Newmark held the role of Senior Vice President with DYMO after CoStar, a company he co-founded in 1989, was purchased by DYMO.</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ONALD</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2"/>
          <w:szCs w:val="12"/>
          <w:color w:val="auto"/>
        </w:rPr>
        <w:t>ROOKS</w:t>
      </w:r>
      <w:r>
        <w:rPr>
          <w:rFonts w:ascii="Times New Roman" w:cs="Times New Roman" w:eastAsia="Times New Roman" w:hAnsi="Times New Roman"/>
          <w:sz w:val="18"/>
          <w:szCs w:val="18"/>
          <w:color w:val="auto"/>
        </w:rPr>
        <w:t xml:space="preserve"> was appointed Senior Vice President of Engineering in April 2012. Previously, Mr. Brooks served as Vice President, Engineering from September 2004 to April 2012, Senior Project Engineer from February 1998 to September 2004,Project Engineer from June 1997 to February 1998, Director of Electrical Engineering from March 1986 to June 1997 and Manager of Electronic Development from December 1983 to March 1986.</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RACEY</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2"/>
          <w:szCs w:val="12"/>
          <w:color w:val="auto"/>
        </w:rPr>
        <w:t>HERNAY</w:t>
      </w:r>
      <w:r>
        <w:rPr>
          <w:rFonts w:ascii="Times New Roman" w:cs="Times New Roman" w:eastAsia="Times New Roman" w:hAnsi="Times New Roman"/>
          <w:sz w:val="18"/>
          <w:szCs w:val="18"/>
          <w:color w:val="auto"/>
        </w:rPr>
        <w:t xml:space="preserve">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NDREW</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2"/>
          <w:szCs w:val="12"/>
          <w:color w:val="auto"/>
        </w:rPr>
        <w:t>OFFMAN</w:t>
      </w:r>
      <w:r>
        <w:rPr>
          <w:rFonts w:ascii="Times New Roman" w:cs="Times New Roman" w:eastAsia="Times New Roman" w:hAnsi="Times New Roman"/>
          <w:sz w:val="18"/>
          <w:szCs w:val="18"/>
          <w:color w:val="auto"/>
        </w:rPr>
        <w:t xml:space="preserve"> was appointed Senior Vice President, Operations for TransAct worldwide in November 2004. He served as Vice President, Operations from September 1994 to November 2004.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and is incorporated herein by reference.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certain information regarding our equity compensation plans. The remaining information in response to this item will be contained in the Proxy Statement and is incorporated herein by reference.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equity compensation plans as of December 31, 2015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remaining available for</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 to be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future issuance under equity</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100" w:type="dxa"/>
            <w:vAlign w:val="bottom"/>
          </w:tcPr>
          <w:p>
            <w:pPr>
              <w:spacing w:after="0"/>
              <w:rPr>
                <w:sz w:val="18"/>
                <w:szCs w:val="18"/>
                <w:color w:val="auto"/>
              </w:rPr>
            </w:pPr>
          </w:p>
        </w:tc>
        <w:tc>
          <w:tcPr>
            <w:tcW w:w="2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Weighted-average exercise</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compensation plans</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00" w:type="dxa"/>
            <w:vAlign w:val="bottom"/>
          </w:tcPr>
          <w:p>
            <w:pPr>
              <w:spacing w:after="0"/>
              <w:rPr>
                <w:sz w:val="18"/>
                <w:szCs w:val="18"/>
                <w:color w:val="auto"/>
              </w:rPr>
            </w:pPr>
          </w:p>
        </w:tc>
        <w:tc>
          <w:tcPr>
            <w:tcW w:w="2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price of outstanding options,</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(excluding securities</w:t>
            </w:r>
          </w:p>
        </w:tc>
        <w:tc>
          <w:tcPr>
            <w:tcW w:w="0" w:type="dxa"/>
            <w:vAlign w:val="bottom"/>
          </w:tcPr>
          <w:p>
            <w:pPr>
              <w:spacing w:after="0"/>
              <w:rPr>
                <w:sz w:val="1"/>
                <w:szCs w:val="1"/>
                <w:color w:val="auto"/>
              </w:rPr>
            </w:pPr>
          </w:p>
        </w:tc>
      </w:tr>
      <w:tr>
        <w:trPr>
          <w:trHeight w:val="240"/>
        </w:trPr>
        <w:tc>
          <w:tcPr>
            <w:tcW w:w="46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Plan category</w:t>
            </w:r>
          </w:p>
        </w:tc>
        <w:tc>
          <w:tcPr>
            <w:tcW w:w="100" w:type="dxa"/>
            <w:vAlign w:val="bottom"/>
          </w:tcPr>
          <w:p>
            <w:pPr>
              <w:spacing w:after="0"/>
              <w:rPr>
                <w:sz w:val="20"/>
                <w:szCs w:val="20"/>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reflected in column (a)</w:t>
            </w:r>
          </w:p>
        </w:tc>
        <w:tc>
          <w:tcPr>
            <w:tcW w:w="0" w:type="dxa"/>
            <w:vAlign w:val="bottom"/>
          </w:tcPr>
          <w:p>
            <w:pPr>
              <w:spacing w:after="0"/>
              <w:rPr>
                <w:sz w:val="1"/>
                <w:szCs w:val="1"/>
                <w:color w:val="auto"/>
              </w:rPr>
            </w:pPr>
          </w:p>
        </w:tc>
      </w:tr>
      <w:tr>
        <w:trPr>
          <w:trHeight w:val="215"/>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2005 Equity Incentive Plan</w:t>
            </w:r>
          </w:p>
        </w:tc>
        <w:tc>
          <w:tcPr>
            <w:tcW w:w="2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707,151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2014 Equity Incentive Plan</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258,078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965,229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2014, our shareholders approved the adoption of the 2014 Equity Incentive Plan. The Company also maintains the 2005 Equity Incentive Plan which was approved by our shareholders, however no new awards will be available for future issuance under this Plan. The number of shares of common stock which may be subject to awards granted under the 2014 Equity Incentive Plan is 600,000.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section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a part of this report are listed in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00" w:lineRule="exact"/>
        <w:rPr>
          <w:sz w:val="20"/>
          <w:szCs w:val="20"/>
          <w:color w:val="auto"/>
        </w:rPr>
      </w:pPr>
    </w:p>
    <w:p>
      <w:pPr>
        <w:spacing w:after="0" w:line="238" w:lineRule="exact"/>
        <w:rPr>
          <w:sz w:val="20"/>
          <w:szCs w:val="20"/>
          <w:color w:val="auto"/>
        </w:rPr>
      </w:pPr>
    </w:p>
    <w:tbl>
      <w:tblPr>
        <w:tblLayout w:type="fixed"/>
        <w:tblInd w:w="4800" w:type="dxa"/>
        <w:tblCellMar>
          <w:top w:w="0" w:type="dxa"/>
          <w:left w:w="0" w:type="dxa"/>
          <w:bottom w:w="0" w:type="dxa"/>
          <w:right w:w="0" w:type="dxa"/>
        </w:tblCellMar>
      </w:tblPr>
      <w:tr>
        <w:trPr>
          <w:trHeight w:val="24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Bart C. Shuldman</w:t>
            </w:r>
          </w:p>
        </w:tc>
      </w:tr>
      <w:tr>
        <w:trPr>
          <w:trHeight w:val="193"/>
        </w:trPr>
        <w:tc>
          <w:tcPr>
            <w:tcW w:w="7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Name:</w:t>
            </w:r>
          </w:p>
        </w:tc>
        <w:tc>
          <w:tcPr>
            <w:tcW w:w="592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Bart C. Shuldman</w:t>
            </w:r>
          </w:p>
        </w:tc>
      </w:t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Chairman of the Board and Chief Executive Officer</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5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 w:type="dxa"/>
            <w:vAlign w:val="bottom"/>
          </w:tcPr>
          <w:p>
            <w:pPr>
              <w:spacing w:after="0"/>
              <w:rPr>
                <w:sz w:val="20"/>
                <w:szCs w:val="20"/>
                <w:color w:val="auto"/>
              </w:rPr>
            </w:pPr>
          </w:p>
        </w:tc>
        <w:tc>
          <w:tcPr>
            <w:tcW w:w="2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Signature</w:t>
            </w:r>
          </w:p>
        </w:tc>
        <w:tc>
          <w:tcPr>
            <w:tcW w:w="460" w:type="dxa"/>
            <w:vAlign w:val="bottom"/>
          </w:tcPr>
          <w:p>
            <w:pPr>
              <w:spacing w:after="0"/>
              <w:rPr>
                <w:sz w:val="20"/>
                <w:szCs w:val="20"/>
                <w:color w:val="auto"/>
              </w:rPr>
            </w:pPr>
          </w:p>
        </w:tc>
        <w:tc>
          <w:tcPr>
            <w:tcW w:w="3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652"/>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Bart C. Shuldman</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7"/>
        </w:trPr>
        <w:tc>
          <w:tcPr>
            <w:tcW w:w="460" w:type="dxa"/>
            <w:vAlign w:val="bottom"/>
          </w:tcPr>
          <w:p>
            <w:pPr>
              <w:spacing w:after="0"/>
              <w:rPr>
                <w:sz w:val="17"/>
                <w:szCs w:val="17"/>
                <w:color w:val="auto"/>
              </w:rPr>
            </w:pPr>
          </w:p>
        </w:tc>
        <w:tc>
          <w:tcPr>
            <w:tcW w:w="22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Bart C. Shuldman</w:t>
            </w:r>
          </w:p>
        </w:tc>
        <w:tc>
          <w:tcPr>
            <w:tcW w:w="460" w:type="dxa"/>
            <w:vAlign w:val="bottom"/>
          </w:tcPr>
          <w:p>
            <w:pPr>
              <w:spacing w:after="0"/>
              <w:rPr>
                <w:sz w:val="17"/>
                <w:szCs w:val="17"/>
                <w:color w:val="auto"/>
              </w:rPr>
            </w:pPr>
          </w:p>
        </w:tc>
        <w:tc>
          <w:tcPr>
            <w:tcW w:w="3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and Chief Executive Officer,</w:t>
            </w: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867"/>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7"/>
        </w:trPr>
        <w:tc>
          <w:tcPr>
            <w:tcW w:w="460" w:type="dxa"/>
            <w:vAlign w:val="bottom"/>
          </w:tcPr>
          <w:p>
            <w:pPr>
              <w:spacing w:after="0"/>
              <w:rPr>
                <w:sz w:val="17"/>
                <w:szCs w:val="17"/>
                <w:color w:val="auto"/>
              </w:rPr>
            </w:pPr>
          </w:p>
        </w:tc>
        <w:tc>
          <w:tcPr>
            <w:tcW w:w="22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Steven A. DeMartino</w:t>
            </w:r>
          </w:p>
        </w:tc>
        <w:tc>
          <w:tcPr>
            <w:tcW w:w="460" w:type="dxa"/>
            <w:vAlign w:val="bottom"/>
          </w:tcPr>
          <w:p>
            <w:pPr>
              <w:spacing w:after="0"/>
              <w:rPr>
                <w:sz w:val="17"/>
                <w:szCs w:val="17"/>
                <w:color w:val="auto"/>
              </w:rPr>
            </w:pPr>
          </w:p>
        </w:tc>
        <w:tc>
          <w:tcPr>
            <w:tcW w:w="3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Treasurer and Secretary</w:t>
            </w: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867"/>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Dillon</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238"/>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M. Dillon</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30"/>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Schwarz</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238"/>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R. Schwarz</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845"/>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Graham Y. Tanaka</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238"/>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Graham Y. Tanaka</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583"/>
        </w:trPr>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3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17"/>
        </w:trPr>
        <w:tc>
          <w:tcPr>
            <w:tcW w:w="4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32" w:name="page33"/>
    <w:bookmarkEnd w:id="3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20"/>
                <w:szCs w:val="20"/>
                <w:color w:val="auto"/>
              </w:rPr>
            </w:pPr>
          </w:p>
        </w:tc>
      </w:tr>
      <w:tr>
        <w:trPr>
          <w:trHeight w:val="175"/>
        </w:trPr>
        <w:tc>
          <w:tcPr>
            <w:tcW w:w="340" w:type="dxa"/>
            <w:vAlign w:val="bottom"/>
          </w:tcPr>
          <w:p>
            <w:pPr>
              <w:spacing w:after="0"/>
              <w:rPr>
                <w:sz w:val="15"/>
                <w:szCs w:val="15"/>
                <w:color w:val="auto"/>
              </w:rPr>
            </w:pPr>
          </w:p>
        </w:tc>
        <w:tc>
          <w:tcPr>
            <w:tcW w:w="9880" w:type="dxa"/>
            <w:vAlign w:val="bottom"/>
            <w:gridSpan w:val="8"/>
          </w:tcPr>
          <w:p>
            <w:pPr>
              <w:spacing w:after="0" w:line="175"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560" w:type="dxa"/>
            <w:vAlign w:val="bottom"/>
          </w:tcPr>
          <w:p>
            <w:pPr>
              <w:ind w:left="320"/>
              <w:spacing w:after="0" w:line="175" w:lineRule="exact"/>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46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Consolidated Balance Sheets as of December 31, 2015 and 2014</w:t>
              </w:r>
            </w:hyperlink>
          </w:p>
        </w:tc>
        <w:tc>
          <w:tcPr>
            <w:tcW w:w="5260" w:type="dxa"/>
            <w:vAlign w:val="bottom"/>
            <w:gridSpan w:val="5"/>
          </w:tcPr>
          <w:p>
            <w:pPr>
              <w:spacing w:after="0"/>
              <w:rPr>
                <w:sz w:val="16"/>
                <w:szCs w:val="16"/>
                <w:color w:val="auto"/>
              </w:rPr>
            </w:pP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F-3</w:t>
            </w:r>
          </w:p>
        </w:tc>
      </w:tr>
      <w:tr>
        <w:trPr>
          <w:trHeight w:val="195"/>
        </w:trPr>
        <w:tc>
          <w:tcPr>
            <w:tcW w:w="340" w:type="dxa"/>
            <w:vAlign w:val="bottom"/>
          </w:tcPr>
          <w:p>
            <w:pPr>
              <w:spacing w:after="0"/>
              <w:rPr>
                <w:sz w:val="16"/>
                <w:szCs w:val="16"/>
                <w:color w:val="auto"/>
              </w:rPr>
            </w:pPr>
          </w:p>
        </w:tc>
        <w:tc>
          <w:tcPr>
            <w:tcW w:w="682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Consolidated Statements of Operations for the years ended December 31, 2015,2014, and 2013</w:t>
              </w:r>
            </w:hyperlink>
          </w:p>
        </w:tc>
        <w:tc>
          <w:tcPr>
            <w:tcW w:w="3060" w:type="dxa"/>
            <w:vAlign w:val="bottom"/>
            <w:gridSpan w:val="3"/>
          </w:tcPr>
          <w:p>
            <w:pPr>
              <w:spacing w:after="0"/>
              <w:rPr>
                <w:sz w:val="16"/>
                <w:szCs w:val="16"/>
                <w:color w:val="auto"/>
              </w:rPr>
            </w:pP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F-4</w:t>
            </w:r>
          </w:p>
        </w:tc>
      </w:tr>
      <w:tr>
        <w:trPr>
          <w:trHeight w:val="195"/>
        </w:trPr>
        <w:tc>
          <w:tcPr>
            <w:tcW w:w="340" w:type="dxa"/>
            <w:vAlign w:val="bottom"/>
          </w:tcPr>
          <w:p>
            <w:pPr>
              <w:spacing w:after="0"/>
              <w:rPr>
                <w:sz w:val="16"/>
                <w:szCs w:val="16"/>
                <w:color w:val="auto"/>
              </w:rPr>
            </w:pPr>
          </w:p>
        </w:tc>
        <w:tc>
          <w:tcPr>
            <w:tcW w:w="9880" w:type="dxa"/>
            <w:vAlign w:val="bottom"/>
            <w:gridSpan w:val="8"/>
          </w:tcPr>
          <w:p>
            <w:pPr>
              <w:spacing w:after="0" w:line="195"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Comprehensive Income (Loss) for the years ended December 31, 2015, 2014 and 20</w:t>
              </w:r>
            </w:hyperlink>
            <w:r>
              <w:rPr>
                <w:rFonts w:ascii="Times New Roman" w:cs="Times New Roman" w:eastAsia="Times New Roman" w:hAnsi="Times New Roman"/>
                <w:sz w:val="18"/>
                <w:szCs w:val="18"/>
                <w:color w:val="000000"/>
              </w:rPr>
              <w:t>13</w:t>
            </w: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880" w:type="dxa"/>
            <w:vAlign w:val="bottom"/>
            <w:gridSpan w:val="8"/>
          </w:tcPr>
          <w:p>
            <w:pPr>
              <w:spacing w:after="0" w:line="195"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Changes in Shareholders' Equity for the years ended December 31, 2015, 2014 and 20</w:t>
              </w:r>
            </w:hyperlink>
            <w:r>
              <w:rPr>
                <w:rFonts w:ascii="Times New Roman" w:cs="Times New Roman" w:eastAsia="Times New Roman" w:hAnsi="Times New Roman"/>
                <w:sz w:val="18"/>
                <w:szCs w:val="18"/>
                <w:color w:val="000000"/>
              </w:rPr>
              <w:t>13</w:t>
            </w: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F-6</w:t>
            </w:r>
          </w:p>
        </w:tc>
      </w:tr>
      <w:tr>
        <w:trPr>
          <w:trHeight w:val="195"/>
        </w:trPr>
        <w:tc>
          <w:tcPr>
            <w:tcW w:w="340" w:type="dxa"/>
            <w:vAlign w:val="bottom"/>
          </w:tcPr>
          <w:p>
            <w:pPr>
              <w:spacing w:after="0"/>
              <w:rPr>
                <w:sz w:val="16"/>
                <w:szCs w:val="16"/>
                <w:color w:val="auto"/>
              </w:rPr>
            </w:pPr>
          </w:p>
        </w:tc>
        <w:tc>
          <w:tcPr>
            <w:tcW w:w="8180" w:type="dxa"/>
            <w:vAlign w:val="bottom"/>
            <w:tcBorders>
              <w:top w:val="single" w:sz="8" w:color="0000EE"/>
            </w:tcBorders>
            <w:gridSpan w:val="7"/>
          </w:tcPr>
          <w:p>
            <w:pPr>
              <w:spacing w:after="0" w:line="195"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Cash Flows for the years ended December 31, 2015, 2014 and 20</w:t>
              </w:r>
            </w:hyperlink>
            <w:r>
              <w:rPr>
                <w:rFonts w:ascii="Times New Roman" w:cs="Times New Roman" w:eastAsia="Times New Roman" w:hAnsi="Times New Roman"/>
                <w:sz w:val="18"/>
                <w:szCs w:val="18"/>
                <w:color w:val="000000"/>
              </w:rPr>
              <w:t>13</w:t>
            </w:r>
          </w:p>
        </w:tc>
        <w:tc>
          <w:tcPr>
            <w:tcW w:w="1700" w:type="dxa"/>
            <w:vAlign w:val="bottom"/>
          </w:tcPr>
          <w:p>
            <w:pPr>
              <w:spacing w:after="0"/>
              <w:rPr>
                <w:sz w:val="16"/>
                <w:szCs w:val="16"/>
                <w:color w:val="auto"/>
              </w:rPr>
            </w:pP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F-7</w:t>
            </w:r>
          </w:p>
        </w:tc>
      </w:tr>
      <w:tr>
        <w:trPr>
          <w:trHeight w:val="195"/>
        </w:trPr>
        <w:tc>
          <w:tcPr>
            <w:tcW w:w="340" w:type="dxa"/>
            <w:vAlign w:val="bottom"/>
          </w:tcPr>
          <w:p>
            <w:pPr>
              <w:spacing w:after="0"/>
              <w:rPr>
                <w:sz w:val="16"/>
                <w:szCs w:val="16"/>
                <w:color w:val="auto"/>
              </w:rPr>
            </w:pPr>
          </w:p>
        </w:tc>
        <w:tc>
          <w:tcPr>
            <w:tcW w:w="6680" w:type="dxa"/>
            <w:vAlign w:val="bottom"/>
            <w:tcBorders>
              <w:top w:val="single" w:sz="8" w:color="0000EE"/>
            </w:tcBorders>
            <w:gridSpan w:val="4"/>
          </w:tcPr>
          <w:p>
            <w:pPr>
              <w:spacing w:after="0" w:line="195"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Notes to Consolidated Financial Statements</w:t>
              </w:r>
            </w:hyperlink>
          </w:p>
        </w:tc>
        <w:tc>
          <w:tcPr>
            <w:tcW w:w="3200" w:type="dxa"/>
            <w:vAlign w:val="bottom"/>
            <w:gridSpan w:val="4"/>
          </w:tcPr>
          <w:p>
            <w:pPr>
              <w:spacing w:after="0"/>
              <w:rPr>
                <w:sz w:val="16"/>
                <w:szCs w:val="16"/>
                <w:color w:val="auto"/>
              </w:rPr>
            </w:pPr>
          </w:p>
        </w:tc>
        <w:tc>
          <w:tcPr>
            <w:tcW w:w="5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80"/>
          </w:cols>
          <w:pgMar w:left="240" w:top="749" w:right="879" w:bottom="1440" w:gutter="0" w:footer="0" w:header="0"/>
        </w:sectPr>
      </w:pPr>
    </w:p>
    <w:bookmarkStart w:id="33" w:name="page34"/>
    <w:bookmarkEnd w:id="33"/>
    <w:p>
      <w:pPr>
        <w:ind w:left="3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TransAct Technologies Incorporated:</w:t>
      </w:r>
    </w:p>
    <w:p>
      <w:pPr>
        <w:spacing w:after="0" w:line="2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opinion, the consolidated financial statements listed in the accompanying index present fairly, in all material respects, the financial position of TransAct Technologies Incorporated and its subsidiaries at December 31, 2015 and December 31, 2014, and the results of their operations and their cash flows for each of the three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2016</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507"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0"/>
        </w:trPr>
        <w:tc>
          <w:tcPr>
            <w:tcW w:w="8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90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$2,779 and $2,326, respectively</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lawsuit settlement expenses (Note 10)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Preferred stock, $0.01 par value, 4,800,000 authorized, none issued and outstanding</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stock, Series A, $0.01 par value, 200,000 authorized, none issued and outstanding</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900" w:type="dxa"/>
            <w:vAlign w:val="bottom"/>
            <w:tcBorders>
              <w:right w:val="single" w:sz="8" w:color="CCEEFF"/>
            </w:tcBorders>
            <w:shd w:val="clear" w:color="auto" w:fill="CCEEFF"/>
          </w:tcPr>
          <w:p>
            <w:pPr>
              <w:ind w:left="660"/>
              <w:spacing w:after="0" w:line="197" w:lineRule="exact"/>
              <w:rPr>
                <w:sz w:val="20"/>
                <w:szCs w:val="20"/>
                <w:color w:val="auto"/>
              </w:rPr>
            </w:pPr>
            <w:r>
              <w:rPr>
                <w:rFonts w:ascii="Times New Roman" w:cs="Times New Roman" w:eastAsia="Times New Roman" w:hAnsi="Times New Roman"/>
                <w:sz w:val="18"/>
                <w:szCs w:val="18"/>
                <w:color w:val="auto"/>
              </w:rPr>
              <w:t>Common stock, $0.01 par value, 20,000,000 authorized at December 31, 2015 and 2014; 11,170,881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11,122,293 shares issued; 7,782,292 and 7,900,257 shares outstanding, at December 31, 2015 and 2014,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90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Treasury stock, 3,388,589 and 3,222,036 shares, at cost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(26,181)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25,728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59,676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31,397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Engineering, design and product development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Selling and marketing</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Legal fees and settlement expenses associated with lawsuit (Note 10)</w:t>
            </w: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per-share calculation:</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 per common 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6" w:name="page37"/>
    <w:bookmarkEnd w:id="36"/>
    <w:p>
      <w:pPr>
        <w:jc w:val="center"/>
        <w:ind w:left="260" w:right="2680"/>
        <w:spacing w:after="0" w:line="26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COMPREHENSIVE INCOME (LOSS)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7" w:name="page38"/>
    <w:bookmarkEnd w:id="37"/>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CHANGES IN SHAREHOLDERS’ EQUITY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Treasury</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Shares Amount</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8,720,200</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shares from exercise of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deferred 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common stock on deferred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units, net of relinquishments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 related to employee stock sales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(604,161)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and paid on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Reversal of deferred tax asset in connection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with stock options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Foreign currency translation adjustment,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8,319,316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shares from exercise of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deferred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common stock on deferred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units, net of relinquishments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benefit related to employee stock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declared and paid on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Reversal of deferred tax asset in connection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stock options 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Foreign currency translation adjustment, net of</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7,900,257</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shares from exercise of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deferred 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Issuance of common stock on deferred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units, net of relinquishments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Tx shortfall related to employee stock sales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and paid on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Reversal of deferred tax asset in connection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with stock options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Foreign currency translation adjustment,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7,782,292</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5"/>
        </w:trPr>
        <w:tc>
          <w:tcPr>
            <w:tcW w:w="7880" w:type="dxa"/>
            <w:vAlign w:val="bottom"/>
            <w:gridSpan w:val="3"/>
          </w:tcPr>
          <w:p>
            <w:pPr>
              <w:ind w:left="372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tcPr>
          <w:p>
            <w:pPr>
              <w:ind w:left="5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7"/>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Incremental tax benefits from stock options exercised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(Gain) loss on sale of fixed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Prepaid income taxes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Other current and long term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Accrued lawsuit settlement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Revolving credit line borrowings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Revolving credit line payments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Purchases of common stock for treasury</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 of dividends on common stock</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Incremental tax benefits from stock options exercised</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capital expenditure items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9" w:name="page40"/>
    <w:bookmarkEnd w:id="39"/>
    <w:p>
      <w:pPr>
        <w:ind w:left="380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 Technologies Incorporated (“TransAct” or the “Company”), which has its headquarters in Hamden, CT and its primary operating facility in Ithaca, NY, operates in one operating segment: market specific solutions, including printers, terminals, software and other products for transaction-based and other industries. These industries include casino, gaming, lottery, banking, point-of-sale, food safety, oil and gas and medical and mobile. Our printers and terminals are designed based on market-specific requirements and are sold under the AccuDate™ Ithaca®, RESPONDER®, Epic, EPICENTRAL® and Printrex®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and terminal service, supplies and spare parts in addition to revenue from our software solution, the EPICENTRAL® Print System (“EPICENTRAL®”), that enables casino operators to create promotional coupons and marketing messages and print them in real-time at the slot machine.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TransAct and its wholly-owned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require consolidation, after the elimination of intercompany accounts, transactions and unrealized profit.</w:t>
      </w:r>
    </w:p>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Consolidated Financial Statements were prepared using estimates and assumptions that affect the reported amounts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Segment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apply the provisions of the Financial Accounting Standards Board (“FASB”) Accounting Standards Codification (“ASC”)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Reporting.” We view our operations and manage our business as one segment: the design, development, assembly and marketing of transaction printers and terminals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consider all highly liquid investments with a maturity date of three months or less at date of purchase to be cash equivalents.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establish an allowance for doubtful accounts to ensure trade receivables are valued appropriately. We maintain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$50,000 as of December 31, 2015 and $100,000 as of December 31,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valuation account for accounts receivable: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64"/>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(principally standard cost, which approximates actual cost on a first-in, first-out basis) or market.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Fixed assets: </w:t>
      </w:r>
      <w:r>
        <w:rPr>
          <w:rFonts w:ascii="Times New Roman" w:cs="Times New Roman" w:eastAsia="Times New Roman" w:hAnsi="Times New Roman"/>
          <w:sz w:val="18"/>
          <w:szCs w:val="18"/>
          <w:color w:val="auto"/>
        </w:rPr>
        <w:t>Fixed assets are stated at cost. Depreciation is recorded using the straight-line method over the estimated useful lives. The estimated useful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$972,000, $925,000 and $1,216,000 in 2015, 2014, and 2013, respectively.</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Rent expense under non-cancelable operating leases with scheduled rent increases or free rent periods are accounted for on a straight-line basis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131"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acquire businesses in purchase transactions that result in the recognition of goodwill and intangible assets.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impairment has occurred based on our assessment as of December 31, 2015 when the impairment review is performed.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typical contracts include the sale of printers and terminals, which are sometimes accompanied by separately-priced extended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or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14"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8"/>
          <w:szCs w:val="18"/>
          <w:color w:val="auto"/>
        </w:rPr>
        <w:t>We have developed a software solution, EPICENTRAL™, that enables casino operators to create promotional coupons and marketing messages and to print them in real-time at the slot machine. Revenue arrangements for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include multiple deliverables and as a result such arrangements are accounted for in accordance with both ASC 605-25, “Multiple-Element Arrangements” and ASC 985-605, “Software.”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22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8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For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Financial instruments that potentially expose us to concentrations of credit risk are limited to cash and cash equivalents held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banks in excess of insured limits and accounts receivable.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customers representing 10% or more of total accounts receivable were as follows:</w:t>
      </w:r>
    </w:p>
    <w:p>
      <w:pPr>
        <w:spacing w:after="0" w:line="25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r>
      <w:tr>
        <w:trPr>
          <w:trHeight w:val="215"/>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IGT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5"/>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CMC Daymark</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5"/>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Panasonic</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5"/>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Suzo-Happ</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5"/>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Eurocoin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customers representing 10% or more of total net sales were as follows:</w:t>
      </w:r>
    </w:p>
    <w:p>
      <w:pPr>
        <w:spacing w:after="0" w:line="25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IGT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15"/>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Suzo-Happ</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Eurocoin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generally warrant our products for up to 36 months and record the estimated cost of such product warranties at the time the sale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Estimated warranty costs are based upon actual past experience of product repairs and the related estimated cost of labor and material to make the necessary repairs.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4"/>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$164,000 and $207,000 of the accrued product warranty liability were classified as current in Accrued liabilities at December 31, 2015 and 2014, respectively. The remaining $113,000 and $80,000 of the accrued product warranty liability is classified as long-term in Other liabilities.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Research and development expenses include expenses incurred in connection with specialized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design to introduce new products and to customize existing products, and are expensed as a component of operating expenses as incurred. We recorded $3,599,000, $4,302,000 and $4,065,000 of research and development expenses in 2015, 2014, and 2013, respectively.</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unamortized development costs for such software were $31,000 and $169,000 as of December 31, 2015 and 2014, respectively. The total amount charged to cost of sales for the amortization of capitalized software development costs was $138,000, $201,000 and $199,000 in 2015, 2014, and 2013, respectively. The weighted-average amortization period of unamortized capitalized software developments costs is less than one year.</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Advertising costs are expensed as incurred. Advertising expenses, which are included in selling and marketing expense on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for 2015, 2014, and 2013 totaled $858,000, $1,191,000 and $1,058,000, respectively. These expenses include items such as consulting and professional services, tradeshows, and print advertising.</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income tax amounts reflected in the accompanying Consolidated Financial Statements are accounted for under the liability method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12 for information regarding our accounting for income taxes.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position and results of operations of our foreign subsidiary in the United Kingdom are measured using local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Operations.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payments: </w:t>
      </w:r>
      <w:r>
        <w:rPr>
          <w:rFonts w:ascii="Times New Roman" w:cs="Times New Roman" w:eastAsia="Times New Roman" w:hAnsi="Times New Roman"/>
          <w:sz w:val="18"/>
          <w:szCs w:val="18"/>
          <w:color w:val="auto"/>
        </w:rPr>
        <w:t>At December 31, 2015, we had share-based employee compensation plans, which are described more fully in Note 11 -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 We have no awards with market or performance conditions.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and loss per share: </w:t>
      </w:r>
      <w:r>
        <w:rPr>
          <w:rFonts w:ascii="Times New Roman" w:cs="Times New Roman" w:eastAsia="Times New Roman" w:hAnsi="Times New Roman"/>
          <w:sz w:val="18"/>
          <w:szCs w:val="18"/>
          <w:color w:val="auto"/>
        </w:rPr>
        <w:t>We report net income or loss per share in accordance with ASC 260, “Earnings per Share (EPS).” Under this guidance,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13 - Earnings per share.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Contingent Consideration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a business acquisition on August 19, 2011, whereby we purchased substantially all of the assets of Printrex, Inc (“Printrex”), we entered into a contingent consideration arrangement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As of December 31, 2014, the undiscounted fair value related to the contingent liability was estimated to be zero and we did not make a contingent consideration payment. The fair value of the contingent consideration arrangement was $0 at both December 31, 2015 and 2014, which was estimated by applying the income approach. That measure is based on significant inputs that are not observable in the market, which fair value measurement guidance refers to as Level 3 inputs. The fair value of the contingent consideration was decreased by $0, $60,000 and $900,000, in 2015, 2014 and 2013, respectively, and this credit is included in general and administrative expenses on the Consolidated Statements of Operations. No payments were made under the arrangement during 2015 as the contingent consideration measurement period expired on December 31,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w:t>
            </w: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Fixed assets</w:t>
            </w: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fixed assets, net are:</w:t>
            </w: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45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in-process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56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456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F-11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6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128"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recorded in Intangible assets in the accompanying Consolidated Balance Sheets and are comprised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w w:val="97"/>
              </w:rPr>
              <w:t>Accumulated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w w:val="97"/>
              </w:rPr>
              <w:t>Accumulated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8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Gross 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Amortization</w:t>
            </w:r>
          </w:p>
        </w:tc>
        <w:tc>
          <w:tcPr>
            <w:tcW w:w="20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Gross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Amortization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2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(1,357)</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(2,779)</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Amortization expense was $454,000, $515,000 and $513,000 in 2015, 2014 and 2013, respectively. Amortization expense for each of the next five years ending December 31 is expected to be as follows: $333,000 in 2016; $245,000 in 2017; $102,000 in 2018; $99,000 in 2019; $78,000 in 2020 and $31,000 in 2021.</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accrued liabilities are:</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compensation related</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savings plan</w:t>
      </w:r>
    </w:p>
    <w:p>
      <w:pPr>
        <w:spacing w:after="0" w:line="25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$197,000, $282,000 and $265,000 in 2015, 2014, and 2013,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Borrowings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credit facility (the “TD Bank Credit Facility”) with TD Bank N.A. (“TD Bank) which provides for a $20,000,000 revolving credit line. On November 26, 2014, we signed an amendment to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total deferred financing costs relating to expenses incurred to complete the TD Bank Credit Facility was $8,000 which will be amortized over the three year term. The amendment increased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and modified the definition of Operating Cash Flow to exclude unfinanced capital expenditures for the quarters ending December 31, 2014, March 31, 2015 and June 30, 2015.</w:t>
      </w:r>
    </w:p>
    <w:p>
      <w:pPr>
        <w:spacing w:after="0" w:line="21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undrawn commitments under the TD Bank Credit facility were $20,000,000.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2015, we were the lessee on operating leases for equipment and real property. Rent expense was $932,000, $918,000 and $918,000 in 2015, 2014, and 2013, respectively. Minimum aggregate rental payments required under operating leases that have initial or remaining non-cancelable lease terms in excess of one year as of December 31, 2015 are as follows: $618,000 in 2016; $264,000 in 2017; $184,000 in 2018; $186,000 in 2019, $191,000 in 2020 and $365,000 thereafter.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Stock incentive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have two primary stock incentive plans: the 2005 Equity Incentive Plan and 2014 Equity Incentive Plan, which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awards to executives, key employees, directors and consultants. We previously maintained two other stock incentive plans, the 1996 Director’s Stock Plan and the 2001 Employee Stock Plan, both of which expired during 2014. The plans generally provide for awards in the form of: (i) incentive stock options, (ii) non-qualified stock options, (iii) restricted stock, (iv) restricted stock units, (v) stock appreciation rights or (vi) limited stock appreciation rights. Options granted under these plans have exercise prices equal to 100% of the fair market value of the common stock at the date of grant. Options granted have a ten-year term and generally vest over a three- to five-year period, unless automatically accelerated for certain defined events. As of May 2014, no new awards will be made under the 2005 Equity Incentive Plan. Under our 2014 Equity Incentive Plan, we may authorize awards for up to 600,000 shares of TransAct common stock. At December 31, 2015, 341,922 shares of common stock remained available for issuance under the 2014 Equity Incentive Plan.</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assumptions indicated below, the weighted-average fair value of stock option grants for 2015, 2014, and 2013 was $6.73, $11.11 and $7.94, respectively. The table below indicates the key assumptions used in the option valuation calculations for options granted in 2015, 2014, and 2013 and a discussion of our methodology for developing each of the assumptions used in the valuation model: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40" w:type="dxa"/>
            <w:vAlign w:val="bottom"/>
          </w:tcPr>
          <w:p>
            <w:pPr>
              <w:spacing w:after="0"/>
              <w:rPr>
                <w:sz w:val="20"/>
                <w:szCs w:val="20"/>
                <w:color w:val="auto"/>
              </w:rPr>
            </w:pPr>
          </w:p>
        </w:tc>
        <w:tc>
          <w:tcPr>
            <w:tcW w:w="300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54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6.8 years</w:t>
            </w:r>
          </w:p>
        </w:tc>
        <w:tc>
          <w:tcPr>
            <w:tcW w:w="1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6.6 years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20" w:type="dxa"/>
            <w:vAlign w:val="bottom"/>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bl>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Option Term </w:t>
      </w:r>
      <w:r>
        <w:rPr>
          <w:rFonts w:ascii="Times New Roman" w:cs="Times New Roman" w:eastAsia="Times New Roman" w:hAnsi="Times New Roman"/>
          <w:sz w:val="18"/>
          <w:szCs w:val="18"/>
          <w:color w:val="auto"/>
        </w:rPr>
        <w:t>- This is the weighted average period of time over which the options granted are expected to remain outstanding giving consideration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historical exercise patterns. Options granted have a maximum term of ten years and an increase in the expected term will increase compensation expense.</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stock volatility for each grant is measured using the weighted average of historical daily price changes of our common stock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period approximately equal to the expected option term of the grant. An increase in the expected volatility factor will increase compensation expense.</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This is the U.S. Treasury rate in effect at the time of grant having a term approximately equal to the expected term of the option.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the risk-free interest rate will increase compensation expense.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dividend yield is calculated by dividing the annual dividend declared per common share by the weighted average market value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date of grant. An increase in the dividend yield will decrease compensation expense.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674"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11. Stock incentive plans (continued)</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2015, 2014, and 2013, we recorded $488,000, $506,000, and $521,000 of share-based compensation expense, respectively, included primarily in general and administrative expense in our Consolidated Statements of Operations. We also recorded income tax benefits of $148,000, $377,000, and $127,000 in 2015, 2014, and 2013 respectively, related to such share-based compensation. At December 31, 2015, these benefits are recorded as a deferred tax asset in the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activity in the 2005 Equity Incentive Plan and 2014 Equity Incentive Plan is summarized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Remaining Contractual</w:t>
            </w:r>
          </w:p>
        </w:tc>
        <w:tc>
          <w:tcPr>
            <w:tcW w:w="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Intrinsic</w:t>
            </w:r>
          </w:p>
        </w:tc>
      </w:tr>
      <w:tr>
        <w:trPr>
          <w:trHeight w:val="240"/>
        </w:trPr>
        <w:tc>
          <w:tcPr>
            <w:tcW w:w="4520" w:type="dxa"/>
            <w:vAlign w:val="bottom"/>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Number of 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Term</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r>
      <w:tr>
        <w:trPr>
          <w:trHeight w:val="21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795,975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204,000</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(34,600)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(7,625)</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
        </w:trPr>
        <w:tc>
          <w:tcPr>
            <w:tcW w:w="452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4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Outstanding at December 31, 2015</w:t>
            </w:r>
          </w:p>
        </w:tc>
        <w:tc>
          <w:tcPr>
            <w:tcW w:w="1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915,375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8.08</w:t>
            </w:r>
          </w:p>
        </w:tc>
        <w:tc>
          <w:tcPr>
            <w:tcW w:w="1900" w:type="dxa"/>
            <w:vAlign w:val="bottom"/>
            <w:gridSpan w:val="2"/>
          </w:tcPr>
          <w:p>
            <w:pPr>
              <w:ind w:left="1200"/>
              <w:spacing w:after="0" w:line="195" w:lineRule="exact"/>
              <w:rPr>
                <w:sz w:val="20"/>
                <w:szCs w:val="20"/>
                <w:color w:val="auto"/>
              </w:rPr>
            </w:pPr>
            <w:r>
              <w:rPr>
                <w:rFonts w:ascii="Times New Roman" w:cs="Times New Roman" w:eastAsia="Times New Roman" w:hAnsi="Times New Roman"/>
                <w:sz w:val="18"/>
                <w:szCs w:val="18"/>
                <w:color w:val="auto"/>
              </w:rPr>
              <w:t>6.1 years</w:t>
            </w:r>
          </w:p>
        </w:tc>
        <w:tc>
          <w:tcPr>
            <w:tcW w:w="380" w:type="dxa"/>
            <w:vAlign w:val="bottom"/>
            <w:gridSpan w:val="2"/>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1,089,000</w:t>
            </w:r>
          </w:p>
        </w:tc>
        <w:tc>
          <w:tcPr>
            <w:tcW w:w="12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December 31, 2015</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19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4.2 years</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636,000</w:t>
            </w:r>
          </w:p>
        </w:tc>
      </w:tr>
      <w:tr>
        <w:trPr>
          <w:trHeight w:val="21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or expected to vest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9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6.0 years</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1,071,000</w:t>
            </w:r>
          </w:p>
        </w:tc>
        <w:tc>
          <w:tcPr>
            <w:tcW w:w="12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Shares that are issued upon exercise of employee stock options are newly issued shares and not issued from treasury stock. As of December 31, 2015, unrecognized compensation cost related to stock options is approximately $876,000, which is expected to be recognized over a weighted average period of 2.8 years.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intrinsic value of stock options exercised was $32,000, $20,000 and $910,000 and the total fair value of stock options vested was $944,000, $943,000, and $815,000 during 2015, 2014, and 2013, respectively. Cash received from option exercises was $263,000, $13,000 and $1,045,000 for 2015, 2014, and 2013, respectively. We recorded a realized tax benefit in 2015, 2014, and 2013 from equity-based awards of $4,000, $7,000 and $132,000, respectively, related to options exercised which has been included as a component of cash flows from financing activities in the Consolidated Statements of Cash Flows.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00" w:lineRule="exact"/>
        <w:rPr>
          <w:sz w:val="20"/>
          <w:szCs w:val="20"/>
          <w:color w:val="auto"/>
        </w:rPr>
      </w:pPr>
    </w:p>
    <w:p>
      <w:pPr>
        <w:spacing w:after="0" w:line="2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paid a portion of the 2014, 2013 and 2012 incentive bonus for the chief executive officer and chief financial officer in the form of 23,578, 8,663 and 17,613 deferred stock units, respectively, with a corresponding credit recorded to Additional Paid in Capital (net of share relinquishments) in the amounts of $121,000, $56,000 and $111,000 in 2015, 2014, and 2013, respectively. Such deferred stock units were granted in February 2015, March 2014, and March 2013, respectively, and were fully vested at the time of grant. These units will be converted three years from the grant date to shares of the Company’s common stock on a one-for-one basis. The weighted average exercise price of the deferred stock units was $8.00.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4"/>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Pr>
          <w:p>
            <w:pPr>
              <w:spacing w:after="0"/>
              <w:rPr>
                <w:sz w:val="18"/>
                <w:szCs w:val="18"/>
                <w:color w:val="auto"/>
              </w:rPr>
            </w:pPr>
          </w:p>
        </w:tc>
      </w:tr>
      <w:tr>
        <w:trPr>
          <w:trHeight w:val="215"/>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22"/>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22"/>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2"/>
        </w:trPr>
        <w:tc>
          <w:tcPr>
            <w:tcW w:w="7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effective tax rates were 30.4%, 37.2%, and 24.4% for 2015, 2014, and 2013, respectively. The effective tax rate for 2014 was unusually high due to the impact from the net loss reported for the year ending 2014. Our effective tax rate for 2013 was unusually low because it included: 1) a $224,000 reduction in tax liabilities for unrecognized tax benefits resulting from the completion of an audit of our 2010 federal income tax return and 2) the benefit from the 2012 federal research and development credit (“R&amp;D credit”) of $220,000 as this credit was not renewed until January 2, 2013 as a component of the American Taxpayer Relief Act of 2012.</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December 31, 2015, we have no federal or state net operating loss carryforwards and no R&amp;D credit carryforwards. We have approximately $36,000 in state tax credit carryforwards that begin to expire in 2020. Foreign loss before taxes was $174,000, $56,000, and $29,000 in 2015, 2014, and 2013,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56" w:right="2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12. Income taxes (continued)</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December 31,</w:t>
            </w:r>
          </w:p>
        </w:tc>
      </w:tr>
      <w:tr>
        <w:trPr>
          <w:trHeight w:val="222"/>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r>
      <w:tr>
        <w:trPr>
          <w:trHeight w:val="21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2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r>
      <w:tr>
        <w:trPr>
          <w:trHeight w:val="215"/>
        </w:trPr>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Accrued lawsuit settlement expenses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8"/>
                <w:szCs w:val="18"/>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Inventory reserves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18"/>
                <w:szCs w:val="18"/>
                <w:color w:val="auto"/>
              </w:rPr>
            </w:pPr>
          </w:p>
        </w:tc>
      </w:tr>
      <w:tr>
        <w:trPr>
          <w:trHeight w:val="215"/>
        </w:trPr>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Deferred revenue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Warranty reserve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5"/>
        </w:trPr>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8"/>
                <w:szCs w:val="18"/>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8"/>
                <w:szCs w:val="18"/>
                <w:color w:val="auto"/>
              </w:rPr>
            </w:pPr>
          </w:p>
        </w:tc>
      </w:tr>
      <w:tr>
        <w:trPr>
          <w:trHeight w:val="215"/>
        </w:trPr>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Foreign tax and other credits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r>
      <w:tr>
        <w:trPr>
          <w:trHeight w:val="222"/>
        </w:trPr>
        <w:tc>
          <w:tcPr>
            <w:tcW w:w="64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 liabilities and reserves</w:t>
            </w: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r>
      <w:tr>
        <w:trPr>
          <w:trHeight w:val="215"/>
        </w:trPr>
        <w:tc>
          <w:tcPr>
            <w:tcW w:w="64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0" w:type="dxa"/>
            <w:vAlign w:val="bottom"/>
          </w:tcPr>
          <w:p>
            <w:pPr>
              <w:spacing w:after="0"/>
              <w:rPr>
                <w:sz w:val="18"/>
                <w:szCs w:val="18"/>
                <w:color w:val="auto"/>
              </w:rPr>
            </w:pPr>
          </w:p>
        </w:tc>
      </w:tr>
      <w:tr>
        <w:trPr>
          <w:trHeight w:val="222"/>
        </w:trPr>
        <w:tc>
          <w:tcPr>
            <w:tcW w:w="64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Valuation allowance</w:t>
            </w: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9"/>
                <w:szCs w:val="19"/>
                <w:color w:val="auto"/>
              </w:rPr>
            </w:pPr>
          </w:p>
        </w:tc>
      </w:tr>
      <w:tr>
        <w:trPr>
          <w:trHeight w:val="222"/>
        </w:trPr>
        <w:tc>
          <w:tcPr>
            <w:tcW w:w="6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Pr>
          <w:p>
            <w:pPr>
              <w:spacing w:after="0"/>
              <w:rPr>
                <w:sz w:val="19"/>
                <w:szCs w:val="19"/>
                <w:color w:val="auto"/>
              </w:rPr>
            </w:pPr>
          </w:p>
        </w:tc>
      </w:tr>
      <w:tr>
        <w:trPr>
          <w:trHeight w:val="215"/>
        </w:trPr>
        <w:tc>
          <w:tcPr>
            <w:tcW w:w="6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Depreciation</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r>
      <w:tr>
        <w:trPr>
          <w:trHeight w:val="222"/>
        </w:trPr>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r>
      <w:tr>
        <w:trPr>
          <w:trHeight w:val="222"/>
        </w:trPr>
        <w:tc>
          <w:tcPr>
            <w:tcW w:w="6440" w:type="dxa"/>
            <w:vAlign w:val="bottom"/>
            <w:tcBorders>
              <w:bottom w:val="single" w:sz="8" w:color="CCEEFF"/>
            </w:tcBorders>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r>
      <w:tr>
        <w:trPr>
          <w:trHeight w:val="21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As of December 31, 2015 a valuation allowance of $340,000 has been established for foreign net operating loss carryforwards that are not expected to be used. The following table summarizes the activity recorded in the valuation allowance on the deferred tax 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provision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credited to income tax provision</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Differences between the U.S. statutory federal income tax rate and our effective income tax rate are analyzed below:</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and tax accruals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permanent items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R&amp;D credit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2015 and 2014, we had $114,000 and $124,000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January 1</w:t>
            </w:r>
          </w:p>
        </w:tc>
        <w:tc>
          <w:tcPr>
            <w:tcW w:w="4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taken during the current period</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as of December 31</w:t>
            </w:r>
          </w:p>
        </w:tc>
        <w:tc>
          <w:tcPr>
            <w:tcW w:w="44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4420" w:type="dxa"/>
            <w:vAlign w:val="bottom"/>
          </w:tcPr>
          <w:p>
            <w:pPr>
              <w:spacing w:after="0"/>
              <w:rPr>
                <w:sz w:val="24"/>
                <w:szCs w:val="24"/>
                <w:color w:val="auto"/>
              </w:rPr>
            </w:pPr>
          </w:p>
        </w:tc>
        <w:tc>
          <w:tcPr>
            <w:tcW w:w="472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color w:val="auto"/>
              </w:rPr>
              <w:t>F-15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2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12. Income taxes (continued)</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certain state and foreign jurisdictions. We have substantially concluded all U.S. federal income tax, state and local, and foreign tax matters through 2011. During 2013, an examination of our 2010 federal tax return was completed. However, our federal tax returns for the years 2012 through 2014 remain open to examination. Various state and foreign tax jurisdiction tax years remain open to examination as well, though we believe that any additional assessment would be immaterial to the Consolidated Financial Statements.</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do not anticipate that the total unrecognized tax benefits of $114,000 will significantly change due to the settlement of audits and the expiration of statute of limitations prior to December 31, 2016.</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income tax provision. As of December 31, 2015 and 2014, we have $19,000 and $20,000, respectively, of accrued interest and penalties related to uncertain tax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2015, 2014, and 2013, earnings per share were computed as follows (in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6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5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22"/>
                <w:szCs w:val="22"/>
                <w:color w:val="auto"/>
              </w:rPr>
            </w:pPr>
          </w:p>
        </w:tc>
      </w:tr>
      <w:tr>
        <w:trPr>
          <w:trHeight w:val="209"/>
        </w:trPr>
        <w:tc>
          <w:tcPr>
            <w:tcW w:w="69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0" w:type="dxa"/>
            <w:vAlign w:val="bottom"/>
          </w:tcPr>
          <w:p>
            <w:pPr>
              <w:spacing w:after="0"/>
              <w:rPr>
                <w:sz w:val="18"/>
                <w:szCs w:val="18"/>
                <w:color w:val="auto"/>
              </w:rPr>
            </w:pPr>
          </w:p>
        </w:tc>
      </w:tr>
      <w:tr>
        <w:trPr>
          <w:trHeight w:val="222"/>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Dilutive effect of outstanding options as determined by the treasury stock method</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r>
      <w:tr>
        <w:trPr>
          <w:trHeight w:val="215"/>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and common equivalent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8"/>
                <w:szCs w:val="18"/>
                <w:color w:val="auto"/>
              </w:rPr>
            </w:pPr>
          </w:p>
        </w:tc>
      </w:tr>
      <w:tr>
        <w:trPr>
          <w:trHeight w:val="234"/>
        </w:trPr>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Anti-dilutive stock options, restricted shares and deferred stock units excluded from the computation of earnings per dilutive share were 735,000, and 311,000, at December 31, 2015 and 2013 respectively. Regarding 2014, when a net loss is reported basic and diluted EPS are calculated using the same method.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repurchase program</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its expiration on July 31, 2015, we maintained a stock repurchase program (the “Stock Repurchase Program”) whereby we were authorized to repurchase up to $7,500,000 of our outstanding shares of common stock from time to time in the open market, depending on market conditions, share price and other factors. The Stock Repurchase Program expired on July 31, 2015. We use the cost method to account for treasury stock purchases, under which the price paid for the stock is charged to the treasury stock account. Repurchases of our common stock are accounted for as of the settlement date. From January 1, 2015 through the expiration date of the Stock Repurchase Program, we repurchased 166,553 shares of our common stock for $1,020,000 at an average price of $6.12 per share. From the start of the Stock Repurchase Program on August 11, 2014 through December 31, 2014, we repurchased 434,998 shares of our common stock for approximately $2,634,000 at an average price per share of $6.06. From January 1, 2005 through December 31, 2015, we repurchased a total of 3,388,589 shares of common stock for $26,181,000, at an average price of $7.73 per share.</w:t>
      </w: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Under this new repurchase program, we are authorized to repurchase up to $5,000,000 of our outstanding shares of common stock from time to time in the open market through December 31, 2017, depending on market conditions, share price and other factors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15. Geographic area information</w:t>
      </w:r>
    </w:p>
    <w:p>
      <w:pPr>
        <w:spacing w:after="0" w:line="2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Information regarding our operations by geographic area is contained in the following table. These amounts in the geographic area table are based on the location of the customer and asset.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45,730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46,377</w:t>
            </w:r>
          </w:p>
        </w:tc>
        <w:tc>
          <w:tcPr>
            <w:tcW w:w="20" w:type="dxa"/>
            <w:vAlign w:val="bottom"/>
          </w:tcPr>
          <w:p>
            <w:pPr>
              <w:spacing w:after="0"/>
              <w:rPr>
                <w:sz w:val="18"/>
                <w:szCs w:val="18"/>
                <w:color w:val="auto"/>
              </w:rPr>
            </w:pPr>
          </w:p>
        </w:tc>
      </w:tr>
      <w:tr>
        <w:trPr>
          <w:trHeight w:val="222"/>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20" w:type="dxa"/>
            <w:vAlign w:val="bottom"/>
          </w:tcPr>
          <w:p>
            <w:pPr>
              <w:spacing w:after="0"/>
              <w:rPr>
                <w:sz w:val="19"/>
                <w:szCs w:val="19"/>
                <w:color w:val="auto"/>
              </w:rPr>
            </w:pPr>
          </w:p>
        </w:tc>
      </w:tr>
      <w:tr>
        <w:trPr>
          <w:trHeight w:val="255"/>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59,676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20" w:type="dxa"/>
            <w:vAlign w:val="bottom"/>
          </w:tcPr>
          <w:p>
            <w:pPr>
              <w:spacing w:after="0"/>
              <w:rPr>
                <w:sz w:val="22"/>
                <w:szCs w:val="22"/>
                <w:color w:val="auto"/>
              </w:rPr>
            </w:pPr>
          </w:p>
        </w:tc>
      </w:tr>
      <w:tr>
        <w:trPr>
          <w:trHeight w:val="209"/>
        </w:trPr>
        <w:tc>
          <w:tcPr>
            <w:tcW w:w="7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Pr>
          <w:p>
            <w:pPr>
              <w:spacing w:after="0"/>
              <w:rPr>
                <w:sz w:val="19"/>
                <w:szCs w:val="19"/>
                <w:color w:val="auto"/>
              </w:rPr>
            </w:pPr>
          </w:p>
        </w:tc>
      </w:tr>
      <w:tr>
        <w:trPr>
          <w:trHeight w:val="215"/>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Sales to international customers were 23%, 27%, and 23% in 2015, 2014, and 2013 respectively. Sales to Europe represented 56%, 49%, and 52%, sales to the Pacific Rim (which includes Australia and Asia) represented 34%, 33%, and 26%, and sales to Canada represented 8%, 5%, and 10% of total international sales in 2015, 2014, and 2013 respectively. International long-lived assets consist of net fixed assets located at our foreign subsidiary in the United Kingdom as well as our contract manufacturers in China, Thailand, Malaysia and Mexico.</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Quarterly results of operations (unaudited)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Our quarterly results of operations for 2015 and 2014 are as follows: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4"/>
        </w:trPr>
        <w:tc>
          <w:tcPr>
            <w:tcW w:w="5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December 31</w:t>
            </w:r>
          </w:p>
        </w:tc>
        <w:tc>
          <w:tcPr>
            <w:tcW w:w="20" w:type="dxa"/>
            <w:vAlign w:val="bottom"/>
          </w:tcPr>
          <w:p>
            <w:pPr>
              <w:spacing w:after="0"/>
              <w:rPr>
                <w:sz w:val="19"/>
                <w:szCs w:val="19"/>
                <w:color w:val="auto"/>
              </w:rPr>
            </w:pP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8"/>
                <w:szCs w:val="18"/>
                <w:color w:val="auto"/>
              </w:rPr>
            </w:pPr>
          </w:p>
        </w:tc>
      </w:tr>
      <w:tr>
        <w:trPr>
          <w:trHeight w:val="234"/>
        </w:trPr>
        <w:tc>
          <w:tcPr>
            <w:tcW w:w="5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5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20"/>
                <w:szCs w:val="20"/>
                <w:color w:val="auto"/>
              </w:rPr>
            </w:pPr>
          </w:p>
        </w:tc>
      </w:tr>
      <w:tr>
        <w:trPr>
          <w:trHeight w:val="43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13,804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5,788</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r>
      <w:tr>
        <w:trPr>
          <w:trHeight w:val="234"/>
        </w:trPr>
        <w:tc>
          <w:tcPr>
            <w:tcW w:w="5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Accounting pronouncements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of this ASU.</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financial statements or disclosures.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2015, the FASB issued ASU 2015-17, “Balance Sheet Classification of Deferred Taxes.” This ASU eliminates the requirement to present deferred tax assets and liabilities as current and noncurrent on the balance sheet. Instead, all deferred tax assets and liabilities are now classified as noncurrent. ASU 2015-17 is effective for fiscal years beginning after December 15, 2016 with early adoption permitted. We will prospectively adopt ASU 2015-17 as required in the first reporting period for the year ending December 31, 2017.</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024"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17. Accounting pronouncements (continued)</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Subsequent to December 31, 2015, the FASB issued ASU 2016-02, “Leases”. The core principle of this ASU requires that a lessee should recognize the assets and liabilities on the balance sheet and disclose key information about leasing arrangements. The amendments in ASU 2016-02 are effective for fiscal years beginning after December 15, 2018, including interim periods. We are currently evaluating the impact of this ASU.</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8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520" w:type="dxa"/>
            <w:vAlign w:val="bottom"/>
          </w:tcPr>
          <w:p>
            <w:pPr>
              <w:spacing w:after="0"/>
              <w:rPr>
                <w:sz w:val="20"/>
                <w:szCs w:val="20"/>
                <w:color w:val="auto"/>
              </w:rPr>
            </w:pPr>
          </w:p>
        </w:tc>
      </w:tr>
      <w:tr>
        <w:trPr>
          <w:trHeight w:val="4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Incorporation of TransAct Technologies Incorporated (“TransAct” or the “Company”), filed with the Secretary of State of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 on June 17, 1996.</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the Company, filed with the Secretary of State of Delaware on June 4, 1997.</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Designation, Series A Preferred Stock, filed with the Secretary of State of Delaware on December 2, 1997.</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Designation, Series B Preferred Stock, filed with the Secretary of State of Delaware on April 6, 2000.</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Company.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Specimen Common Stock Certificate.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2005 Equity Incentive Plan</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Equity Incentive Plan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dated July 31, 1996, by and between TransAct and Bart C. Shuldman.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Agreement by and between TransAct and Steven A. DeMartino, dated June 1, 2004.</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Agreement by and between TransAct and Tracey S. Chernay, dated July 29, 2005.</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to Employment Agreement, effective January 1, 2008, by and between TransAct and Bart C. Shuldman.</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to Severance Agreement by and between TransAct and Steven A. DeMartino, effective January 1, 2008.</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10.8(x)</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to Severance Agreement by and between TransAct and Tracey S. Chernay, effective January 1, 2008.</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Agreement by and between Bomax Properties and Ithaca, dated as of March 23, 1992.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Amendment to Lease Agreement by and between Bomax Properties and Ithaca, dated December 2, 1996.</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regarding the Continuation and Renewal of Lease by and between Bomax Properties, LLC and TransAct, dated July 18,</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2001.</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1 to Lease Agreement between Bomax Properties, LLC and TransAct.</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2 to Lease Agreement between Bomax Properties, LLC and TransAct, dated January 14, 2016.</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Agreement by and between Las Vegas Airport Properties LLC and TransAct dated December 2, 2004.</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Amendment to Lease Agreement by and between Las Vegas Airport Properties LLC and TransAct dated August 31, 2009</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Amendment to Lease Agreement by and between The Realty Associates Fund IX LP and TransAct dated June 30, 2015.</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Agreement by and between 2319 Hamden Center I, L.L.C. and TransAct dated November 27, 2006.</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OEM Purchase Agreement by and between IGT (f/k/a GTECH Corporation) and TransAct, dated May 29, 2015. (Pursuant to Rule 24-b-</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 under the Exchange Act, the Company has requested confidential treatment of portions of this exhibit deleted from the filed copy)</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Revolving Credit and Security Agreement between TransAct and TD Banknorth, N.A. dated November 28, 2006</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Amendment to Amended and Restated Revolving Credit and Security Agreement between TransAct and TD Banknorth, N.A.</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September 30, 2007.</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Amendment to Amended and Restated Revolving Credit and Security Agreement between TransAct and TD Bank, N.A.</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November 22, 2011.</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 Amendment to Amended and Restated Revolving Credit and Security Agreement effective September 7, 2012</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Fourth Amendment to Amended and Restated Revolving Credit and Security Agreement effective November 26, 2014</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520" w:type="dxa"/>
            <w:vAlign w:val="bottom"/>
          </w:tcPr>
          <w:p>
            <w:pPr>
              <w:spacing w:after="0"/>
              <w:rPr>
                <w:sz w:val="18"/>
                <w:szCs w:val="18"/>
                <w:color w:val="auto"/>
              </w:rPr>
            </w:pP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655"/>
        </w:trPr>
        <w:tc>
          <w:tcPr>
            <w:tcW w:w="82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1" w:name="page52"/>
    <w:bookmarkEnd w:id="51"/>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are filed herewith.</w:t>
      </w:r>
    </w:p>
    <w:p>
      <w:pPr>
        <w:spacing w:after="0" w:line="28" w:lineRule="exact"/>
        <w:rPr>
          <w:rFonts w:ascii="Times New Roman" w:cs="Times New Roman" w:eastAsia="Times New Roman" w:hAnsi="Times New Roman"/>
          <w:sz w:val="18"/>
          <w:szCs w:val="18"/>
          <w:i w:val="1"/>
          <w:iCs w:val="1"/>
          <w:color w:val="auto"/>
        </w:rPr>
      </w:pP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Registration Statement on Form S-1 (No. 333-06895), are incorporated by reference.</w:t>
      </w:r>
    </w:p>
    <w:p>
      <w:pPr>
        <w:spacing w:after="0" w:line="8" w:lineRule="exact"/>
        <w:rPr>
          <w:rFonts w:ascii="Times New Roman" w:cs="Times New Roman" w:eastAsia="Times New Roman" w:hAnsi="Times New Roman"/>
          <w:sz w:val="18"/>
          <w:szCs w:val="18"/>
          <w:i w:val="1"/>
          <w:iCs w:val="1"/>
          <w:color w:val="auto"/>
        </w:rPr>
      </w:pP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May 15, 2014 is incorporated by reference.</w:t>
      </w:r>
    </w:p>
    <w:p>
      <w:pPr>
        <w:spacing w:after="0" w:line="8" w:lineRule="exact"/>
        <w:rPr>
          <w:rFonts w:ascii="Times New Roman" w:cs="Times New Roman" w:eastAsia="Times New Roman" w:hAnsi="Times New Roman"/>
          <w:sz w:val="18"/>
          <w:szCs w:val="18"/>
          <w:i w:val="1"/>
          <w:iCs w:val="1"/>
          <w:color w:val="auto"/>
        </w:rPr>
      </w:pPr>
    </w:p>
    <w:p>
      <w:pPr>
        <w:ind w:left="452" w:right="8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1997, are incorporated by reference.</w:t>
      </w: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February 18, 1999, is incorporated by reference.</w:t>
      </w:r>
    </w:p>
    <w:p>
      <w:pPr>
        <w:spacing w:after="0" w:line="8" w:lineRule="exact"/>
        <w:rPr>
          <w:rFonts w:ascii="Times New Roman" w:cs="Times New Roman" w:eastAsia="Times New Roman" w:hAnsi="Times New Roman"/>
          <w:sz w:val="18"/>
          <w:szCs w:val="18"/>
          <w:i w:val="1"/>
          <w:iCs w:val="1"/>
          <w:color w:val="auto"/>
        </w:rPr>
      </w:pP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1998, is incorporated by reference.</w:t>
      </w:r>
    </w:p>
    <w:p>
      <w:pPr>
        <w:ind w:left="452"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Quarterly Report on Form 10-Q for the period ended March 25, 2000, are incorporated by reference.</w:t>
      </w: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2001, is incorporated by reference.</w:t>
      </w:r>
    </w:p>
    <w:p>
      <w:pPr>
        <w:ind w:left="452" w:right="8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2004, are incorporated by reference.</w:t>
      </w: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June 1, 2005, is incorporated by reference.</w:t>
      </w:r>
    </w:p>
    <w:p>
      <w:pPr>
        <w:spacing w:after="0" w:line="8" w:lineRule="exact"/>
        <w:rPr>
          <w:rFonts w:ascii="Times New Roman" w:cs="Times New Roman" w:eastAsia="Times New Roman" w:hAnsi="Times New Roman"/>
          <w:sz w:val="18"/>
          <w:szCs w:val="18"/>
          <w:i w:val="1"/>
          <w:iCs w:val="1"/>
          <w:color w:val="auto"/>
        </w:rPr>
      </w:pPr>
    </w:p>
    <w:p>
      <w:pPr>
        <w:ind w:left="452" w:right="8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exhibits, which were previously filed with the Company’s Annual Report on Form 10-K for the year ended December 31, 2006, are incorporated by reference.</w:t>
      </w:r>
    </w:p>
    <w:p>
      <w:pPr>
        <w:ind w:left="452" w:right="6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September 30, 2007, is incorporated by reference.</w:t>
      </w: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2007, is incorporated by reference.</w:t>
      </w: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2008, is incorporated by reference.</w:t>
      </w: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2009, is incorporated by reference.</w:t>
      </w:r>
    </w:p>
    <w:p>
      <w:pPr>
        <w:ind w:left="452" w:right="22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Annual Report on Form 10-K for the year ended December 31, 2011, is incorporated by reference.</w:t>
      </w:r>
    </w:p>
    <w:p>
      <w:pPr>
        <w:ind w:left="452" w:right="14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March 31, 2012, is incorporated by reference.</w:t>
      </w: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September 11, 2012, is incorporated by reference.</w:t>
      </w:r>
    </w:p>
    <w:p>
      <w:pPr>
        <w:spacing w:after="0" w:line="8" w:lineRule="exact"/>
        <w:rPr>
          <w:rFonts w:ascii="Times New Roman" w:cs="Times New Roman" w:eastAsia="Times New Roman" w:hAnsi="Times New Roman"/>
          <w:sz w:val="18"/>
          <w:szCs w:val="18"/>
          <w:i w:val="1"/>
          <w:iCs w:val="1"/>
          <w:color w:val="auto"/>
        </w:rPr>
      </w:pPr>
    </w:p>
    <w:p>
      <w:pPr>
        <w:ind w:left="452" w:hanging="452"/>
        <w:spacing w:after="0"/>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Current Report on Form 8-K filed December 1, 2014, is incorporated by reference.</w:t>
      </w:r>
    </w:p>
    <w:p>
      <w:pPr>
        <w:spacing w:after="0" w:line="8" w:lineRule="exact"/>
        <w:rPr>
          <w:rFonts w:ascii="Times New Roman" w:cs="Times New Roman" w:eastAsia="Times New Roman" w:hAnsi="Times New Roman"/>
          <w:sz w:val="18"/>
          <w:szCs w:val="18"/>
          <w:i w:val="1"/>
          <w:iCs w:val="1"/>
          <w:color w:val="auto"/>
        </w:rPr>
      </w:pPr>
    </w:p>
    <w:p>
      <w:pPr>
        <w:ind w:left="452" w:right="260" w:hanging="452"/>
        <w:spacing w:after="0" w:line="249" w:lineRule="auto"/>
        <w:tabs>
          <w:tab w:leader="none" w:pos="45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exhibit, which was previously filed with the Company’s Quarterly Report on Form 10-Q for the period ended June 30, 2015, is incorporated by reference</w:t>
      </w:r>
    </w:p>
    <w:p>
      <w:pPr>
        <w:spacing w:after="0" w:line="1" w:lineRule="exact"/>
        <w:rPr>
          <w:sz w:val="20"/>
          <w:szCs w:val="20"/>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32"/>
          </w:cols>
          <w:pgMar w:left="248" w:top="509" w:right="319" w:bottom="1440" w:gutter="0" w:footer="0" w:header="0"/>
        </w:sectPr>
      </w:pPr>
    </w:p>
    <w:bookmarkStart w:id="52" w:name="page53"/>
    <w:bookmarkEnd w:id="5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23.1</w:t>
            </w:r>
          </w:p>
        </w:tc>
        <w:tc>
          <w:tcPr>
            <w:tcW w:w="104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Section 1350 as adopted pursuant to Section 906 of the</w:t>
            </w:r>
          </w:p>
        </w:tc>
      </w:tr>
      <w:tr>
        <w:trPr>
          <w:trHeight w:val="215"/>
        </w:trPr>
        <w:tc>
          <w:tcPr>
            <w:tcW w:w="94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ectPr>
          <w:pgSz w:w="11900" w:h="16838" w:orient="portrait"/>
          <w:cols w:equalWidth="0" w:num="1">
            <w:col w:w="11420"/>
          </w:cols>
          <w:pgMar w:left="240" w:top="50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color w:val="auto"/>
        </w:rPr>
        <w:t>Exhibit 10.13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00" w:lineRule="exact"/>
        <w:rPr>
          <w:sz w:val="20"/>
          <w:szCs w:val="20"/>
          <w:color w:val="auto"/>
        </w:rPr>
      </w:pPr>
    </w:p>
    <w:p>
      <w:pPr>
        <w:spacing w:after="0" w:line="269"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THIS AMENDMENT NO. 2 TO LEASE AGREEMENT </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is made effective as of January 14, 2016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BOMAX PROPERTIES,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Bomax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TRANSACT TECHNOLOGIES 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0"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Bomax and TransAct entered into a certain Lease Agreement dated July 18, 2001 (the “Original Lease”), pursuant to which TransAct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leased the “Leased Premises”, as defined therein, from Bomax; and</w:t>
      </w:r>
    </w:p>
    <w:p>
      <w:pPr>
        <w:spacing w:after="0" w:line="182"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Original Lease was amended pursuant to a certain Amendment No. 1 to Lease Agreement dated May 8, 2012 (the Original Lease,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i w:val="1"/>
          <w:iCs w:val="1"/>
          <w:color w:val="auto"/>
        </w:rPr>
        <w:t>Lease</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extended the “Lease Term”, as defined in the Original Lease, through May 31, 2016; and</w:t>
      </w:r>
    </w:p>
    <w:p>
      <w:pPr>
        <w:spacing w:after="0" w:line="182" w:lineRule="exact"/>
        <w:rPr>
          <w:sz w:val="20"/>
          <w:szCs w:val="20"/>
          <w:color w:val="auto"/>
        </w:rPr>
      </w:pPr>
    </w:p>
    <w:p>
      <w:pPr>
        <w:jc w:val="both"/>
        <w:ind w:right="20" w:firstLine="645"/>
        <w:spacing w:after="0" w:line="26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TransAct has requested and Bomax has agreed to extend the Lease Term and otherwise amend the Lease upon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(all defined terms used herein, as evidenced by the first letter thereof being capitalized, not otherwise defined herein, shall be as defined in the Lease).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is hereby acknowledged, the parties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7"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of the Lease.  </w:t>
      </w:r>
      <w:r>
        <w:rPr>
          <w:rFonts w:ascii="Times New Roman" w:cs="Times New Roman" w:eastAsia="Times New Roman" w:hAnsi="Times New Roman"/>
          <w:sz w:val="18"/>
          <w:szCs w:val="18"/>
          <w:color w:val="auto"/>
        </w:rPr>
        <w:t>The Lease is hereby amended as follows:</w:t>
      </w:r>
    </w:p>
    <w:p>
      <w:pPr>
        <w:spacing w:after="0" w:line="254" w:lineRule="exact"/>
        <w:rPr>
          <w:rFonts w:ascii="Times New Roman" w:cs="Times New Roman" w:eastAsia="Times New Roman" w:hAnsi="Times New Roman"/>
          <w:sz w:val="18"/>
          <w:szCs w:val="18"/>
          <w:b w:val="1"/>
          <w:bCs w:val="1"/>
          <w:color w:val="auto"/>
        </w:rPr>
      </w:pPr>
    </w:p>
    <w:p>
      <w:pPr>
        <w:ind w:left="1340" w:hanging="687"/>
        <w:spacing w:after="0"/>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 is amended to extend the Lease Term from May 31, 2016 through May 31, 2021.</w:t>
      </w:r>
    </w:p>
    <w:p>
      <w:pPr>
        <w:spacing w:after="0" w:line="250" w:lineRule="exact"/>
        <w:rPr>
          <w:rFonts w:ascii="Times New Roman" w:cs="Times New Roman" w:eastAsia="Times New Roman" w:hAnsi="Times New Roman"/>
          <w:sz w:val="18"/>
          <w:szCs w:val="18"/>
          <w:color w:val="auto"/>
        </w:rPr>
      </w:pPr>
    </w:p>
    <w:p>
      <w:pPr>
        <w:ind w:left="1340" w:hanging="687"/>
        <w:spacing w:after="0"/>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 Section A. is amended to refer to base rent in the following amounts for the following periods: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33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Rent Per Square Foot:</w:t>
            </w:r>
          </w:p>
        </w:tc>
        <w:tc>
          <w:tcPr>
            <w:tcW w:w="2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Aggregate Annual Rent:</w:t>
            </w:r>
          </w:p>
        </w:tc>
        <w:tc>
          <w:tcPr>
            <w:tcW w:w="2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Monthly Payment:</w:t>
            </w:r>
          </w:p>
        </w:tc>
      </w:tr>
      <w:tr>
        <w:trPr>
          <w:trHeight w:val="197"/>
        </w:trPr>
        <w:tc>
          <w:tcPr>
            <w:tcW w:w="35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June 1, 2016 – May 31, 2017</w:t>
            </w:r>
          </w:p>
        </w:tc>
        <w:tc>
          <w:tcPr>
            <w:tcW w:w="3300" w:type="dxa"/>
            <w:vAlign w:val="bottom"/>
          </w:tcPr>
          <w:p>
            <w:pPr>
              <w:ind w:left="1620"/>
              <w:spacing w:after="0" w:line="197" w:lineRule="exact"/>
              <w:rPr>
                <w:sz w:val="20"/>
                <w:szCs w:val="20"/>
                <w:color w:val="auto"/>
              </w:rPr>
            </w:pPr>
            <w:r>
              <w:rPr>
                <w:rFonts w:ascii="Times New Roman" w:cs="Times New Roman" w:eastAsia="Times New Roman" w:hAnsi="Times New Roman"/>
                <w:sz w:val="18"/>
                <w:szCs w:val="18"/>
                <w:color w:val="auto"/>
              </w:rPr>
              <w:t>$6.50</w:t>
            </w:r>
          </w:p>
        </w:tc>
        <w:tc>
          <w:tcPr>
            <w:tcW w:w="2300" w:type="dxa"/>
            <w:vAlign w:val="bottom"/>
          </w:tcPr>
          <w:p>
            <w:pPr>
              <w:ind w:left="240"/>
              <w:spacing w:after="0" w:line="197" w:lineRule="exact"/>
              <w:rPr>
                <w:sz w:val="20"/>
                <w:szCs w:val="20"/>
                <w:color w:val="auto"/>
              </w:rPr>
            </w:pPr>
            <w:r>
              <w:rPr>
                <w:rFonts w:ascii="Times New Roman" w:cs="Times New Roman" w:eastAsia="Times New Roman" w:hAnsi="Times New Roman"/>
                <w:sz w:val="18"/>
                <w:szCs w:val="18"/>
                <w:color w:val="auto"/>
              </w:rPr>
              <w:t>$480,265.50</w:t>
            </w:r>
          </w:p>
        </w:tc>
        <w:tc>
          <w:tcPr>
            <w:tcW w:w="224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$40,022.12</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1, 2017 – May 31, 2018</w:t>
            </w:r>
          </w:p>
        </w:tc>
        <w:tc>
          <w:tcPr>
            <w:tcW w:w="33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$7.00</w:t>
            </w: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$517,209.00</w:t>
            </w:r>
          </w:p>
        </w:tc>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$43,100.75</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1, 2018 – May 31, 2019</w:t>
            </w:r>
          </w:p>
        </w:tc>
        <w:tc>
          <w:tcPr>
            <w:tcW w:w="33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$7.50</w:t>
            </w: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$554,152.50</w:t>
            </w:r>
          </w:p>
        </w:tc>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$46,179.38</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1, 2019 – May 31, 2020</w:t>
            </w:r>
          </w:p>
        </w:tc>
        <w:tc>
          <w:tcPr>
            <w:tcW w:w="33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$7.50</w:t>
            </w: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$554,152.50</w:t>
            </w:r>
          </w:p>
        </w:tc>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$46,179.38</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1, 2020 – May 31, 2021</w:t>
            </w:r>
          </w:p>
        </w:tc>
        <w:tc>
          <w:tcPr>
            <w:tcW w:w="33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7.75</w:t>
            </w: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$572,624.25</w:t>
            </w:r>
          </w:p>
        </w:tc>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$47,718.69</w:t>
            </w:r>
          </w:p>
        </w:tc>
      </w:tr>
    </w:tbl>
    <w:p>
      <w:pPr>
        <w:spacing w:after="0" w:line="223" w:lineRule="exact"/>
        <w:rPr>
          <w:sz w:val="20"/>
          <w:szCs w:val="20"/>
          <w:color w:val="auto"/>
        </w:rPr>
      </w:pPr>
    </w:p>
    <w:p>
      <w:pPr>
        <w:ind w:right="20" w:firstLine="653"/>
        <w:spacing w:after="0" w:line="280" w:lineRule="auto"/>
        <w:tabs>
          <w:tab w:leader="none" w:pos="9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notice to Bomax under the Lease, as originally referenced in Article XXIV, is changed to c/o Richard Dean, 409 Powers Road, Kings Ferry, New York 13081.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386080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jc w:val="both"/>
        <w:ind w:firstLine="8"/>
        <w:spacing w:after="0" w:line="258" w:lineRule="auto"/>
        <w:tabs>
          <w:tab w:leader="none" w:pos="80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Conversion of Lighting System. </w:t>
      </w:r>
      <w:r>
        <w:rPr>
          <w:rFonts w:ascii="Times New Roman" w:cs="Times New Roman" w:eastAsia="Times New Roman" w:hAnsi="Times New Roman"/>
          <w:sz w:val="18"/>
          <w:szCs w:val="18"/>
          <w:color w:val="auto"/>
        </w:rPr>
        <w:t>TransAct covenants and agrees to undertake and complete, at its initial sole cost and expense,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Bomax’s review and approval of the contractor, plans, specifications and bids therefore, the conversion of the metal halide lighting in the manufacturing and warehouse sections of the Leased Property to LED lighting no later than September 30, 2016 (the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TransAct shall obtain bids from at least two</w:t>
      </w:r>
    </w:p>
    <w:p>
      <w:pPr>
        <w:jc w:val="both"/>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reputable contractors for submission to Bomax for approval, which approval shall not be unreasonably withheld, conditioned or delayed. Upon the completion of the Conversion by the approved contractor in accordance with the approved plans, specifications and bid and in compliance with the relevant provision of Article VIII of the Lease, Bomax will reimburse TransAct for the amount of the approved bid up to $100,000.</w:t>
      </w:r>
    </w:p>
    <w:p>
      <w:pPr>
        <w:spacing w:after="0" w:line="207"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4" w:lineRule="exact"/>
        <w:rPr>
          <w:rFonts w:ascii="Times New Roman" w:cs="Times New Roman" w:eastAsia="Times New Roman" w:hAnsi="Times New Roman"/>
          <w:sz w:val="18"/>
          <w:szCs w:val="18"/>
          <w:b w:val="1"/>
          <w:bCs w:val="1"/>
          <w:color w:val="auto"/>
        </w:rPr>
      </w:pPr>
    </w:p>
    <w:p>
      <w:pPr>
        <w:ind w:left="1340" w:hanging="687"/>
        <w:spacing w:after="0"/>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Lease remains in full force and effect.</w:t>
      </w:r>
    </w:p>
    <w:p>
      <w:pPr>
        <w:spacing w:after="0" w:line="250" w:lineRule="exact"/>
        <w:rPr>
          <w:rFonts w:ascii="Times New Roman" w:cs="Times New Roman" w:eastAsia="Times New Roman" w:hAnsi="Times New Roman"/>
          <w:sz w:val="18"/>
          <w:szCs w:val="18"/>
          <w:color w:val="auto"/>
        </w:rPr>
      </w:pPr>
    </w:p>
    <w:p>
      <w:pPr>
        <w:ind w:firstLine="653"/>
        <w:spacing w:after="0" w:line="260" w:lineRule="auto"/>
        <w:tabs>
          <w:tab w:leader="none" w:pos="13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 applicable to agreements made and to be performed in the State of New</w:t>
      </w:r>
    </w:p>
    <w:p>
      <w:pPr>
        <w:ind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 and shall be construed without regard to any presumption or other rule requiring the construction of an agreement against the party causing it to be drafted.</w:t>
      </w:r>
    </w:p>
    <w:p>
      <w:pPr>
        <w:spacing w:after="0" w:line="208" w:lineRule="exact"/>
        <w:rPr>
          <w:rFonts w:ascii="Times New Roman" w:cs="Times New Roman" w:eastAsia="Times New Roman" w:hAnsi="Times New Roman"/>
          <w:sz w:val="18"/>
          <w:szCs w:val="18"/>
          <w:color w:val="auto"/>
        </w:rPr>
      </w:pPr>
    </w:p>
    <w:p>
      <w:pPr>
        <w:ind w:firstLine="653"/>
        <w:spacing w:after="0" w:line="280" w:lineRule="auto"/>
        <w:tabs>
          <w:tab w:leader="none" w:pos="1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an original, but which together constitute one and the same instrument. Signatures delivered by facsimile or electronically shall be deemed original signatures for all purposed of this Agreement.</w:t>
      </w:r>
    </w:p>
    <w:p>
      <w:pPr>
        <w:spacing w:after="0" w:line="189" w:lineRule="exact"/>
        <w:rPr>
          <w:rFonts w:ascii="Times New Roman" w:cs="Times New Roman" w:eastAsia="Times New Roman" w:hAnsi="Times New Roman"/>
          <w:sz w:val="18"/>
          <w:szCs w:val="18"/>
          <w:color w:val="auto"/>
        </w:rPr>
      </w:pPr>
    </w:p>
    <w:p>
      <w:pPr>
        <w:jc w:val="both"/>
        <w:ind w:firstLine="653"/>
        <w:spacing w:after="0" w:line="264" w:lineRule="auto"/>
        <w:tabs>
          <w:tab w:leader="none" w:pos="13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hereby confirms that it has no claim, set-off, counterclaim, defense or other cause of action against Bomax arising out of the Lease Agreement. To the extent that any such claim, set-off, counterclaim, defense or other cause of action may exist or may hereafter arise, such claim, set-off, counterclaim, defense or other cause is hereby expressly and knowingly waived and released by TransAct.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OF THIS PAGE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1963420</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Amendment No. 2 to Lease Agreement as of the date first above written.</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BOMAX PROPERTIES, LLC</w:t>
      </w:r>
    </w:p>
    <w:p>
      <w:pPr>
        <w:spacing w:after="0" w:line="227" w:lineRule="exact"/>
        <w:rPr>
          <w:sz w:val="20"/>
          <w:szCs w:val="20"/>
          <w:color w:val="auto"/>
        </w:rPr>
      </w:pPr>
    </w:p>
    <w:tbl>
      <w:tblPr>
        <w:tblLayout w:type="fixed"/>
        <w:tblInd w:w="458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Dean</w:t>
            </w:r>
          </w:p>
        </w:tc>
      </w:tr>
      <w:tr>
        <w:trPr>
          <w:trHeight w:val="234"/>
        </w:trPr>
        <w:tc>
          <w:tcPr>
            <w:tcW w:w="88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Richard D. Dean, Manager</w:t>
            </w:r>
          </w:p>
        </w:tc>
      </w:tr>
    </w:tbl>
    <w:p>
      <w:pPr>
        <w:spacing w:after="0" w:line="17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7" w:lineRule="exact"/>
        <w:rPr>
          <w:sz w:val="20"/>
          <w:szCs w:val="20"/>
          <w:color w:val="auto"/>
        </w:rPr>
      </w:pPr>
    </w:p>
    <w:p>
      <w:pPr>
        <w:ind w:left="458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16510</wp:posOffset>
            </wp:positionV>
            <wp:extent cx="37814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81425" cy="1714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5921565.3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333-203184, 333-132624, and 333-170515) of TransAct Technologies Incorporated of our report dated March 11, 2016 relating to the financial statements, which appears in this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67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789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11, 2016</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Bart C. Shuldman, certify that:</w:t>
      </w:r>
    </w:p>
    <w:p>
      <w:pPr>
        <w:spacing w:after="0" w:line="250" w:lineRule="exact"/>
        <w:rPr>
          <w:sz w:val="20"/>
          <w:szCs w:val="20"/>
          <w:color w:val="auto"/>
        </w:rPr>
      </w:pPr>
    </w:p>
    <w:p>
      <w:pPr>
        <w:ind w:left="660" w:hanging="3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50"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67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6789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Bart C. Shuldman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A. DeMartino, certify that:</w:t>
      </w:r>
    </w:p>
    <w:p>
      <w:pPr>
        <w:spacing w:after="0" w:line="250" w:lineRule="exact"/>
        <w:rPr>
          <w:sz w:val="20"/>
          <w:szCs w:val="20"/>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50"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67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6789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Treasurer and Secretary</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TransAct Technologies Incorporated (the “Company”) on Form 10-K for the period ending December 31, 2015,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204" w:lineRule="exact"/>
        <w:rPr>
          <w:sz w:val="20"/>
          <w:szCs w:val="20"/>
          <w:color w:val="auto"/>
        </w:rPr>
      </w:pPr>
    </w:p>
    <w:p>
      <w:pPr>
        <w:ind w:left="820" w:hanging="329"/>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67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789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Bart C. Shuldman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67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789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Treasurer and Secretary</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0"/>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3"/>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2019-12-29T12:30:38Z</dcterms:created>
  <dcterms:modified xsi:type="dcterms:W3CDTF">2019-12-29T12:30:38Z</dcterms:modified>
</cp:coreProperties>
</file>