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0"/>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44"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37" w:lineRule="exact"/>
        <w:rPr>
          <w:sz w:val="24"/>
          <w:szCs w:val="24"/>
          <w:color w:val="auto"/>
        </w:rPr>
      </w:pPr>
    </w:p>
    <w:p>
      <w:pPr>
        <w:ind w:left="660"/>
        <w:spacing w:after="0"/>
        <w:tabs>
          <w:tab w:leader="none" w:pos="3880" w:val="left"/>
          <w:tab w:leader="none" w:pos="4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2"/>
        </w:trPr>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54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06518</w:t>
            </w:r>
          </w:p>
        </w:tc>
      </w:tr>
      <w:tr>
        <w:trPr>
          <w:trHeight w:val="217"/>
        </w:trPr>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8"/>
                <w:szCs w:val="18"/>
                <w:color w:val="auto"/>
              </w:rPr>
            </w:pPr>
          </w:p>
        </w:tc>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7"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p>
      <w:pPr>
        <w:ind w:left="380"/>
        <w:spacing w:after="0"/>
        <w:tabs>
          <w:tab w:leader="none" w:pos="5560" w:val="left"/>
        </w:tabs>
        <w:rPr>
          <w:sz w:val="20"/>
          <w:szCs w:val="20"/>
          <w:color w:val="auto"/>
        </w:rPr>
      </w:pPr>
      <w:r>
        <w:rPr>
          <w:rFonts w:ascii="Arial" w:cs="Arial" w:eastAsia="Arial" w:hAnsi="Arial"/>
          <w:sz w:val="18"/>
          <w:szCs w:val="18"/>
          <w:b w:val="1"/>
          <w:bCs w:val="1"/>
          <w:color w:val="auto"/>
        </w:rPr>
        <w:t>Title of Each Class - Common Stock, par value $.01 per share</w:t>
      </w:r>
      <w:r>
        <w:rPr>
          <w:sz w:val="20"/>
          <w:szCs w:val="20"/>
          <w:color w:val="auto"/>
        </w:rPr>
        <w:tab/>
      </w:r>
      <w:r>
        <w:rPr>
          <w:rFonts w:ascii="Arial" w:cs="Arial" w:eastAsia="Arial" w:hAnsi="Arial"/>
          <w:sz w:val="16"/>
          <w:szCs w:val="16"/>
          <w:b w:val="1"/>
          <w:bCs w:val="1"/>
          <w:color w:val="auto"/>
        </w:rPr>
        <w:t>Name of Exchange on which Registered - NASDAQ Global Market</w:t>
      </w:r>
    </w:p>
    <w:p>
      <w:pPr>
        <w:spacing w:after="0" w:line="27"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r>
        <w:rPr>
          <w:rFonts w:ascii="Arial" w:cs="Arial" w:eastAsia="Arial" w:hAnsi="Arial"/>
          <w:sz w:val="18"/>
          <w:szCs w:val="18"/>
          <w:b w:val="1"/>
          <w:bCs w:val="1"/>
          <w:color w:val="auto"/>
        </w:rPr>
        <w:t>: None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35"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jc w:val="both"/>
        <w:ind w:right="6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9" w:lineRule="exact"/>
        <w:rPr>
          <w:sz w:val="24"/>
          <w:szCs w:val="24"/>
          <w:color w:val="auto"/>
        </w:rPr>
      </w:pPr>
    </w:p>
    <w:p>
      <w:pPr>
        <w:jc w:val="both"/>
        <w:spacing w:after="0" w:line="27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56" w:gutter="0" w:footer="0" w:header="0"/>
        </w:sectPr>
      </w:pP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23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o</w:t>
      </w:r>
    </w:p>
    <w:p>
      <w:pPr>
        <w:spacing w:after="0" w:line="274" w:lineRule="exact"/>
        <w:rPr>
          <w:sz w:val="24"/>
          <w:szCs w:val="24"/>
          <w:color w:val="auto"/>
        </w:rPr>
      </w:pPr>
    </w:p>
    <w:p>
      <w:pPr>
        <w:sectPr>
          <w:pgSz w:w="11900" w:h="16838" w:orient="portrait"/>
          <w:cols w:equalWidth="0" w:num="3">
            <w:col w:w="5800" w:space="720"/>
            <w:col w:w="1960" w:space="100"/>
            <w:col w:w="2840"/>
          </w:cols>
          <w:pgMar w:left="240" w:top="220" w:right="239" w:bottom="56"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460" w:space="120"/>
            <w:col w:w="440" w:space="140"/>
            <w:col w:w="2260"/>
          </w:cols>
          <w:pgMar w:left="240" w:top="220" w:right="239" w:bottom="56" w:gutter="0" w:footer="0" w:header="0"/>
          <w:type w:val="continuous"/>
        </w:sectPr>
      </w:pPr>
    </w:p>
    <w:p>
      <w:pPr>
        <w:spacing w:after="0" w:line="50"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$82,400,000 based on the last sale price on June 30, 2014.</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27, 2015, the number of shares outstanding of the Registrant’s common stock, $0.01 par value, was 7,784,804.</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220" w:right="239" w:bottom="56"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within 120 days after the year covered by this Form 10-K with respect to the 2015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rPr>
              <w:t>TRANSACT TECHNOLOGIES INCORPORATED</w:t>
            </w:r>
          </w:p>
        </w:tc>
        <w:tc>
          <w:tcPr>
            <w:tcW w:w="224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r>
      <w:tr>
        <w:trPr>
          <w:trHeight w:val="437"/>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11"/>
          </w:tcPr>
          <w:p>
            <w:pPr>
              <w:jc w:val="center"/>
              <w:ind w:right="3960"/>
              <w:spacing w:after="0"/>
              <w:rPr>
                <w:sz w:val="20"/>
                <w:szCs w:val="20"/>
                <w:color w:val="auto"/>
              </w:rPr>
            </w:pPr>
            <w:r>
              <w:rPr>
                <w:rFonts w:ascii="Arial" w:cs="Arial" w:eastAsia="Arial" w:hAnsi="Arial"/>
                <w:sz w:val="18"/>
                <w:szCs w:val="18"/>
                <w:b w:val="1"/>
                <w:bCs w:val="1"/>
                <w:color w:val="auto"/>
                <w:w w:val="94"/>
              </w:rPr>
              <w:t>INDEX</w:t>
            </w:r>
          </w:p>
        </w:tc>
        <w:tc>
          <w:tcPr>
            <w:tcW w:w="14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37"/>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w:t>
              </w:r>
            </w:hyperlink>
          </w:p>
        </w:tc>
        <w:tc>
          <w:tcPr>
            <w:tcW w:w="3900" w:type="dxa"/>
            <w:vAlign w:val="bottom"/>
            <w:gridSpan w:val="9"/>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600" w:type="dxa"/>
            <w:vAlign w:val="bottom"/>
            <w:tcBorders>
              <w:bottom w:val="single" w:sz="8" w:color="0000EE"/>
            </w:tcBorders>
            <w:gridSpan w:val="3"/>
          </w:tcPr>
          <w:p>
            <w:pPr>
              <w:spacing w:after="0" w:line="195"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Business</w:t>
              </w:r>
            </w:hyperlink>
          </w:p>
        </w:tc>
        <w:tc>
          <w:tcPr>
            <w:tcW w:w="8600" w:type="dxa"/>
            <w:vAlign w:val="bottom"/>
            <w:gridSpan w:val="26"/>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9200" w:type="dxa"/>
            <w:vAlign w:val="bottom"/>
            <w:gridSpan w:val="29"/>
          </w:tcPr>
          <w:p>
            <w:pPr>
              <w:spacing w:after="0" w:line="195"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5"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Unresolved Staff Comments</w:t>
              </w:r>
            </w:hyperlink>
          </w:p>
        </w:tc>
        <w:tc>
          <w:tcPr>
            <w:tcW w:w="7200" w:type="dxa"/>
            <w:vAlign w:val="bottom"/>
            <w:gridSpan w:val="19"/>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9200" w:type="dxa"/>
            <w:vAlign w:val="bottom"/>
            <w:gridSpan w:val="29"/>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9200" w:type="dxa"/>
            <w:vAlign w:val="bottom"/>
            <w:gridSpan w:val="29"/>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200" w:type="dxa"/>
            <w:vAlign w:val="bottom"/>
            <w:gridSpan w:val="29"/>
          </w:tcPr>
          <w:p>
            <w:pPr>
              <w:spacing w:after="0" w:line="195" w:lineRule="exact"/>
              <w:rPr>
                <w:sz w:val="20"/>
                <w:szCs w:val="20"/>
                <w:color w:val="auto"/>
              </w:rPr>
            </w:pPr>
            <w:r>
              <w:rPr>
                <w:rFonts w:ascii="Arial" w:cs="Arial" w:eastAsia="Arial" w:hAnsi="Arial"/>
                <w:sz w:val="18"/>
                <w:szCs w:val="18"/>
                <w:color w:val="0000EE"/>
              </w:rPr>
              <w:t>Mine Safety Disclosures</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410"/>
        </w:trPr>
        <w:tc>
          <w:tcPr>
            <w:tcW w:w="7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80" w:type="dxa"/>
            <w:vAlign w:val="bottom"/>
            <w:gridSpan w:val="11"/>
          </w:tcPr>
          <w:p>
            <w:pPr>
              <w:jc w:val="center"/>
              <w:ind w:right="3880"/>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PART II.</w:t>
              </w:r>
            </w:hyperlink>
          </w:p>
        </w:tc>
        <w:tc>
          <w:tcPr>
            <w:tcW w:w="14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8000" w:type="dxa"/>
            <w:vAlign w:val="bottom"/>
            <w:tcBorders>
              <w:bottom w:val="single" w:sz="8" w:color="0000EE"/>
            </w:tcBorders>
            <w:gridSpan w:val="28"/>
          </w:tcPr>
          <w:p>
            <w:pPr>
              <w:spacing w:after="0" w:line="195"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Market for Registrant’s Common Equity, Related Stockholder Matters and Issuer Purchases of Equity Securities</w:t>
              </w:r>
            </w:hyperlink>
          </w:p>
        </w:tc>
        <w:tc>
          <w:tcPr>
            <w:tcW w:w="1200" w:type="dxa"/>
            <w:vAlign w:val="bottom"/>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9200" w:type="dxa"/>
            <w:vAlign w:val="bottom"/>
            <w:gridSpan w:val="29"/>
          </w:tcPr>
          <w:p>
            <w:pPr>
              <w:spacing w:after="0" w:line="195" w:lineRule="exact"/>
              <w:rPr>
                <w:sz w:val="20"/>
                <w:szCs w:val="20"/>
                <w:color w:val="auto"/>
              </w:rPr>
            </w:pPr>
            <w:r>
              <w:rPr>
                <w:rFonts w:ascii="Arial" w:cs="Arial" w:eastAsia="Arial" w:hAnsi="Arial"/>
                <w:sz w:val="18"/>
                <w:szCs w:val="18"/>
                <w:color w:val="0000EE"/>
              </w:rPr>
              <w:t>Selected Financial Data</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7.</w:t>
            </w:r>
          </w:p>
        </w:tc>
        <w:tc>
          <w:tcPr>
            <w:tcW w:w="6380" w:type="dxa"/>
            <w:vAlign w:val="bottom"/>
            <w:tcBorders>
              <w:bottom w:val="single" w:sz="8" w:color="0000EE"/>
            </w:tcBorders>
            <w:gridSpan w:val="24"/>
          </w:tcPr>
          <w:p>
            <w:pPr>
              <w:spacing w:after="0" w:line="195"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Management's Discussion and Analysis of Financial Condition and Results of Operations</w:t>
              </w:r>
            </w:hyperlink>
          </w:p>
        </w:tc>
        <w:tc>
          <w:tcPr>
            <w:tcW w:w="2820" w:type="dxa"/>
            <w:vAlign w:val="bottom"/>
            <w:gridSpan w:val="5"/>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Quantitative and Qualitative Disclosures About Market Risk</w:t>
              </w:r>
            </w:hyperlink>
          </w:p>
        </w:tc>
        <w:tc>
          <w:tcPr>
            <w:tcW w:w="4900" w:type="dxa"/>
            <w:vAlign w:val="bottom"/>
            <w:gridSpan w:val="13"/>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8.</w:t>
            </w:r>
          </w:p>
        </w:tc>
        <w:tc>
          <w:tcPr>
            <w:tcW w:w="3280" w:type="dxa"/>
            <w:vAlign w:val="bottom"/>
            <w:tcBorders>
              <w:bottom w:val="single" w:sz="8" w:color="0000EE"/>
            </w:tcBorders>
            <w:gridSpan w:val="14"/>
          </w:tcPr>
          <w:p>
            <w:pPr>
              <w:spacing w:after="0" w:line="195" w:lineRule="exact"/>
              <w:rPr>
                <w:sz w:val="20"/>
                <w:szCs w:val="20"/>
                <w:color w:val="auto"/>
              </w:rPr>
            </w:pPr>
            <w:r>
              <w:rPr>
                <w:rFonts w:ascii="Arial" w:cs="Arial" w:eastAsia="Arial" w:hAnsi="Arial"/>
                <w:sz w:val="18"/>
                <w:szCs w:val="18"/>
                <w:color w:val="0000EE"/>
                <w:w w:val="87"/>
              </w:rPr>
              <w:t>Financial Statements and Supplementary Data</w:t>
            </w:r>
          </w:p>
        </w:tc>
        <w:tc>
          <w:tcPr>
            <w:tcW w:w="5920" w:type="dxa"/>
            <w:vAlign w:val="bottom"/>
            <w:gridSpan w:val="15"/>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9.</w:t>
            </w:r>
          </w:p>
        </w:tc>
        <w:tc>
          <w:tcPr>
            <w:tcW w:w="9200" w:type="dxa"/>
            <w:vAlign w:val="bottom"/>
            <w:gridSpan w:val="29"/>
          </w:tcPr>
          <w:p>
            <w:pPr>
              <w:spacing w:after="0" w:line="195"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9A.</w:t>
            </w:r>
          </w:p>
        </w:tc>
        <w:tc>
          <w:tcPr>
            <w:tcW w:w="6400" w:type="dxa"/>
            <w:vAlign w:val="bottom"/>
            <w:tcBorders>
              <w:top w:val="single" w:sz="8" w:color="0000EE"/>
            </w:tcBorders>
            <w:gridSpan w:val="25"/>
          </w:tcPr>
          <w:p>
            <w:pPr>
              <w:spacing w:after="0" w:line="195" w:lineRule="exact"/>
              <w:rPr>
                <w:sz w:val="20"/>
                <w:szCs w:val="20"/>
                <w:color w:val="auto"/>
              </w:rPr>
            </w:pPr>
            <w:r>
              <w:rPr>
                <w:rFonts w:ascii="Arial" w:cs="Arial" w:eastAsia="Arial" w:hAnsi="Arial"/>
                <w:sz w:val="18"/>
                <w:szCs w:val="18"/>
                <w:color w:val="0000EE"/>
              </w:rPr>
              <w:t>Controls and Procedures</w:t>
            </w:r>
          </w:p>
        </w:tc>
        <w:tc>
          <w:tcPr>
            <w:tcW w:w="2800" w:type="dxa"/>
            <w:vAlign w:val="bottom"/>
            <w:gridSpan w:val="4"/>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480" w:type="dxa"/>
            <w:vAlign w:val="bottom"/>
            <w:gridSpan w:val="21"/>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410"/>
        </w:trPr>
        <w:tc>
          <w:tcPr>
            <w:tcW w:w="7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3"/>
          </w:tcPr>
          <w:p>
            <w:pPr>
              <w:jc w:val="center"/>
              <w:ind w:right="3480"/>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PART III.</w:t>
              </w:r>
            </w:hyperlink>
          </w:p>
        </w:tc>
        <w:tc>
          <w:tcPr>
            <w:tcW w:w="1460" w:type="dxa"/>
            <w:vAlign w:val="bottom"/>
          </w:tcPr>
          <w:p>
            <w:pPr>
              <w:spacing w:after="0"/>
              <w:rPr>
                <w:sz w:val="24"/>
                <w:szCs w:val="24"/>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5"/>
          </w:tcPr>
          <w:p>
            <w:pPr>
              <w:spacing w:after="0" w:line="195"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Directors, Executive Officers and Corporate Governance</w:t>
              </w:r>
            </w:hyperlink>
          </w:p>
        </w:tc>
        <w:tc>
          <w:tcPr>
            <w:tcW w:w="620" w:type="dxa"/>
            <w:vAlign w:val="bottom"/>
            <w:gridSpan w:val="2"/>
          </w:tcPr>
          <w:p>
            <w:pPr>
              <w:spacing w:after="0"/>
              <w:rPr>
                <w:sz w:val="16"/>
                <w:szCs w:val="16"/>
                <w:color w:val="auto"/>
              </w:rPr>
            </w:pPr>
          </w:p>
        </w:tc>
        <w:tc>
          <w:tcPr>
            <w:tcW w:w="720" w:type="dxa"/>
            <w:vAlign w:val="bottom"/>
            <w:tcBorders>
              <w:top w:val="single" w:sz="8" w:color="0000EE"/>
            </w:tcBorders>
            <w:gridSpan w:val="6"/>
          </w:tcPr>
          <w:p>
            <w:pPr>
              <w:spacing w:after="0"/>
              <w:rPr>
                <w:sz w:val="16"/>
                <w:szCs w:val="16"/>
                <w:color w:val="auto"/>
              </w:rPr>
            </w:pPr>
          </w:p>
        </w:tc>
        <w:tc>
          <w:tcPr>
            <w:tcW w:w="3820" w:type="dxa"/>
            <w:vAlign w:val="bottom"/>
            <w:gridSpan w:val="6"/>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line="195"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Executive Compensation</w:t>
              </w:r>
            </w:hyperlink>
          </w:p>
        </w:tc>
        <w:tc>
          <w:tcPr>
            <w:tcW w:w="7440" w:type="dxa"/>
            <w:vAlign w:val="bottom"/>
            <w:gridSpan w:val="20"/>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12.</w:t>
            </w:r>
          </w:p>
        </w:tc>
        <w:tc>
          <w:tcPr>
            <w:tcW w:w="7220" w:type="dxa"/>
            <w:vAlign w:val="bottom"/>
            <w:tcBorders>
              <w:bottom w:val="single" w:sz="8" w:color="0000EE"/>
            </w:tcBorders>
            <w:gridSpan w:val="27"/>
          </w:tcPr>
          <w:p>
            <w:pPr>
              <w:spacing w:after="0" w:line="195"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Security Ownership of Certain Beneficial Owners and Management and Related Stockholder Matters</w:t>
              </w:r>
            </w:hyperlink>
          </w:p>
        </w:tc>
        <w:tc>
          <w:tcPr>
            <w:tcW w:w="1980" w:type="dxa"/>
            <w:vAlign w:val="bottom"/>
            <w:gridSpan w:val="2"/>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13.</w:t>
            </w:r>
          </w:p>
        </w:tc>
        <w:tc>
          <w:tcPr>
            <w:tcW w:w="9200" w:type="dxa"/>
            <w:vAlign w:val="bottom"/>
            <w:gridSpan w:val="29"/>
          </w:tcPr>
          <w:p>
            <w:pPr>
              <w:spacing w:after="0" w:line="195"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Accounting Fees and Services</w:t>
              </w:r>
            </w:hyperlink>
          </w:p>
        </w:tc>
        <w:tc>
          <w:tcPr>
            <w:tcW w:w="3820" w:type="dxa"/>
            <w:vAlign w:val="bottom"/>
            <w:gridSpan w:val="6"/>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410"/>
        </w:trPr>
        <w:tc>
          <w:tcPr>
            <w:tcW w:w="7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PART IV.</w:t>
              </w:r>
            </w:hyperlink>
          </w:p>
        </w:tc>
        <w:tc>
          <w:tcPr>
            <w:tcW w:w="384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Item 15.</w:t>
            </w:r>
          </w:p>
        </w:tc>
        <w:tc>
          <w:tcPr>
            <w:tcW w:w="560" w:type="dxa"/>
            <w:vAlign w:val="bottom"/>
            <w:tcBorders>
              <w:bottom w:val="single" w:sz="8" w:color="0000EE"/>
            </w:tcBorders>
            <w:gridSpan w:val="2"/>
          </w:tcPr>
          <w:p>
            <w:pPr>
              <w:spacing w:after="0" w:line="195"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Exhibits</w:t>
              </w:r>
            </w:hyperlink>
          </w:p>
        </w:tc>
        <w:tc>
          <w:tcPr>
            <w:tcW w:w="8640" w:type="dxa"/>
            <w:vAlign w:val="bottom"/>
            <w:gridSpan w:val="27"/>
          </w:tcPr>
          <w:p>
            <w:pPr>
              <w:spacing w:after="0"/>
              <w:rPr>
                <w:sz w:val="16"/>
                <w:szCs w:val="16"/>
                <w:color w:val="auto"/>
              </w:rPr>
            </w:pP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451"/>
        </w:trPr>
        <w:tc>
          <w:tcPr>
            <w:tcW w:w="9960" w:type="dxa"/>
            <w:vAlign w:val="bottom"/>
            <w:gridSpan w:val="30"/>
          </w:tcPr>
          <w:p>
            <w:pPr>
              <w:spacing w:after="0"/>
              <w:rPr>
                <w:sz w:val="20"/>
                <w:szCs w:val="20"/>
                <w:color w:val="auto"/>
              </w:rPr>
            </w:pPr>
            <w:r>
              <w:rPr>
                <w:rFonts w:ascii="Arial" w:cs="Arial" w:eastAsia="Arial" w:hAnsi="Arial"/>
                <w:sz w:val="18"/>
                <w:szCs w:val="18"/>
                <w:color w:val="auto"/>
              </w:rPr>
              <w:t>SIGNATURES</w:t>
            </w:r>
          </w:p>
        </w:tc>
        <w:tc>
          <w:tcPr>
            <w:tcW w:w="1460" w:type="dxa"/>
            <w:vAlign w:val="bottom"/>
          </w:tcPr>
          <w:p>
            <w:pPr>
              <w:spacing w:after="0"/>
              <w:rPr>
                <w:sz w:val="24"/>
                <w:szCs w:val="24"/>
                <w:color w:val="auto"/>
              </w:rPr>
            </w:pPr>
          </w:p>
        </w:tc>
      </w:tr>
      <w:tr>
        <w:trPr>
          <w:trHeight w:val="390"/>
        </w:trPr>
        <w:tc>
          <w:tcPr>
            <w:tcW w:w="996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682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51"/>
        </w:trPr>
        <w:tc>
          <w:tcPr>
            <w:tcW w:w="9960" w:type="dxa"/>
            <w:vAlign w:val="bottom"/>
            <w:gridSpan w:val="30"/>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tcPr>
          <w:p>
            <w:pPr>
              <w:spacing w:after="0"/>
              <w:rPr>
                <w:sz w:val="24"/>
                <w:szCs w:val="24"/>
                <w:color w:val="auto"/>
              </w:rPr>
            </w:pPr>
          </w:p>
        </w:tc>
      </w:tr>
      <w:tr>
        <w:trPr>
          <w:trHeight w:val="390"/>
        </w:trPr>
        <w:tc>
          <w:tcPr>
            <w:tcW w:w="31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Index to Consolidated Financial Statements</w:t>
              </w:r>
            </w:hyperlink>
          </w:p>
        </w:tc>
        <w:tc>
          <w:tcPr>
            <w:tcW w:w="6820" w:type="dxa"/>
            <w:vAlign w:val="bottom"/>
            <w:gridSpan w:val="18"/>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51"/>
        </w:trPr>
        <w:tc>
          <w:tcPr>
            <w:tcW w:w="9960" w:type="dxa"/>
            <w:vAlign w:val="bottom"/>
            <w:gridSpan w:val="30"/>
          </w:tcPr>
          <w:p>
            <w:pPr>
              <w:spacing w:after="0"/>
              <w:rPr>
                <w:sz w:val="20"/>
                <w:szCs w:val="20"/>
                <w:color w:val="auto"/>
              </w:rPr>
            </w:pPr>
            <w:r>
              <w:rPr>
                <w:rFonts w:ascii="Arial" w:cs="Arial" w:eastAsia="Arial" w:hAnsi="Arial"/>
                <w:sz w:val="18"/>
                <w:szCs w:val="18"/>
                <w:color w:val="auto"/>
              </w:rPr>
              <w:t>EXHIBITS</w:t>
            </w:r>
          </w:p>
        </w:tc>
        <w:tc>
          <w:tcPr>
            <w:tcW w:w="1460" w:type="dxa"/>
            <w:vAlign w:val="bottom"/>
          </w:tcPr>
          <w:p>
            <w:pPr>
              <w:spacing w:after="0"/>
              <w:rPr>
                <w:sz w:val="24"/>
                <w:szCs w:val="24"/>
                <w:color w:val="auto"/>
              </w:rPr>
            </w:pPr>
          </w:p>
        </w:tc>
      </w:tr>
      <w:tr>
        <w:trPr>
          <w:trHeight w:val="390"/>
        </w:trPr>
        <w:tc>
          <w:tcPr>
            <w:tcW w:w="9960" w:type="dxa"/>
            <w:vAlign w:val="bottom"/>
            <w:gridSpan w:val="3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Index to Exhibits</w:t>
              </w:r>
            </w:hyperlink>
          </w:p>
        </w:tc>
        <w:tc>
          <w:tcPr>
            <w:tcW w:w="1460" w:type="dxa"/>
            <w:vAlign w:val="bottom"/>
          </w:tcPr>
          <w:p>
            <w:pPr>
              <w:spacing w:after="0"/>
              <w:rPr>
                <w:sz w:val="24"/>
                <w:szCs w:val="24"/>
                <w:color w:val="auto"/>
              </w:rPr>
            </w:pPr>
          </w:p>
        </w:tc>
      </w:tr>
      <w:tr>
        <w:trPr>
          <w:trHeight w:val="676"/>
        </w:trPr>
        <w:tc>
          <w:tcPr>
            <w:tcW w:w="76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 Technologies Incorporated (“TransAct” or the “Company”)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TransAct designs, develops and sells market-specific solutions, including printers, terminals, software and other products for transaction-based and other industries. These world-class products are sold under the Epic, EPICENTRAL®, Ithaca®, RESPONDER®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mobile printing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have one primary operating,global research and development and eastern region service center located in Ithaca, NY. In addition, we have a casino and gaming sales headquarters and western region service center in Las Vegas, NV, a sales and service center for the oil and gas industry in Houston, TX, a European sales and service center in the United Kingdom, a sales office located in Macau and two other sales offices located in the United States. Our executive offices are located at One Hamden Center, 2319 Whitney Avenue, Suite 3B, Hamden, CT, 06518, with a telephone number of (203) 859-6800.</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19, 2011, we completed the acquisition of Printrex, Inc. (“Printrex”) for $4,000,000 in cash and potential future contingent consideration. Printrex is a leading manufacturer of specialty printers primarily sold into the oil and gas exploration and medical and mobile printing markets. Printrex serves commercial and industrial customers primarily in the United States, Canada, Europe and Asia. This acquisition was completed to complement our existing product offerings.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one reportable segment, the design, development, assembly and marketing of transaction printers and terminals and providing related software, services, supplies and spare parts. Information about our net sales, gross profit and assets can be found in our Consolidated Financial Statements on pages F-3 and F-4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Printers and terminals</w:t>
      </w:r>
    </w:p>
    <w:p>
      <w:pPr>
        <w:spacing w:after="0" w:line="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TransAct designs, develops, assembles and markets a broad array of transaction-based and specialty printers and terminals utilizing inkjet, thermal and impact printing technology for applications, primarily in the food safety, banking and POS, casino and gaming, lottery, oil and gas, medical and mobile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In addition to our configurable printers and terminals, we design and assemble custom printers for certain OEM customers. In collaboration with these customers, we provide engineering and manufacturing expertise for the design and development of specialized printers.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Food safety, banking and POS: </w:t>
      </w:r>
      <w:r>
        <w:rPr>
          <w:rFonts w:ascii="Arial" w:cs="Arial" w:eastAsia="Arial" w:hAnsi="Arial"/>
          <w:sz w:val="18"/>
          <w:szCs w:val="18"/>
          <w:color w:val="auto"/>
        </w:rPr>
        <w:t>During 2012 in an effort to address the Food Safety Modernization Act, we developed a food safety terminal, a hardware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that consists of a touchscreen and one or two thermal print mechanisms, that prints easy-to-read expiration and "enjoy by" date labels to help restaurants effectively manage food rotation and spoilage. In the food safety market, we use an internal sales representative to manage sales of our terminals through distribution, as well as a dedicated internal sales force to solicit sales directly from end-users.</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banking and POS printers include hundreds of optional configurations that can be selected to meet particular customer needs. We believe that this is a significant competitive strength, as it allows us to satisfy a wide variety of printing applications that our customers request. In the banking market, we sell printers that are used by banks, credit unions and other financial institutions to print receipts and/ or validate checks at bank teller stations. In the POS market, we sell several models of printers utilizing inkjet, thermal and impact printing technology. Our printers are used primarily by retailers in the restaurant (including fine dining, casual dining, and fast food), hospitality, and specialty retail industries to print receipts for consumers, validate checks, or print on linerless labels or other inserted media.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primarily sell our products directly to end-user banks and financial institutions through the use of our internal sales force.</w:t>
      </w:r>
    </w:p>
    <w:p>
      <w:pPr>
        <w:spacing w:after="0" w:line="200" w:lineRule="exact"/>
        <w:rPr>
          <w:sz w:val="20"/>
          <w:szCs w:val="20"/>
          <w:color w:val="auto"/>
        </w:rPr>
      </w:pP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We supply lottery printers to Lottomattica’s GTECH Corporation (“GTECH”), our largest customer and the world’s largest provider of lottery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terminals. These printers are designed for high-volume, high-speed printing of lottery tickets for various lottery applications. Sales of our lottery products are made directly to GTECH and managed by an internal sales representative.</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(“racinos”) and other gaming venues worldwide. These printers utilize thermal printing technology and can print tickets or receipts in monochrome or two-color (depending upon the model), and offer various other features such as jam resistant bezels and a dual port interface that enables casinos to print coupons and promotions. In addition, we sell printers using thermal printing technology for use in non-casino establishments, including game types such as Amusements with Prizes (“AWP”), Skills with Prizes (“SWP”), Fixed Odds Betting Terminals (“FOBT”) and other off-premise gaming type machines around the world. We sell our products primarily to (1) slot machine manufacturers, who incorporate our printers into slot machines and, in turn, sell completed slot machines directly to casinos and other gaming establishments and (2) through our primary worldwide distributor, Suzo-Happ Group. We also maintain a dedicated internal sales force to solicit sales from slot manufacturers and casinos, as well as to manage sales through our distributor.</w:t>
      </w:r>
    </w:p>
    <w:p>
      <w:pPr>
        <w:sectPr>
          <w:pgSz w:w="11900" w:h="16838" w:orient="portrait"/>
          <w:cols w:equalWidth="0" w:num="1">
            <w:col w:w="11420"/>
          </w:cols>
          <w:pgMar w:left="240" w:top="511"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87630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515" w:right="1440" w:bottom="1440" w:gutter="0" w:footer="0" w:header="0"/>
        </w:sectPr>
      </w:pPr>
    </w:p>
    <w:bookmarkStart w:id="5" w:name="page6"/>
    <w:bookmarkEnd w:id="5"/>
    <w:p>
      <w:pPr>
        <w:jc w:val="both"/>
        <w:spacing w:after="0" w:line="229" w:lineRule="auto"/>
        <w:rPr>
          <w:sz w:val="20"/>
          <w:szCs w:val="20"/>
          <w:color w:val="auto"/>
        </w:rPr>
      </w:pPr>
      <w:r>
        <w:rPr>
          <w:rFonts w:ascii="Arial" w:cs="Arial" w:eastAsia="Arial" w:hAnsi="Arial"/>
          <w:sz w:val="16"/>
          <w:szCs w:val="16"/>
          <w:color w:val="auto"/>
        </w:rPr>
        <w:t>We also offer a software solution, the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 With EPICENTRAL</w:t>
      </w:r>
      <w:r>
        <w:rPr>
          <w:rFonts w:ascii="Arial" w:cs="Arial" w:eastAsia="Arial" w:hAnsi="Arial"/>
          <w:sz w:val="22"/>
          <w:szCs w:val="22"/>
          <w:color w:val="auto"/>
          <w:vertAlign w:val="superscript"/>
        </w:rPr>
        <w:t>TM</w:t>
      </w:r>
      <w:r>
        <w:rPr>
          <w:rFonts w:ascii="Arial" w:cs="Arial" w:eastAsia="Arial" w:hAnsi="Arial"/>
          <w:sz w:val="16"/>
          <w:szCs w:val="16"/>
          <w:color w:val="auto"/>
        </w:rPr>
        <w:t>, casinos can utilize the system to create multiple promotions and incentives to either increase customer time spent on the casino floor or encourage additional visits to generate more revenue to the casinos.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color w:val="auto"/>
        </w:rPr>
        <w:t>Printrex printers include wide format, rack mounted and vehicle mounted thermal printers used by customers to log and plot oil field and down hole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drilling data in the oil and gas exploration industry. During 2012, we launched two new color printers for this market, the Printrex 920 and Printrex</w:t>
      </w:r>
    </w:p>
    <w:p>
      <w:pPr>
        <w:jc w:val="both"/>
        <w:ind w:firstLine="8"/>
        <w:spacing w:after="0" w:line="285" w:lineRule="auto"/>
        <w:tabs>
          <w:tab w:leader="none" w:pos="42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Printrex 920 is the first full-color printer designed from the ground up to perform in the adverse environment of a well logging truck or off-shore platform. Using thermal printer technology, it can print in black and white, or in full color using proprietary color paper, without the need for inkjet cartridges or ribbons. The Printrex 980 is the fastest full color printer available for plotting continuous logs in the data centers of the large oil field service companies. This printer uses proprietary inkjet cartridges. In 2015, we expect to launch the Responder MP2™, our first printer for the large machine-to-machine (M2M) vertical market. The Responder MP2™ is an all-in-one mobile printing solution for a number of vehicles, including fire, police, EMS, insurance, public utilities and delivery. In addition, we sell wide format thermal printers used to print test results in ophthalmology devices in the medical industry, as well as vehicle mounted printers used to print schematics and certain other critical information in emergency services vehicles and other mobile printing applications. We primarily sell our Printrex products directly to oil field service and drilling companies and OEM’s, as well as through regional distributors in the United States, Europe, Canada and Asia. We also maintain a dedicated internal sales force with a sales office located in Houston, Texas.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TSG:</w:t>
      </w:r>
      <w:r>
        <w:rPr>
          <w:rFonts w:ascii="Arial" w:cs="Arial" w:eastAsia="Arial" w:hAnsi="Arial"/>
          <w:sz w:val="16"/>
          <w:szCs w:val="16"/>
          <w:color w:val="auto"/>
        </w:rPr>
        <w:t>Through TSG, we proactively market the sale of consumable products (including inkjet cartridges, ribbons, receipt paper, color thermal paper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w:t>
      </w:r>
      <w:r>
        <w:rPr>
          <w:rFonts w:ascii="Arial" w:cs="Arial" w:eastAsia="Arial" w:hAnsi="Arial"/>
          <w:sz w:val="22"/>
          <w:szCs w:val="22"/>
          <w:color w:val="auto"/>
          <w:vertAlign w:val="superscript"/>
        </w:rPr>
        <w:t>SM</w:t>
      </w:r>
      <w:r>
        <w:rPr>
          <w:rFonts w:ascii="Arial" w:cs="Arial" w:eastAsia="Arial" w:hAnsi="Arial"/>
          <w:sz w:val="16"/>
          <w:szCs w:val="16"/>
          <w:color w:val="auto"/>
        </w:rPr>
        <w:t>, and other repair services for our printers. Within the United States, we provide repair services through our eastern region service center in Ithaca, NY, our western region service center in Las Vegas, NV and our oil and gas industry service center in Houston, TX. Internationally, we provide repair services through our European service center located in Doncaster, United Kingdom, and through partners strategically located around the world.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our services.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design our products to optimize product performance, quality, reliability and durability. These designs combine cost efficient materials, sourcing and assembly methods with high standards of workmanship. Approximately 95% of our printer production is primarily through one third-party contract manufacturer in Asia and to a lesser extent one other in Asia and one in Mexico. The remaining 5% of our products are assembled in our Ithaca, NY facility largely on a configure-to-order basis using components and subassemblies that have been sourced from vendors and contract manufacturers around the world.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procure component parts and subassemblies for use in the assembly of our products in Ithaca, NY. Critical component parts and subassemblies include inkjet, thermal and impact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purchases of component parts have declined while purchases of fully-assembled printers produced by our contract manufacturers have increased. We typically strive to maintain more than one source for our component parts, subassemblies and fully assembled printers to reduce the risk of parts shortages or unavailability. However, we could experience temporary disruption if certain suppliers ceased doing business with us, as described below.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buy substantially all of our thermal print mechanisms, an important component of our thermal printers, and fully assembled printers for several of our printer models, from one foreign contract manufacturer, and to a much lesser extent, two other foreign contract manufacturers. Although we believe that other contract manufacturers could provide similar thermal print mechanisms or fully assembled printers, on comparable terms, a change in contract manufacturers could cause a delay in manufacturing and possible loss of sales, which may have a material adverse effect on our operating results. Although we do not have a supply agreement with our foreign contract manufacturers, our relationship with them remains strong and we have no reason to believe that they will discontinue their supply of thermal print mechanisms to us during 2015 or that their terms to us will be any less favorable than they have been historically.</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Hewlett-Packard Company (“HP”) is the sole supplier of inkjet cartridges that are used in all of our banking inkjet printers. In addition, we also sell a substantial number of HP inkjet cartridges as a consumable product through TSG. Although other inkjet cartridges that are compatible with our banking inkjet printers are available, the loss of the supply of HP inkjet cartridges could have a material adverse effect on both the sale of our inkjet printers and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banking and POS market, but also in other manufacturer’s printing devices across several other markets.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ZINK Imaging Inc. (“ZINK”) is the sole supplier of proprietary color thermal paper used in our Printrex 920 oil and gas printer. We had a supply agreement with ZINK to exclusively supply us with ZINK color thermal paper for the oil and gas industry at fixed prices through December 31, 2014. We plan to renew this agreement during 2015. The loss of the supply of ZINK color thermal paper would have a material adverse effect on the sale of Printrex 920 printers and ZINK color thermal paper.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2017. Prices under this agreement were fixed through May 2013, but may be changed during the remainder of the agreement if the exchange rate fluctuates significantly between the Japanese yen and the U.S. dollar.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TransAct relies on a combination of trade secrets, patents, employee and third party nondisclosure agreements, copyright laws and contractual rights to establish and protect its proprietary rights in its products. We hold 29 United States and 30 foreign patents and have 8 United States and 12 foreign patent applications pending pertaining to our products. The duration of these patents range from 3 to 17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Restaurants typically reduce purchases of new food safety equipment in the fourth quarter due to the increased volume of transactions in that holiday period.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spacing w:after="0" w:line="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GTECH has been our most significant customer. In December 2009, we signed a new five-year agreement effective November 20, 2009, with GTECH (the “GTECH Thermal Printer Agreement”). Under the terms of the agreement, we provide GTECH with their latest generation thermal lottery printers for various lottery applications. The terms of the agreement require that GTECH exclusively purchase all of its requirements for thermal on-line lottery printers from us and that we exclusively sell such printers to GTECH through May 8, 2015. We are currently in negotiations with GTECH to extend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Sales to GTECH and other customers representing 10% or more of our total net sales were as follows:</w:t>
      </w:r>
    </w:p>
    <w:p>
      <w:pPr>
        <w:spacing w:after="0" w:line="25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GTECH</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Eurocoin Ltd.</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backlog of firm orders was approximately $11,356,000 as of February 27, 2015, compared to $4,778,000 as of February 28, 2014. Based on customers’ current delivery requirements, we expect to ship our entire current backlog during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market for transaction-based and specialty printing solutions is extremely competitive, and we expect such competition to continue in the future. We compete with a number of companies, many of which have greater financial, technical and marketing resources than us.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food safety market, we compete with Avery Dennison Corporation, Ecolab Inc. and Integrated Control Corp. We compete in this market based largely on our ability to provide highly specialized products, custom engineering and ongoing technical support.</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banking and POS market, our major competitor is Epson America, Inc., which holds a dominant market position of the POS markets into which we sell. We also compete, to a much lesser extent, with CognitiveTPG, Star Micronics America, Inc., Citizen -- CBM America Corporation, Pertech Industries, Inc., Addmaster, and Samsung/Bixolon. Certain competitors of ours have greater financial resources, lower costs attributable to higher volume production and sometimes offer lower prices than us.</w:t>
      </w:r>
    </w:p>
    <w:p>
      <w:pPr>
        <w:spacing w:after="0" w:line="21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the casino and gaming market (consisting principally of slot machine and video lottery terminal transaction printing and promotional coupon printing), we compete with several companies including FutureLogic, Inc., Nanoptix, Inc., Custom Engineering SPA and others. Certain of our products sold for casino and gaming applications compete based upon our ability to provide highly specialized products, custom engineering and ongoing technical support.</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the lottery market (consisting principally of on-line lottery transaction printing), we hold a leading position, based largely on our long-term purchase agreement with GTECH. We compete in this market based solely on our ability to provide specialized, custom-engineered products to GTECH.</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Printrex market, we compete with the Imaging Systems Group, Inc. (“iSys”), Neuralog Inc., GSI Group and others. We compete in this market based largely on our ability to provide specialized, custom-engineered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805"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TSG business is highly fragmented, and we compete with numerous competitors of various sizes, including POS and internet resellers, depending on the geographic area.</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strategy for competing in our markets is to continue to develop new products (hardware and software) and product line extensions, to increase our geographic market penetration, to take advantage of strategic relationships, and to lower product costs by sourcing certain products overseas. Although we believe that our products, operations and relationships provide a competitive foundation, there can be no assurance that we will compete successfully in the future. In addition, our products utilize certain inkjet, thermal and impact printing technology.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would have a significant negative impact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Research, development, and engineering expenditures represent costs incurred in the experimental or laboratory sense aimed at discovery and/or application of new knowledge in developing a new product or process, or in bringing about significant improvement in an existing product or process. We spent approximately $4,302,000, $4,065,000, and $4,239,000 in 2014, 2013 and 2012, respectively, on engineering, design and product development efforts in connection with specialized engineering and design to introduce new hardware and software products and to customize or improve existing products.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sale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 which enables casino customers to print coupons and promotions at the slot machine. Unamortized development costs for such software were approximately $169,000 and $370,000 as of December 31, 2014 and 2013, respectively. The total amount charged to cost of sales for capitalized software development costs were approximately $201,000, $199,000, and $189,000 in 2014, 2013 and 2012,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2014, TransAct and our subsidiaries employed 129 persons, all of whom were full-time employees. None of our employees are unionized, and we consider our relationships with our employees to be good.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For financial information regarding our geographic areas see Note 16 – Geographic Area Information in the Notes to the Consolidated Financial Statements. Risks related to our foreign operations are described in Item 1A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 of their respective owners. The trademarks we own include TransAct®, EPICENTRAL®, Ithaca®, RESPONDER®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make available free of charge through our internet website, </w:t>
      </w:r>
      <w:r>
        <w:rPr>
          <w:rFonts w:ascii="Arial" w:cs="Arial" w:eastAsia="Arial" w:hAnsi="Arial"/>
          <w:sz w:val="17"/>
          <w:szCs w:val="17"/>
          <w:b w:val="1"/>
          <w:bCs w:val="1"/>
          <w:u w:val="single" w:color="auto"/>
          <w:color w:val="auto"/>
        </w:rPr>
        <w:t>www.transact-tech.com</w:t>
      </w:r>
      <w:r>
        <w:rPr>
          <w:rFonts w:ascii="Arial" w:cs="Arial" w:eastAsia="Arial" w:hAnsi="Arial"/>
          <w:sz w:val="17"/>
          <w:szCs w:val="17"/>
          <w:color w:val="auto"/>
        </w:rPr>
        <w:t>, our annual report on Form 10-K, quarterly reports on Form 10-Q, current reports on Form 8-K, and all amendments to those reports as soon as reasonably practicable after such material is electronically filed with or furnished to the Securities and Exchange Commission (“SEC”). You may read and copy any materials filed with the SEC at the SEC’s Public Reference Room at 100 F Street, NE, Washington, DC 20549. You may obtain information on the operation of the Public Reference Room by calling the SEC at 1-800-SEC-0330. This information is also available at www.sec.gov. The reference to these website addresses does not constitute incorporation by reference of the information contained on the websites and should not be considered part of this document.</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Code of Business Conduct that includes our code of ethics that is applicable to all employees, including our Chief Executive Officer, Chief Financial Officer and Controller. This Code, which requires continued observance of high ethical standards such as honesty, integrity and compliance with the law in the conduct of our business, is available for public access on our internet website. Any person may request a copy of our Code of Business Conduct free of charge by calling (203) 859-6800.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now or that we currently deem immaterial may also impair our business operations.</w:t>
      </w:r>
    </w:p>
    <w:p>
      <w:pPr>
        <w:spacing w:after="0" w:line="21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220" w:lineRule="exact"/>
        <w:rPr>
          <w:sz w:val="20"/>
          <w:szCs w:val="20"/>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printers;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products and consumables and the generation of sales from those products;</w:t>
      </w:r>
    </w:p>
    <w:p>
      <w:pPr>
        <w:spacing w:after="0" w:line="31" w:lineRule="exact"/>
        <w:rPr>
          <w:rFonts w:ascii="Arial" w:cs="Arial" w:eastAsia="Arial" w:hAnsi="Arial"/>
          <w:sz w:val="16"/>
          <w:szCs w:val="16"/>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9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success of newer products such as the Ithaca® 9700 food safety terminal and the Printrex® 920 and Printrex® 980 oil and gas color printers is dependent on how quickly customers in the related markets accept them given the very little market penetration these products have experienced since they are new and innovative and have limited competition. Additionally, the success of innovative technology, such as printing coupons and promotions at the slot machine using EPICENTRAL™, is dependent on our casino customers' acceptance of such technology. While we have designed EPICENTRAL™ to support our customers' existing investment in our Epic 950® thermal casino printers, such acceptance may nevertheless only build gradually over time or not at all. Delays in acceptance by our customers of new technologies may adversely affect our operations.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6"/>
          <w:szCs w:val="16"/>
          <w:color w:val="auto"/>
        </w:rPr>
        <w:t>Third parties may claim that we violated their intellectual property rights. To the extent of a violation of a third 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 Refer to Item 3. “Legal Proceedings” for discussion surrounding litigation we were involved in regarding alleged misappropriation of unspecified trade secrets and confidential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Global economic growth has slowed and has resulted in recessions in numerous countries, including many of those in North America, Europe and Asia, where the Company does substantially all of its business. If these economic conditions continue to persist, or if they worsen, a number of negative effects on our business could result, including customers or potential customers reducing or delaying orders, the insolvency of key suppliers which could result in production delays, the inability of customers to obtain credit, and the insolvency of one or more customers. Any of these effects could impact our ability to effectively manage inventory levels and collect receivables, create unabsorbed costs due to lower net sales, and ultimately decrease our net sales and profitability including write-downs of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resellers to sell our products and services.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use a variety of distribution channels, including OEMs and distributors, to market our products. We may be adversely impacted by any conflicts that could arise between and among our various sales channels.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resellers exposes us to numerous risks, including:</w:t>
      </w:r>
    </w:p>
    <w:p>
      <w:pPr>
        <w:spacing w:after="0" w:line="250"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resellers’ financial condition deteriorate;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resellers leveraging their buying power to change the terms of pricing, payment and product delivery schedules;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competition should a reseller decide to manufacture printers internally or source printers from a competitor.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outsourced a large portion of the assembly of our printers to four contract manufacturers and will be dependent on them for the manufacturing of such printers. A failure by these contract manufacturers, or any disruption in such manufacturing or the flow of product from these manufacturers, may adversely affect our business results.</w:t>
      </w:r>
    </w:p>
    <w:p>
      <w:pPr>
        <w:jc w:val="both"/>
        <w:spacing w:after="0" w:line="288" w:lineRule="auto"/>
        <w:rPr>
          <w:sz w:val="20"/>
          <w:szCs w:val="20"/>
          <w:color w:val="auto"/>
        </w:rPr>
      </w:pPr>
      <w:r>
        <w:rPr>
          <w:rFonts w:ascii="Arial" w:cs="Arial" w:eastAsia="Arial" w:hAnsi="Arial"/>
          <w:sz w:val="17"/>
          <w:szCs w:val="17"/>
          <w:color w:val="auto"/>
        </w:rPr>
        <w:t>In an effort to achieve additional cost savings and operation benefits, we have continued to outsource the manufacturing and assembly of our printers to contract manufacturers in Asia. Approximately 80% of our printer manufacturing is conducted by one third party manufacturer in Asia.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develop and implement our outsourcing strategy, we may not realize cost structure efficiencies and our operating and financial results could be materially adversely affected.</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27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273"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i w:val="1"/>
          <w:iCs w:val="1"/>
          <w:color w:val="auto"/>
        </w:rPr>
        <w:t xml:space="preserve">Political, social or economic instability in regions in which our manufacturers are located, could cause disruptions in trade, including exports to the U.S. </w:t>
      </w:r>
      <w:r>
        <w:rPr>
          <w:rFonts w:ascii="Arial" w:cs="Arial" w:eastAsia="Arial" w:hAnsi="Arial"/>
          <w:sz w:val="16"/>
          <w:szCs w:val="16"/>
          <w:color w:val="auto"/>
        </w:rPr>
        <w:t>A significant portion of our printers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74"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trade law provisions or regulations;</w:t>
      </w:r>
    </w:p>
    <w:p>
      <w:pPr>
        <w:spacing w:after="0" w:line="22"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w:t>
      </w: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duties, tariffs and other charges on imports and exports;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labor disputes, such as dock strikes;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or political instability in any of the countries in which our printers are manufactured.</w:t>
      </w:r>
    </w:p>
    <w:p>
      <w:pPr>
        <w:spacing w:after="0" w:line="2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disruption in the supply of such component parts and consumable products could have a material adverse effect on our operations and financial results.</w:t>
      </w:r>
    </w:p>
    <w:p>
      <w:pPr>
        <w:spacing w:after="0" w:line="25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213"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 and</w:t>
      </w:r>
    </w:p>
    <w:p>
      <w:pPr>
        <w:spacing w:after="0" w:line="8" w:lineRule="exact"/>
        <w:rPr>
          <w:rFonts w:ascii="Arial" w:cs="Arial" w:eastAsia="Arial" w:hAnsi="Arial"/>
          <w:sz w:val="18"/>
          <w:szCs w:val="18"/>
          <w:color w:val="auto"/>
        </w:rPr>
      </w:pPr>
    </w:p>
    <w:p>
      <w:pPr>
        <w:ind w:left="660" w:hanging="330"/>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0" w:name="page11"/>
    <w:bookmarkEnd w:id="10"/>
    <w:p>
      <w:pPr>
        <w:jc w:val="both"/>
        <w:spacing w:after="0" w:line="300"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sales to one large customer will continue to represent a material percentage of our net sales for the foreseeable future.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intend to pursue a growth strategy. Assuming this growth occurs, it will require the expansion of distribution relationships in international markets, the successful development and marketing of new products for our existing and new markets, expanded customer service and support, and the continued implementation and improvement of our operational, financial and management information systems.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188" w:lineRule="exact"/>
        <w:rPr>
          <w:sz w:val="20"/>
          <w:szCs w:val="20"/>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939"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 secrets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47" w:lineRule="exact"/>
        <w:rPr>
          <w:sz w:val="20"/>
          <w:szCs w:val="20"/>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addition, the stock market has experienced significant price fluctuations in recent years. Broad market fluctuations, general economic conditions and specific conditions in the industries in which we operate may adversely affect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capital stock may contribute to its price volatility.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common stock is traded on the NASDAQ Global Market. During the year ended December 31, 2014, the average daily trading volume for our common stock as reported by the NASDAQ Global Market was approximately 24,000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computer software costs may not be recoverable.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Sheets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To the extent technological feasibility of products is not achieved, related capitalized computer software costs may not be recoverable.</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or in the gaming industry in particular could reduce demand for our products and adversely affect our business and results of operations. In addition, heightened security measures may cause certain governments to restrict the import/export of goods, which may have an adverse effect on our ability to buy/sell goods.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2" w:name="page13"/>
    <w:bookmarkEnd w:id="12"/>
    <w:p>
      <w:pPr>
        <w:jc w:val="both"/>
        <w:spacing w:after="0" w:line="262"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Our principal facilities as of December 31, 2014 are listed below and we believe that all facilities generally are in good condition, adequately maintained and suitable for their present and currently contemplated uses.</w:t>
      </w:r>
    </w:p>
    <w:tbl>
      <w:tblPr>
        <w:tblLayout w:type="fixed"/>
        <w:tblInd w:w="0" w:type="dxa"/>
        <w:tblCellMar>
          <w:top w:w="0" w:type="dxa"/>
          <w:left w:w="0" w:type="dxa"/>
          <w:bottom w:w="0" w:type="dxa"/>
          <w:right w:w="0" w:type="dxa"/>
        </w:tblCellMar>
      </w:tblPr>
      <w:tr>
        <w:trPr>
          <w:trHeight w:val="197"/>
        </w:trPr>
        <w:tc>
          <w:tcPr>
            <w:tcW w:w="23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197" w:lineRule="exact"/>
              <w:rPr>
                <w:sz w:val="20"/>
                <w:szCs w:val="20"/>
                <w:color w:val="auto"/>
              </w:rPr>
            </w:pPr>
            <w:r>
              <w:rPr>
                <w:rFonts w:ascii="Arial" w:cs="Arial" w:eastAsia="Arial" w:hAnsi="Arial"/>
                <w:sz w:val="18"/>
                <w:szCs w:val="18"/>
                <w:b w:val="1"/>
                <w:bCs w:val="1"/>
                <w:color w:val="auto"/>
                <w:w w:val="83"/>
              </w:rPr>
              <w:t>Size</w:t>
            </w: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5"/>
        </w:trPr>
        <w:tc>
          <w:tcPr>
            <w:tcW w:w="23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(Approx. Sq.</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Owned or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Lease Expiration</w:t>
            </w:r>
          </w:p>
        </w:tc>
      </w:tr>
      <w:tr>
        <w:trPr>
          <w:trHeight w:val="240"/>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4940" w:type="dxa"/>
            <w:vAlign w:val="bottom"/>
            <w:tcBorders>
              <w:bottom w:val="single" w:sz="8" w:color="auto"/>
            </w:tcBorders>
          </w:tcPr>
          <w:p>
            <w:pPr>
              <w:ind w:left="1780"/>
              <w:spacing w:after="0"/>
              <w:rPr>
                <w:sz w:val="20"/>
                <w:szCs w:val="20"/>
                <w:color w:val="auto"/>
              </w:rPr>
            </w:pPr>
            <w:r>
              <w:rPr>
                <w:rFonts w:ascii="Arial" w:cs="Arial" w:eastAsia="Arial" w:hAnsi="Arial"/>
                <w:sz w:val="18"/>
                <w:szCs w:val="18"/>
                <w:b w:val="1"/>
                <w:bCs w:val="1"/>
                <w:color w:val="auto"/>
              </w:rPr>
              <w:t>Operations Conducted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Ft.)</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Leased</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Hamden, Connecticut</w:t>
            </w: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offices and Printrex and TSG sales office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23, 2017</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Ithaca, New York</w:t>
            </w:r>
          </w:p>
        </w:tc>
        <w:tc>
          <w:tcPr>
            <w:tcW w:w="4940" w:type="dxa"/>
            <w:vAlign w:val="bottom"/>
          </w:tcPr>
          <w:p>
            <w:pPr>
              <w:ind w:left="360"/>
              <w:spacing w:after="0"/>
              <w:rPr>
                <w:sz w:val="20"/>
                <w:szCs w:val="20"/>
                <w:color w:val="auto"/>
              </w:rPr>
            </w:pPr>
            <w:r>
              <w:rPr>
                <w:rFonts w:ascii="Arial" w:cs="Arial" w:eastAsia="Arial" w:hAnsi="Arial"/>
                <w:sz w:val="18"/>
                <w:szCs w:val="18"/>
                <w:color w:val="auto"/>
              </w:rPr>
              <w:t>Global engineering, design, assembly and service facility</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73,900</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May 31, 2016</w:t>
            </w: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center and casino and gaming sales office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2016</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Doncaster, United Kingdom</w:t>
            </w:r>
          </w:p>
        </w:tc>
        <w:tc>
          <w:tcPr>
            <w:tcW w:w="4940" w:type="dxa"/>
            <w:vAlign w:val="bottom"/>
          </w:tcPr>
          <w:p>
            <w:pPr>
              <w:ind w:left="360"/>
              <w:spacing w:after="0"/>
              <w:rPr>
                <w:sz w:val="20"/>
                <w:szCs w:val="20"/>
                <w:color w:val="auto"/>
              </w:rPr>
            </w:pPr>
            <w:r>
              <w:rPr>
                <w:rFonts w:ascii="Arial" w:cs="Arial" w:eastAsia="Arial" w:hAnsi="Arial"/>
                <w:sz w:val="18"/>
                <w:szCs w:val="18"/>
                <w:color w:val="auto"/>
              </w:rPr>
              <w:t>Sales office and service center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August 1, 2016</w:t>
            </w: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Houston, Texas</w:t>
            </w: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office and service center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30, 2015</w:t>
            </w: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Georgia and New York</w:t>
            </w:r>
          </w:p>
        </w:tc>
        <w:tc>
          <w:tcPr>
            <w:tcW w:w="4940" w:type="dxa"/>
            <w:vAlign w:val="bottom"/>
          </w:tcPr>
          <w:p>
            <w:pPr>
              <w:ind w:left="360"/>
              <w:spacing w:after="0"/>
              <w:rPr>
                <w:sz w:val="20"/>
                <w:szCs w:val="20"/>
                <w:color w:val="auto"/>
              </w:rPr>
            </w:pPr>
            <w:r>
              <w:rPr>
                <w:rFonts w:ascii="Arial" w:cs="Arial" w:eastAsia="Arial" w:hAnsi="Arial"/>
                <w:sz w:val="18"/>
                <w:szCs w:val="18"/>
                <w:color w:val="auto"/>
              </w:rPr>
              <w:t>Two regional sales offices</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Various</w:t>
            </w:r>
          </w:p>
        </w:tc>
      </w:tr>
      <w:tr>
        <w:trPr>
          <w:trHeight w:val="222"/>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Macau, China</w:t>
            </w: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office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r>
      <w:tr>
        <w:trPr>
          <w:trHeight w:val="230"/>
        </w:trPr>
        <w:tc>
          <w:tcPr>
            <w:tcW w:w="2380" w:type="dxa"/>
            <w:vAlign w:val="bottom"/>
            <w:tcBorders>
              <w:top w:val="single" w:sz="8" w:color="CCEEFF"/>
            </w:tcBorders>
          </w:tcPr>
          <w:p>
            <w:pPr>
              <w:spacing w:after="0"/>
              <w:rPr>
                <w:sz w:val="19"/>
                <w:szCs w:val="19"/>
                <w:color w:val="auto"/>
              </w:rPr>
            </w:pPr>
          </w:p>
        </w:tc>
        <w:tc>
          <w:tcPr>
            <w:tcW w:w="4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103,330</w:t>
            </w: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“AD Lawsuit”). The complaint alleged that this former employee and the Company misappropriated unspecified trade secrets and confidential information from AD related to the design of our food safety terminals. The complaint requested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the Company opposed this request. On October 15, 2013, the Eleventh District Court of Appeals affirmed the lower court’s decision in the Company’s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the Company filed its answer, affirmative defenses and counterclaims with respect to the amended complaint, seeking all available damages including legal fees. On January 30, 2015, the Company filed a motion for summary judgment seeking judgment in favor of the Company on all counts as to the Company. On the same day, AD filed two motions for partial summary judgment. On February 17, 2015, the Company opposed both of AD’s motions, and AD opposed the Company’s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the Company agreed to pay AD $3,600,000 payable on or before April 8, 2015 and also to qualify certain AD labels for use on the Company’s food safety terminals at an estimated cost of $25,000. The Company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traded on the NASDAQ Global Market under the symbol TACT. As of February 27, 2015, there were 379 holders of record of the common stock. The high and low bid sales prices of the common stock reported during each quarter of the years ended December 31, 2014 and 2013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8"/>
              </w:rPr>
              <w:t>Year Ended</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Year Ended</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88"/>
              </w:rPr>
              <w:t>December 31, 2014</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rPr>
                <w:sz w:val="19"/>
                <w:szCs w:val="19"/>
                <w:color w:val="auto"/>
              </w:rPr>
            </w:pPr>
          </w:p>
        </w:tc>
      </w:tr>
      <w:tr>
        <w:trPr>
          <w:trHeight w:val="222"/>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High</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Low</w:t>
            </w:r>
          </w:p>
        </w:tc>
        <w:tc>
          <w:tcPr>
            <w:tcW w:w="20" w:type="dxa"/>
            <w:vAlign w:val="bottom"/>
          </w:tcPr>
          <w:p>
            <w:pPr>
              <w:spacing w:after="0"/>
              <w:rPr>
                <w:sz w:val="19"/>
                <w:szCs w:val="19"/>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Second Quarter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9.12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6.45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Fourth Quarter</w:t>
            </w:r>
          </w:p>
        </w:tc>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5.19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9"/>
                <w:szCs w:val="19"/>
                <w:color w:val="auto"/>
              </w:rPr>
            </w:pPr>
          </w:p>
        </w:tc>
      </w:tr>
    </w:tbl>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$2,556,000 or $0.31 per share and $2,317,000 or $0.27 per share, in 2014 and 2013, respectively . On February 4, 2015, our Board of Directors approved the first quarter 2015 dividend in the amount of $0.08 per share payable on or about March 13, 2015 to common shareholders of record at the close of business on February 20, 2015.</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August 11, 2014, our Board of Directors approved a new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On November 3, 2014, our Board of Directors modified the Stock Repurchase Program to include the repurchase of up to $4,000,000 of the Company’s outstanding shares through April 30, 2015 pursuant to a Rule 10b5-1 trading plan though our Board ended this trading plan effective March 31, 2015. We use the cost method to account for treasury stock purchases, under which the price paid for the stock is charged to the treasury stock account. Repurchases of our common stock are accounted for as of the settlement date. From August 11, 2014 through December 31, 2014, we purchased 434,998 shares of our common stock for approximately $2,634,000 at an average price per share of $6.06. In 2013, under a prior purchase program and an open market transaction, we purchased 604,161 shares of common stock for approximately $5,194,000 at an average price of $8.60. From January 1, 2005 through December 31, 2014, we repurchased a total of 3,222,036 shares of common stock for approximately $25,161,000, at an average price of $7.81 per share. See “Liquidity and Capital Resources” below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PERFORMANCE GRAPH</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2009 through December 31, 2014, with the CRSP Total Return Index for the Nasdaq Stock Market (U.S.) and the Nasdaq Computer Manufacturer Stocks Index. The graph assumes that $100 was invested on December 31, 2009 in each of TransAct’s common stock, the CRSP Total Return Index for the Nasdaq Stock Market (U.S.) and the Nasdaq Computer Manufacturer Stocks Index, and that all dividends were reinvested.</w:t>
      </w:r>
    </w:p>
    <w:p>
      <w:pPr>
        <w:spacing w:after="0" w:line="21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-8890</wp:posOffset>
            </wp:positionV>
            <wp:extent cx="6828790" cy="512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8790"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12/31/10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12/31/11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12/31/14</w:t>
            </w:r>
          </w:p>
        </w:tc>
      </w:tr>
      <w:tr>
        <w:trPr>
          <w:trHeight w:val="201"/>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 Technologies Incorporated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r>
      <w:tr>
        <w:trPr>
          <w:trHeight w:val="201"/>
        </w:trPr>
        <w:tc>
          <w:tcPr>
            <w:tcW w:w="3160" w:type="dxa"/>
            <w:vAlign w:val="bottom"/>
          </w:tcPr>
          <w:p>
            <w:pPr>
              <w:spacing w:after="0" w:line="201" w:lineRule="exact"/>
              <w:rPr>
                <w:sz w:val="20"/>
                <w:szCs w:val="20"/>
                <w:color w:val="auto"/>
              </w:rPr>
            </w:pPr>
            <w:r>
              <w:rPr>
                <w:rFonts w:ascii="Arial" w:cs="Arial" w:eastAsia="Arial" w:hAnsi="Arial"/>
                <w:sz w:val="18"/>
                <w:szCs w:val="18"/>
                <w:color w:val="auto"/>
                <w:w w:val="96"/>
              </w:rPr>
              <w:t>CRSP Total Return Index for the Nasdaq</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3160" w:type="dxa"/>
            <w:vAlign w:val="bottom"/>
          </w:tcPr>
          <w:p>
            <w:pPr>
              <w:ind w:left="660"/>
              <w:spacing w:after="0"/>
              <w:rPr>
                <w:sz w:val="20"/>
                <w:szCs w:val="20"/>
                <w:color w:val="auto"/>
              </w:rPr>
            </w:pPr>
            <w:r>
              <w:rPr>
                <w:rFonts w:ascii="Arial" w:cs="Arial" w:eastAsia="Arial" w:hAnsi="Arial"/>
                <w:sz w:val="18"/>
                <w:szCs w:val="18"/>
                <w:color w:val="auto"/>
              </w:rPr>
              <w:t>Stock Market (U.S.)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117.55</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183.26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206.09</w:t>
            </w:r>
          </w:p>
        </w:tc>
      </w:tr>
      <w:tr>
        <w:trPr>
          <w:trHeight w:val="201"/>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Nasdaq Computer Manufacturer Stocks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Index</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w:t>
            </w:r>
          </w:p>
        </w:tc>
      </w:tr>
      <w:tr>
        <w:trPr>
          <w:trHeight w:val="311"/>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3"/>
        </w:trPr>
        <w:tc>
          <w:tcPr>
            <w:tcW w:w="3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summarized from our audited financial statements of the past five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8"/>
              </w:rPr>
              <w:t>Year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2"/>
        </w:trPr>
        <w:tc>
          <w:tcPr>
            <w:tcW w:w="3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Consolidated Statement of Operations Data: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68,386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63,194</w:t>
            </w:r>
          </w:p>
        </w:tc>
      </w:tr>
      <w:tr>
        <w:trPr>
          <w:trHeight w:val="215"/>
        </w:trPr>
        <w:tc>
          <w:tcPr>
            <w:tcW w:w="39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25,092</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25,982</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22,548</w:t>
            </w: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18,475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20,380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16,687</w:t>
            </w:r>
          </w:p>
        </w:tc>
      </w:tr>
      <w:tr>
        <w:trPr>
          <w:trHeight w:val="215"/>
        </w:trPr>
        <w:tc>
          <w:tcPr>
            <w:tcW w:w="3960" w:type="dxa"/>
            <w:vAlign w:val="bottom"/>
          </w:tcPr>
          <w:p>
            <w:pPr>
              <w:ind w:left="340"/>
              <w:spacing w:after="0"/>
              <w:rPr>
                <w:sz w:val="20"/>
                <w:szCs w:val="20"/>
                <w:color w:val="auto"/>
              </w:rPr>
            </w:pPr>
            <w:r>
              <w:rPr>
                <w:rFonts w:ascii="Arial" w:cs="Arial" w:eastAsia="Arial" w:hAnsi="Arial"/>
                <w:sz w:val="18"/>
                <w:szCs w:val="18"/>
                <w:color w:val="auto"/>
              </w:rPr>
              <w:t>Operating (loss) income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6,617</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5,602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5,861</w:t>
            </w: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15"/>
        </w:trPr>
        <w:tc>
          <w:tcPr>
            <w:tcW w:w="3960" w:type="dxa"/>
            <w:vAlign w:val="bottom"/>
          </w:tcPr>
          <w:p>
            <w:pPr>
              <w:ind w:left="340"/>
              <w:spacing w:after="0"/>
              <w:rPr>
                <w:sz w:val="20"/>
                <w:szCs w:val="20"/>
                <w:color w:val="auto"/>
              </w:rPr>
            </w:pPr>
            <w:r>
              <w:rPr>
                <w:rFonts w:ascii="Arial" w:cs="Arial" w:eastAsia="Arial" w:hAnsi="Arial"/>
                <w:sz w:val="18"/>
                <w:szCs w:val="18"/>
                <w:color w:val="auto"/>
              </w:rPr>
              <w:t>Net (loss) income per share: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39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15"/>
        </w:trPr>
        <w:tc>
          <w:tcPr>
            <w:tcW w:w="3960" w:type="dxa"/>
            <w:vAlign w:val="bottom"/>
          </w:tcPr>
          <w:p>
            <w:pPr>
              <w:ind w:left="130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 and paid per share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64"/>
        </w:trPr>
        <w:tc>
          <w:tcPr>
            <w:tcW w:w="3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2"/>
        </w:trPr>
        <w:tc>
          <w:tcPr>
            <w:tcW w:w="3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Consolidated Balance Sheet Data: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45,228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43,621</w:t>
            </w:r>
          </w:p>
        </w:tc>
      </w:tr>
      <w:tr>
        <w:trPr>
          <w:trHeight w:val="215"/>
        </w:trPr>
        <w:tc>
          <w:tcPr>
            <w:tcW w:w="396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24,871</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25,492</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25,525</w:t>
            </w: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32,521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33,369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Actual results may differ materially from those discussed in, or implied by, the forward-looking statements. The forward-looking statements speak only as of the date of this report and we assume no duty to update them.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2014, we completed the transition of our business towards new, value-added products and technologies that address large and diversified growth markets while moving away from the low margin, commoditized POS market. During the past three years we have spent significant time and resources developing new products such as the Ithaca® 9700 food safety terminal, EPICENTRAL™ software for the casino and gaming industry and our Printrex® 920 and 980 color printers for the oil and gas industry. With this development phase now behind us, we can reduce these expenses going forward as we believe we now have the right products to effectively compete in our markets.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2014, our sales and operating results declined due mainly to what we believe is a general weakness in the replacement cycle in the domestic casino and gaming market. In an effort to address the ongoing challenges of the domestic casino market and the related impact to our operating results, during the fourth quarter of 2014 we initiated cost reduction actions that will reduce expenses by at least $1 million on an annual basis beginning in the first quarter of 2015. While it is difficult to predict when a rebound will occur in the domestic casino and gaming market, with a lower overall cost structure and focus on sales execution we expect 2015 to be a much improved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2014, our total net sales decreased 12% to approximately $53,108,000. See the table below for a breakdown of our sales by market: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Casino and gaming</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22,731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27,300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(4,569)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Printrex</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12,760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6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53,108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60,141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(7,033)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of our food safety, banking and POS products decreased 18% in 2014 compared to 2013. During 2014, our Ithaca® 9700 food safety terminal sales declined 50% due to a large initial stocking order to a distributor that occurred in 2013 that did not repeat in 2014. However, we expect this distributor to begin ordering product again in 2015. However, we have received corporate approval from a growing number of large, national brand restaurants for the Ithaca 9700 and we expect this product to be a significant contributor to our revenue growth in 2015 and beyond. In the banking market, we focus mainly on supplying printers for use in bank teller stations at banks and financial institutions primarily in the U.S. Opportunities in the banking market are project oriented and, as a result, our banking printer sales can fluctuate significantly year-to-year. During 2014, our banking printer sales decreased 31%. In the POS market, we focus primarily on supplying printers that print receipts or linerless labels for customers in the restaurant, hospitality and specialty retail markets. Sales of our POS printers increased 9% in 2014 primarily driven by sales of our Ithaca ® 9000 printers to McDonald’s as they accelerated a rollout of these printers for a new initiative. Our focus for 2015 will be on sales execution with the goal of increasing market penetration with each of our new products.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06"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6"/>
          <w:szCs w:val="16"/>
          <w:color w:val="auto"/>
        </w:rPr>
        <w:t>Sales of our casino and gaming products decreased 17% in 2014 compared to 2013. In our casino and gaming market, our focus lies primarily in supplying printers for use in slot machines at casinos and racetracks, as well as in other electronic gaming devices that print tickets or receipts, worldwide. Additionally, we supplement these printer sales with revenue from EPICENTRAL™ - our promotional printing system that enables casino operators to create promotional coupons and marketing messages and print them real time at the slot machine. Domestic casino and gaming sales decreased 32%, from general weakness in the replacement cycle in the domestic casino market, as well as a large replacement of a certain OEM’s slot machines at a multi-property casino group in 2013 that did not repeat in 2014. In addition, EPICENTRAL ™ software sales decreased 47% due to only one installation 2014 compared to six completed installations during 2013. International sales increased by 3%, primarily due to a 3% increase in sales of our thermal casino printers when compared to 2013 and the sale of an EPICENTRAL™ software system internationally during 2014. These increases were partially offset by a 13% decline in sales of our off-premises thermal gaming printers, mainly from our European distributor and Australian and Asian customers.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lottery market, we continue to hold a leading position based on our long-term exclusive relationship with GTECH, our largest customer and the world’s largest provider of lottery terminals. GTECH has been our customer since 1995, and we continue to maintain a good relationship with them. In 2009 we expanded our long-standing relationship with GTECH by executing a new exclusive purchase agreement to develop and supply them with their next generation online thermal lottery printer. Pursuant to this agreement, GTECH exclusively purchases all of its requirements for thermal on-line lottery printers from us and we exclusively sell such printers to GTECH through May 8, 2015. Currently, we fulfill substantially all of GTECH’s printer requirements for lottery terminal installations and upgrades worldwide. During 2014, total printer sales to GTECH increased approximately 7%, compared to 2013. Our sales to GTECH each year are directly dependent on the timing and number of new and upgraded lottery terminal installations GTECH performs and are not indicative of GTECH’s overall business or revenue. However based on current orders and forecasts from GTECH, we expect sales in 2015 to be higher than in 2014, especially during the first half of 2015.</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Sales of our Printrex branded printers include wide format, rack mounted and vehicle mounted thermal printers used by customers to log and plot oil field and down hole well drilling data in the oil and gas exploration industry. Sales in this market also includes wide format printers used to print test results in ophthalmology devices in the medical industry, as well as vehicle mounted printers used to print schematics and certain other critical information in emergency services vehicles and other mobile printing applications. During 2014, we had solid revenue contributions from our new Printrex® 920 and Printrex® 980 oil and gas color printers developed in 2012. We believe that over time, sales of our color printers will increase as these printers provide customers with more value as data printed in color is easier to read and analyze than the same data printed in black and white. Despite the increase in color printer sales, Printrex printer sales for 2014 decreased by approximately 10% primarily due to the negative impact of steeply declining worldwide oil prices, as well as an 11% decline in the medical and mobile market. In 2015, we expect initial revenue contributions from the Responder MP2™, as we plan to introduce our first printer for the large machine-to-machine (M2M) vertical market. The Responder MP2™ is an all-in-one mobile printing solution for a number of vehicles, including fire, police, EMS, insurance, public utilities and delivery.</w:t>
      </w:r>
    </w:p>
    <w:p>
      <w:pPr>
        <w:spacing w:after="0" w:line="210" w:lineRule="exact"/>
        <w:rPr>
          <w:sz w:val="20"/>
          <w:szCs w:val="20"/>
          <w:color w:val="auto"/>
        </w:rPr>
      </w:pPr>
    </w:p>
    <w:p>
      <w:pPr>
        <w:ind w:right="180"/>
        <w:spacing w:after="0" w:line="300" w:lineRule="auto"/>
        <w:rPr>
          <w:sz w:val="20"/>
          <w:szCs w:val="20"/>
          <w:color w:val="auto"/>
        </w:rPr>
      </w:pPr>
      <w:r>
        <w:rPr>
          <w:rFonts w:ascii="Arial" w:cs="Arial" w:eastAsia="Arial" w:hAnsi="Arial"/>
          <w:sz w:val="16"/>
          <w:szCs w:val="16"/>
          <w:color w:val="auto"/>
        </w:rPr>
        <w:t>Our TSG group, which sells service, replacement parts and consumable products, including receipt paper, ribbons and inkjet cartridges, continues to offer a recurring revenue stream for the Company. TSG sales decreased 3% in 2014 from 2013 primarily due to lower sales of non-Printrex consumables compared to 2013 from the effect of lower HP inkjet cartridge sales as we deemphasize our focus on this commoditized product. This decrease was partially offset by higher replacement part sales and Printrex color printer consumable sales which should continue to increase as the installed base of these printers grows.</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Operationally, our gross margin declined to 40.9% from 41.7% in 2013. Our gross margin for 2014 was impacted by lower sales of our higher margin value-added casino printers, food safety terminals and EPICENTRAL® installations compared to 2013. In 2014 we incurred a negative operating margin of 7.1% compared to a positive operating margin of 11.0% in 2013. The negative operating margin in 2014 resulted mainly from $5.5 million in legal and settlement expenses we incurred related to the AD Lawsuit that we settled in March 2015 and to a lesser extent, lower gross margins due to sales declines.</w:t>
      </w:r>
    </w:p>
    <w:p>
      <w:pPr>
        <w:spacing w:after="0" w:line="15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reported a net loss of $2,421,000 and net loss per diluted share of $0.29 for 2014, compared to net income of $4,935,000 and net income per diluted share of $0.57 in 2013. In terms of cash flow for 2014, we experienced a very strong year, generating over $6.0 million of cash from operating activities. We also returned almost $5,200,000 to our shareholders in the form of $2,634,000 for treasury share repurchases and $2,556,000 for cash dividends while still finishing the year with cash and cash equivalents of $3,131,000 and no debt on our Consolidated Balance Sheet at December 31,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Our typical contracts include the sale of printers and terminals, which are sometimes accompanied by separately-priced extended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warranty 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Accounting Standards Codification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6" w:name="page17"/>
    <w:bookmarkEnd w:id="16"/>
    <w:p>
      <w:pPr>
        <w:jc w:val="both"/>
        <w:spacing w:after="0" w:line="219" w:lineRule="auto"/>
        <w:rPr>
          <w:sz w:val="20"/>
          <w:szCs w:val="20"/>
          <w:color w:val="auto"/>
        </w:rPr>
      </w:pPr>
      <w:r>
        <w:rPr>
          <w:rFonts w:ascii="Arial" w:cs="Arial" w:eastAsia="Arial" w:hAnsi="Arial"/>
          <w:sz w:val="18"/>
          <w:szCs w:val="18"/>
          <w:color w:val="auto"/>
        </w:rPr>
        <w:t>Our software solution, EPICENTRAL</w:t>
      </w:r>
      <w:r>
        <w:rPr>
          <w:rFonts w:ascii="Arial" w:cs="Arial" w:eastAsia="Arial" w:hAnsi="Arial"/>
          <w:sz w:val="25"/>
          <w:szCs w:val="25"/>
          <w:color w:val="auto"/>
          <w:vertAlign w:val="superscript"/>
        </w:rPr>
        <w:t>TM</w:t>
      </w:r>
      <w:r>
        <w:rPr>
          <w:rFonts w:ascii="Arial" w:cs="Arial" w:eastAsia="Arial" w:hAnsi="Arial"/>
          <w:sz w:val="18"/>
          <w:szCs w:val="18"/>
          <w:color w:val="auto"/>
        </w:rPr>
        <w:t>, enables casino operators to create promotional coupons and marketing messages and to print them in real-time at the slot machine. Revenue arrangements for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21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guidance,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 but we cannot guarantee that we will continue to experience return rates consistent with historical patterns.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 However, we cannot guarantee that this minimal level will continue.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2014 was approximately $100,000, or approximately 1.1% of outstanding accounts receivable, which we feel is appropriate considering the overall quality of our accounts receivable. While credit losses have historically been within expectations and the reserves established, we cannot guarantee that our credit loss experience will continue to be consistent with historical experience.</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Our inventories are stated at the lower of cost (principally standard cost, which approximates actual cost on a first-in, first-out basis)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We review market value based 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market value. Should circumstances change and we determine that additional inventory is subject to obsolescence, additional write-downs of inventory could result in a charge to income.</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 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reported $2,621,000 of goodwill and $1,341,000 of unamortized definite-lived intangible assets at December 31, 2014. We have determined that no goodwill impairment has occurred based on our assessment as of December 31, 2014 when the impairment review is performed.</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included within our Consolidated Balance Sheets. We then assess the likelihood that the deferred tax assets will be realized from future taxable income, and to the extent that we believe that realization is not likely, we establish a valuation allowance.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939"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While we have considered future taxable income and ongoing prudent and feasible tax planning strategies in assessing the need for a valuation allowance or tax reserve,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or tax reserves would increase net income in the period such determination was made.</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 We record an estimated liability related to contingencies based on our estimates of the probable outcomes pursuant to ASC 450,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“Contingencies.” On a quarterly basis, we assess the potential liability related to pending litigation, audits and other contingencies and confirm or revise estimates and reserves as appropriate. If the actual liabilities are settled in an amount greater than those recorded on the balance sheet, a charge to income would be recorded. As of December 31, 2014 and 2013, a contingent liability of $0 and $60,000, respectively, was recorded in connection with a contingent consideration arrangement entered into as part of the Printrex acquisition. The decrease of $60,000 was the result of our revised estimate of the expected payout in connection with this arrangement primarily due to changes in probabilities and decreases in revenue and gross margin estimates, and was credited to general and administrative expense during 2014. See Note 3 to the Consolidated Financial Statements for further discussion.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 We calculate share-based compensation expense in accordance with ASC 718, “Compensation – Stock Compensation”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option-pricing model to calculate the fair value of share-based awards. The key assumptions for this valuation method include the expected term of an option grant, stock price volatility, risk-free interest rate, dividend yield, and forfeiture rate. The determination of these assumptions is based on past history and future expectations, and is subject to judgment. To the extent any of the assumptions were to change from year to year, the fair value of new option grants may vary significantly.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2014 compared to year ended December 31, 2013</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2014 and 2013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9,308</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Casino and gaming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22,731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27,300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(4,569)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4,761</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Printrex</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3,910</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12,760</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53,108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100.0%</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60,141</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(7,033)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International*</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14,541</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13,764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tcPr>
          <w:p>
            <w:pPr>
              <w:spacing w:after="0"/>
              <w:rPr>
                <w:sz w:val="17"/>
                <w:szCs w:val="17"/>
                <w:color w:val="auto"/>
              </w:rPr>
            </w:pPr>
          </w:p>
        </w:tc>
        <w:tc>
          <w:tcPr>
            <w:tcW w:w="8700" w:type="dxa"/>
            <w:vAlign w:val="bottom"/>
            <w:gridSpan w:val="19"/>
          </w:tcPr>
          <w:p>
            <w:pPr>
              <w:ind w:left="540"/>
              <w:spacing w:after="0" w:line="201" w:lineRule="exact"/>
              <w:rPr>
                <w:sz w:val="20"/>
                <w:szCs w:val="20"/>
                <w:color w:val="auto"/>
              </w:rPr>
            </w:pPr>
            <w:r>
              <w:rPr>
                <w:rFonts w:ascii="Arial" w:cs="Arial" w:eastAsia="Arial" w:hAnsi="Arial"/>
                <w:sz w:val="18"/>
                <w:szCs w:val="18"/>
                <w:color w:val="auto"/>
                <w:w w:val="92"/>
              </w:rPr>
              <w:t>International sales do not include sales of printers made to domestic distributors or other customers who in turn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gridSpan w:val="8"/>
          </w:tcPr>
          <w:p>
            <w:pPr>
              <w:ind w:left="540"/>
              <w:spacing w:after="0"/>
              <w:rPr>
                <w:sz w:val="20"/>
                <w:szCs w:val="20"/>
                <w:color w:val="auto"/>
              </w:rPr>
            </w:pPr>
            <w:r>
              <w:rPr>
                <w:rFonts w:ascii="Arial" w:cs="Arial" w:eastAsia="Arial" w:hAnsi="Arial"/>
                <w:sz w:val="18"/>
                <w:szCs w:val="18"/>
                <w:color w:val="auto"/>
                <w:w w:val="89"/>
              </w:rPr>
              <w:t>ship those printers to international destinations.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2014 decreased $7,033,000, or 12%, from 2013. Printer and terminal sales volume decreased 10% to approximately 138,000 units primarily due to declines in the casino and gaming, and food safety, banking and POS markets, of 15% and 7%, respectively. The average selling price of our printers decreased approximately 3% from 2013 to 2014 due primarily to lower sales of our food safety terminals which have a significantly higher average selling price than most of our other printers. Overall, international sales increased $777,000, or 6%, primarily driven by higher sales in both the international casino and gaming and TSG markets.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i w:val="1"/>
          <w:iCs w:val="1"/>
          <w:color w:val="auto"/>
        </w:rPr>
        <w:t xml:space="preserve">Food safety, banking and POS: </w:t>
      </w:r>
      <w:r>
        <w:rPr>
          <w:rFonts w:ascii="Arial" w:cs="Arial" w:eastAsia="Arial" w:hAnsi="Arial"/>
          <w:sz w:val="18"/>
          <w:szCs w:val="18"/>
          <w:color w:val="auto"/>
        </w:rPr>
        <w:t>Revenue from the food safety, banking and POS market includes sales of food safety terminals-hardware devices that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 a touchscreen and one or two thermal print mechanisms, that print easy-to-read expiration and "enjoy by" date labels to help restaurants effectively manage food rotation and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 or validate checks at bank teller stations. A summary of sales of our worldwide food safety, banking and POS products for the years ended December 31, 2014 and 2013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8,984</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11,296</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decrease in domestic food safety, banking and POS product revenue from 2013 was primarily driven by lower sales from our Ithaca® 9700 food safety terminal due to a large initial stocking order to a distributor that occurred in 2013 and did not repeat in 2014. We expect this distributor to begin ordering products again in 2015. This decrease was partially offset by higher sales of our Ithaca® 9000 printers to McDonald’s during 2014 compared to 2013, as they accelerated a rollout of these printers for a new initiative.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food safety, banking and POS printer sales for 2014 were relatively consistent with 2013.</w:t>
      </w:r>
    </w:p>
    <w:p>
      <w:pPr>
        <w:spacing w:after="0" w:line="2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Casino and gaming: </w:t>
      </w:r>
      <w:r>
        <w:rPr>
          <w:rFonts w:ascii="Arial" w:cs="Arial" w:eastAsia="Arial" w:hAnsi="Arial"/>
          <w:sz w:val="18"/>
          <w:szCs w:val="18"/>
          <w:color w:val="auto"/>
        </w:rPr>
        <w:t>Revenue from the casino and gaming market includes sales of printers used in slot machines, video lottery terminals (“VLTs”),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EPICENTRAL</w:t>
      </w:r>
      <w:r>
        <w:rPr>
          <w:rFonts w:ascii="Arial" w:cs="Arial" w:eastAsia="Arial" w:hAnsi="Arial"/>
          <w:sz w:val="25"/>
          <w:szCs w:val="25"/>
          <w:color w:val="auto"/>
          <w:vertAlign w:val="superscript"/>
        </w:rPr>
        <w:t>TM</w:t>
      </w:r>
      <w:r>
        <w:rPr>
          <w:rFonts w:ascii="Arial" w:cs="Arial" w:eastAsia="Arial" w:hAnsi="Arial"/>
          <w:sz w:val="18"/>
          <w:szCs w:val="18"/>
          <w:color w:val="auto"/>
        </w:rPr>
        <w:t>, that enables casino operators to create promotional coupons and marketing messages and to print them real-time at the slot machine. A summary of sales of our worldwide casino and gaming products for the years ended December 31, 2014 and 2013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15,367</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12,294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11,933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27,300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decrease in both domestic hardware and software casino and gaming sales from 2013 resulted primarily from general weakness in the replacement cycle in the domestic casino market, as well as a large replacement of a certain OEM’s slot machines at a multi-property casino group in 2013 that did not repeat in 2014. Domestic sales of our thermal Epic 950 gaming printer decreased 27% in 2014 compared to 2013. In addition EPICENTRAL™ software sales fell 78% in 2014 compared to 2013 due to no new domestic installations occurring in 2014 compared to five installations in 2013.</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increase in international sales is due to an increase in sales of our thermal EPIC 950 printer and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of 4% and 106%, respectively. The increase in EPICENTRAL™ software sales is due to one large multi-property installation for a customer in South America in 2014 compared to two smaller installations in 2013. These increases were partially offset by decreased sales of our off-premises thermal gaming printers of 13% in 2014 when compared to 2013. Sales of our off-premise gaming printers are largely project-oriented, and we therefore cannot predict the level of future sales.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Lottery</w:t>
      </w:r>
      <w:r>
        <w:rPr>
          <w:rFonts w:ascii="Arial" w:cs="Arial" w:eastAsia="Arial" w:hAnsi="Arial"/>
          <w:sz w:val="18"/>
          <w:szCs w:val="18"/>
          <w:color w:val="auto"/>
        </w:rPr>
        <w:t>: Revenue from the lottery market includes sales of thermal on-line and other lottery printers to GTECH and its subsidiaries for various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 summary of sales of our worldwide lottery printers for the years ended December 31, 2014 and 2013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4,417</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2015 to be higher than those reported in 2014, especially in the first half of 2015.</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Printrex: </w:t>
      </w:r>
      <w:r>
        <w:rPr>
          <w:rFonts w:ascii="Arial" w:cs="Arial" w:eastAsia="Arial" w:hAnsi="Arial"/>
          <w:sz w:val="17"/>
          <w:szCs w:val="17"/>
          <w:color w:val="auto"/>
        </w:rPr>
        <w:t>Printrex branded printers are sold into markets that include wide format, rack mounted and vehicle mounted black/white and color thermal printers</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years ended December 31, 2014 and 2013 is as follows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4,335</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3"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95250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decrease in Printrex printers is primarily due to 9% lower worldwide sales of printers in the oil and gas market due to the negative impact of steeply declining worldwide oil prices which we expect will continue to negatively impact our sales during 2015. In addition, worldwide sales of our medical and mobile printers declined 11% due to lower sales to a medical printer customer that began to phase out the use of our printer during 2014. We expect our last sale to this customer to occur in the first quarter of 2015 with no future expected shipments. Due to the low margin on this product, we do not believe the loss of this customer will have a material adverse impact to our 2014 operating results.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from TSG includes sales of consumable products (inkjet cartridges, ribbons, receipt paper, color thermal paper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A summary of sales in our worldwide TSG market for the years ended December 31, 2014 and 2013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2014</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12,760</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decrease in domestic revenue from TSG is primarily due to a 15% decrease in sales of non-Printrex consumables, largely from the decline of HP inkjet cartridges, as we continue to deemphasize this commoditized consumable product. As a result, we expect sales of HP inkjet cartridges to continue to decline in 2015. In addition, service revenue declined by 29%, largely due to a 57% decline in paper testing service revenue as we performed fewer tests in 2014 than in 2013, as well as lower maintenance and repair revenue from fewer service contracts. These decreases were partially offset by a 10% increase in sales of replacement parts as well as a 78% increase of consumables for our new Printrex color printers, which we expect to continue to increase during 2015 as the installed base of these printers grows.</w:t>
      </w:r>
    </w:p>
    <w:p>
      <w:pPr>
        <w:spacing w:after="0" w:line="21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Internationally, TSG revenue increased due primarily to higher sales of replacement parts and accessories as compared to 2013. We expect TSG sales in 2015 to be relatively consistent with 2014, as we expect lower HP inkjet cartridges will offset higher expected sales of consumables from our newly launched Printrex color oil and gas printers.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EPICENTRAL®. Gross profit decreased $3,381,000, or 14%, on 12% lower sales volume and a slightly less favorable sales mix. Additionally, our gross margin declined by 80 basis points due to lower sales contributions from our value-added Ithaca® 9700 food safety terminals, casino printers and EPICENTRAL™ software. We expect our gross margin for 2015 to increase as we expect to benefit from increased sales of our newer, value-added products, as well as cost reduction initiatives we initiated in the fourth quarter 2014.</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Percent of</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Total Sales -</w:t>
            </w: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4,302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$237,000, or 6%, due primarily to additional engineering staff and higher pre-production expenses related to new product development for the new products we launched in 2014. We expect engineering, design and product development expenses in 2015 to be lower than in 2014 due to staff reductions and lower product development expenses resulting from cost reduction actions we initiated in the fourth quarter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w w:val="86"/>
              </w:rPr>
              <w:t>December 31,</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Percent of</w:t>
            </w:r>
          </w:p>
        </w:tc>
      </w:tr>
      <w:tr>
        <w:trPr>
          <w:trHeight w:val="201"/>
        </w:trPr>
        <w:tc>
          <w:tcPr>
            <w:tcW w:w="2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Total Sales -</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24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7,920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bl>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$574,000, or 8%, primarily due to the planned investment in new sales and marketing staff to support our new products, a full year of commissions to our new casino and gaming distributor added in late 2013, Suzo Happ, and increased marketing spend to support our newly launched products in 2014.</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59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7,756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$1,168,000, or 18%, due primarily to changes in the accrued contingent consideration liability to be paid in connection with the acquisition of Printrex. In 2014, we reduced the contingent consideration liability by $60,000 to zero, compared to a reduction of $900,000 in 2013. Excluding the changes we recorded to the contingent consideration liability, general and administrative expenses increased $328,000, or 4% in 2014 compared to 2013. This increase is primarily due to higher severance costs related to the cost reduction initiatives we initiated in the fourth quarter 2014. We expect general and administrative expenses to be relatively consistent with 2014.</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Legal Fees and Settlement Expenses Associated with Lawsuit</w:t>
      </w:r>
      <w:r>
        <w:rPr>
          <w:rFonts w:ascii="Arial" w:cs="Arial" w:eastAsia="Arial" w:hAnsi="Arial"/>
          <w:sz w:val="18"/>
          <w:szCs w:val="18"/>
          <w:color w:val="auto"/>
        </w:rPr>
        <w:t>. Legal fees and settlement expenses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5,505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bl>
    <w:p>
      <w:pPr>
        <w:spacing w:after="0" w:line="22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As disclosed in Note 11 to the Consolidated Financial Statements, in June 2012, AD filed a civil complaint against the Company, which we settled in March 2015. In connection with this lawsuit, we incurred legal fees and settlement expenses of $5,505,000 and $476,000 in 2014 and 2013, respectively. We expect legal fees related to the lawsuit will be approximately $2,000,000 for the first quarter of 2015. Due to the settlement of the AD lawsuit in March 2015, we do not expect to incur any additional expenses related to the lawsuit beyond the first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Percent of</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7"/>
              </w:rPr>
              <w:t>Total Sales –</w:t>
            </w: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decrease in our operating income and operating margin was primarily due to higher legal fees and $3,625,000 of settlement expenses related to the lawsuit with AD that we settled in March 2015 as well as a 12% decline in sales. In addition, our operating margin for 2013 benefited by 150 basis points from the $900,000 reduction in the Printrex accrued contingent consideration liability.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$49,000 in 2014 compared to net interest expense of $23,000 in 2013. The increase in net interest expense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interest income earned on a lower average cash balance during 2014, as we used a significant amount of our cash to repurchase our common stock and pay cash dividends during the latter half of 2013 and 2014. Interest expense related to the unused revolving credit line fee and amortization of deferred financing costs on our revolving credit facility with TD Bank remained consistent in 2014 and 2013. See “Liquidity and Capital Resources” below for more information.</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$33,000 in 2014 compared to $63,000 in 2013. The change was primarily due to a $60,000 loss from the disposal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tooling equipment during 2013 somewhat offset by higher foreign currency transaction exchange losses recorded by our U.K. subsidiary in 2014 compared to 2013.</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an income tax benefit for 2014 of $1,433,000 at an effective tax rate of 37.2% compared to an income tax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$1,596,000 at an effective tax rate of 24.4% for 2013. Our effective tax rate for 2013 was unusually low because it included; (1) a $224,000 reduction in tax liabilities for unrecognized tax benefits resulting from the completion of an audit of our 2010 federal income tax return and (2) the benefit from both the 2012 and 2013 R&amp;D credit, as the credit for 2012 was not renewed until January 2, 2013. We expect our annual effective tax rate for 2015 to be between 35% and 36%.</w:t>
      </w:r>
    </w:p>
    <w:p>
      <w:pPr>
        <w:spacing w:after="0" w:line="20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a net loss during 2014 of $2,421,000, or $(0.29), per diluted share, compared to net income of $4,935,000, or $0.57,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2013.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 Year ended December 31, 2013 compared to year ended December 31, 2012</w:t>
      </w:r>
    </w:p>
    <w:p>
      <w:pPr>
        <w:spacing w:after="0" w:line="25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2013 and 2012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11,296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Casino and gaming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27,300</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29,129</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Printrex</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4,335</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4,673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60,141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100.0%</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68,386</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(8,245)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20"/>
                <w:szCs w:val="20"/>
                <w:color w:val="auto"/>
              </w:rPr>
            </w:pPr>
            <w:r>
              <w:rPr>
                <w:rFonts w:ascii="Arial" w:cs="Arial" w:eastAsia="Arial" w:hAnsi="Arial"/>
                <w:sz w:val="18"/>
                <w:szCs w:val="18"/>
                <w:color w:val="auto"/>
              </w:rPr>
              <w:t>International*</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13,764</w:t>
            </w: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18,454</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(4,690)</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38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tcPr>
          <w:p>
            <w:pPr>
              <w:spacing w:after="0"/>
              <w:rPr>
                <w:sz w:val="17"/>
                <w:szCs w:val="17"/>
                <w:color w:val="auto"/>
              </w:rPr>
            </w:pPr>
          </w:p>
        </w:tc>
        <w:tc>
          <w:tcPr>
            <w:tcW w:w="8700" w:type="dxa"/>
            <w:vAlign w:val="bottom"/>
            <w:gridSpan w:val="19"/>
          </w:tcPr>
          <w:p>
            <w:pPr>
              <w:ind w:left="540"/>
              <w:spacing w:after="0" w:line="201" w:lineRule="exact"/>
              <w:rPr>
                <w:sz w:val="20"/>
                <w:szCs w:val="20"/>
                <w:color w:val="auto"/>
              </w:rPr>
            </w:pPr>
            <w:r>
              <w:rPr>
                <w:rFonts w:ascii="Arial" w:cs="Arial" w:eastAsia="Arial" w:hAnsi="Arial"/>
                <w:sz w:val="18"/>
                <w:szCs w:val="18"/>
                <w:color w:val="auto"/>
                <w:w w:val="92"/>
              </w:rPr>
              <w:t>International sales do not include sales of printers made to domestic distributors or other customers who in turn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gridSpan w:val="8"/>
          </w:tcPr>
          <w:p>
            <w:pPr>
              <w:ind w:left="540"/>
              <w:spacing w:after="0"/>
              <w:rPr>
                <w:sz w:val="20"/>
                <w:szCs w:val="20"/>
                <w:color w:val="auto"/>
              </w:rPr>
            </w:pPr>
            <w:r>
              <w:rPr>
                <w:rFonts w:ascii="Arial" w:cs="Arial" w:eastAsia="Arial" w:hAnsi="Arial"/>
                <w:sz w:val="18"/>
                <w:szCs w:val="18"/>
                <w:color w:val="auto"/>
                <w:w w:val="89"/>
              </w:rPr>
              <w:t>ship those printers to international destinations.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2013 decreased $8,245,000, or 12%, from 2012. Printer and terminal sales volume decreased 23% to approximately 153,000 units primarily due to declines in the lottery and casino and gaming markets of 60% and 11%, respectively. The average selling price of our printers increased approximately 7% from 2012 to 2013 due primarily to higher sales of our food safety terminals which have a significantly higher average selling price than most of our other printers. Also contributing to our higher average selling price was a significant reduction in lottery printer sales volume due to a large order by GTECH in 2012 which was not repeated in 2013. Overall, international sales decreased $4,690,000, or 25%, primarily driven by lower sales in both the international casino and gaming and lottery markets.</w:t>
      </w: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Food safety, banking and POS</w:t>
      </w:r>
      <w:r>
        <w:rPr>
          <w:rFonts w:ascii="Arial" w:cs="Arial" w:eastAsia="Arial" w:hAnsi="Arial"/>
          <w:sz w:val="18"/>
          <w:szCs w:val="18"/>
          <w:color w:val="auto"/>
        </w:rPr>
        <w:t>: A summary of sales of our worldwide food safety, banking and POS products for the years ended December 31,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2012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8,876</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increase in domestic food safety, banking and POS product revenue from 2012 was primarily driven by higher sales from our newly launched Ithaca® 9700 food safety terminal and Ithaca® 9000 printer. This was partially offset by lower sales of our banking printers mainly due to the shipment of a large order for our Ithaca® 280 thermal receipt printer to a banking customer in 2012 that did not repeat in 2013 as well as lower sales of our legacy POS printers as we continue to decrease our focus on this commoditized market.</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International banking and POS printer sales for 2013 decreased 44% from 2012 due primarily to lower sales for the McDonald’s POS system upgrade and grill initiative in its Canadian stores in 2013 compared to 2012, partially offset by higher sales of our Ithaca® 9700 food safety terminal.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and gaming</w:t>
      </w:r>
      <w:r>
        <w:rPr>
          <w:rFonts w:ascii="Arial" w:cs="Arial" w:eastAsia="Arial" w:hAnsi="Arial"/>
          <w:sz w:val="17"/>
          <w:szCs w:val="17"/>
          <w:color w:val="auto"/>
        </w:rPr>
        <w:t>: A summary of sales of our worldwide casino and gaming products for the years ended December 31, 2013 and 2012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14,846</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(2,913)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29,129</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increase in domestic sales is primarily due to an increase in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 partially offset by a 3% decline in sales of our thermal casino printers mainly due to fewer new casino openings during 2013 compared to 2012.</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International casino and gaming product sales decreased due primarily to a 38% decrease in sales of our off-premise thermal gaming printers mainly from a 35% decrease in sales to our European distributor and a 35% decrease in sales to our customers in Australia and Asia. Sales of our off-premise gaming printers are largely project-oriented, and we therefore cannot predict the level of future sales. Additionally, sales of our thermal casino printers decreased by 12% primarily from 20% lower sales to our European distributor. This decline in sales of our thermal casino printers resulted primarily from fewer installations of VLT gaming machines in Italy as the government approved rollout of these games was substantially completed during 2012, and we therefore shipped fewer printers in 2013. The decrease in thermal casino printers was partially offset by higher international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in 2013.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Lottery</w:t>
      </w:r>
      <w:r>
        <w:rPr>
          <w:rFonts w:ascii="Arial" w:cs="Arial" w:eastAsia="Arial" w:hAnsi="Arial"/>
          <w:sz w:val="18"/>
          <w:szCs w:val="18"/>
          <w:color w:val="auto"/>
        </w:rPr>
        <w:t>: A summary of sales of our worldwide lottery printers for the years ended December 31, 2013 and 2012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(6,157)</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11,634</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(7,184)</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However, sales for 2012 were unusually high as GTECH made a final purchase for an older generation lottery printer that we discontinued production for at the end of 2012. .</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2013 and 2012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3,712</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4,673</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decrease in Printrex printers is primarily due to lower sales of black and white printers in the oil and gas market, partially offset by higher sales of our two new color printers, the Printrex® 920 and Printrex® 980, into the worldwide oil and gas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TSG</w:t>
      </w:r>
      <w:r>
        <w:rPr>
          <w:rFonts w:ascii="Arial" w:cs="Arial" w:eastAsia="Arial" w:hAnsi="Arial"/>
          <w:sz w:val="18"/>
          <w:szCs w:val="18"/>
          <w:color w:val="auto"/>
        </w:rPr>
        <w:t>: A summary of sales in our worldwide TSG market for the years ended December 31, 2013 and 2012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center"/>
              <w:ind w:left="150"/>
              <w:spacing w:after="0"/>
              <w:rPr>
                <w:sz w:val="20"/>
                <w:szCs w:val="20"/>
                <w:color w:val="auto"/>
              </w:rPr>
            </w:pPr>
            <w:r>
              <w:rPr>
                <w:rFonts w:ascii="Arial" w:cs="Arial" w:eastAsia="Arial" w:hAnsi="Arial"/>
                <w:sz w:val="18"/>
                <w:szCs w:val="18"/>
                <w:color w:val="auto"/>
                <w:w w:val="85"/>
              </w:rPr>
              <w:t>Year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70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2013</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8"/>
              </w:rPr>
              <w:t>December 31, 2012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12,284</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1,182</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13,466</w:t>
            </w:r>
          </w:p>
        </w:tc>
        <w:tc>
          <w:tcPr>
            <w:tcW w:w="6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decrease in domestic revenue from TSG is primarily due to a 25% decrease in sales of consumables, largely HP inkjet cartridges, as we continue to deemphasize this commoditized consumable product. In addition, paper testing service revenue declined by 38% as we performed fewer tests in 2013 than in 2012. These decreases were partially offset by a 45% increase in sales of replacement parts as well as first year sales contributions from consumables for our new Printrex color printers. Internationally, TSG revenue decreased due primarily to lower sales of replacement parts and accessories as compared to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25,982</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decreased $890,000, or 3%, while gross margin improved 370 basis points as we continued to transition of business towards a more favorable sales mix of new value-added products. During 2013 our gross margin primarily benefited from sales contributions from our Ithaca® 9700 food safety terminals in addition to significantly higher EPICENTRAL™ software sales combined with lower lottery printer sales.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Engineering, Design and Product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Percent of</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Total Sales -</w:t>
            </w: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4,065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Engineering, design and product development expenses decreased $174,000, or 4%, due primarily to lower outside testing and pre-production expenses related to new product development from the four new products we launched in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2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Total Sales -</w:t>
            </w:r>
          </w:p>
        </w:tc>
        <w:tc>
          <w:tcPr>
            <w:tcW w:w="220" w:type="dxa"/>
            <w:vAlign w:val="bottom"/>
          </w:tcPr>
          <w:p>
            <w:pPr>
              <w:spacing w:after="0"/>
              <w:rPr>
                <w:sz w:val="17"/>
                <w:szCs w:val="17"/>
                <w:color w:val="auto"/>
              </w:rPr>
            </w:pP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7,346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Selling and marketing expenses increased $709,000, or 11%, primarily due to the addition of new sales staff and increased marketing spend to support our newly launched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520"/>
              <w:spacing w:after="0"/>
              <w:rPr>
                <w:sz w:val="20"/>
                <w:szCs w:val="20"/>
                <w:color w:val="auto"/>
              </w:rPr>
            </w:pPr>
            <w:r>
              <w:rPr>
                <w:rFonts w:ascii="Arial" w:cs="Arial" w:eastAsia="Arial" w:hAnsi="Arial"/>
                <w:sz w:val="18"/>
                <w:szCs w:val="18"/>
                <w:color w:val="auto"/>
              </w:rPr>
              <w:t>December 31,</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Percent of</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Percent of</w:t>
            </w:r>
          </w:p>
        </w:tc>
      </w:tr>
      <w:tr>
        <w:trPr>
          <w:trHeight w:val="201"/>
        </w:trPr>
        <w:tc>
          <w:tcPr>
            <w:tcW w:w="2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Total Sales -</w:t>
            </w:r>
          </w:p>
        </w:tc>
        <w:tc>
          <w:tcPr>
            <w:tcW w:w="120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20"/>
                <w:szCs w:val="20"/>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6,588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bl>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General and administrative expenses decreased $1,245,000, or 16%, due primarily to a reduction in the accrued contingent consideration liability to be paid in connection with the acquisition of Printrex of $900,000 (as discussed in more detail in Note 3 to the Consolidated Financial Statements) in addition to lower incentive compensation-related expenses for executive and administrative employees. These decreases were partially offset by higher recruitment fees of $160,000 due to the additional sales and engineering staff as previously discussed, as compared to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color w:val="auto"/>
        </w:rPr>
        <w:t>. Legal fee information is summarized below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Pr>
          <w:p>
            <w:pPr>
              <w:spacing w:after="0"/>
              <w:rPr>
                <w:sz w:val="20"/>
                <w:szCs w:val="20"/>
                <w:color w:val="auto"/>
              </w:rPr>
            </w:pPr>
          </w:p>
        </w:tc>
        <w:tc>
          <w:tcPr>
            <w:tcW w:w="2680" w:type="dxa"/>
            <w:vAlign w:val="bottom"/>
            <w:gridSpan w:val="7"/>
          </w:tcPr>
          <w:p>
            <w:pPr>
              <w:jc w:val="right"/>
              <w:ind w:right="940"/>
              <w:spacing w:after="0"/>
              <w:rPr>
                <w:sz w:val="20"/>
                <w:szCs w:val="20"/>
                <w:color w:val="auto"/>
              </w:rPr>
            </w:pPr>
            <w:r>
              <w:rPr>
                <w:rFonts w:ascii="Arial" w:cs="Arial" w:eastAsia="Arial" w:hAnsi="Arial"/>
                <w:sz w:val="18"/>
                <w:szCs w:val="18"/>
                <w:color w:val="auto"/>
              </w:rPr>
              <w:t>December 31,</w:t>
            </w: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Percent of</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Total Sales - 2013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Total Sales - 2012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disclosed in Note 11 to the Consolidated Financial Statements, in June 2012, AD filed a civil complaint against the Company. In connection with this lawsuit, we incurred legal fees and other related expenses of $476,000 and $1,533,000 in 2013 and 2012,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36"/>
              <w:spacing w:after="0"/>
              <w:rPr>
                <w:sz w:val="20"/>
                <w:szCs w:val="20"/>
                <w:color w:val="auto"/>
              </w:rPr>
            </w:pPr>
            <w:r>
              <w:rPr>
                <w:rFonts w:ascii="Arial" w:cs="Arial" w:eastAsia="Arial" w:hAnsi="Arial"/>
                <w:sz w:val="18"/>
                <w:szCs w:val="18"/>
                <w:color w:val="auto"/>
                <w:w w:val="90"/>
              </w:rPr>
              <w:t>December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Percent of</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Total Sales - 2013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Total Sales - 2012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disclosed in Note 8 to the Consolidated Financial Statements, in January 2012, we determined that we no longer needed to maintain the existing Printrex manufacturing facility in San Jose, California, along with certain redundant headcount. During 2012, we recorded a restructuring charge of $138,000 for employee termination benefits related to these employee reductions as well as moving costs. The closing of the San Jose manufacturing operations was completed as of December 31, 2012. We did not incur any restructuring charges during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information is summarized below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w w:val="86"/>
              </w:rPr>
              <w:t>December 31,</w:t>
            </w: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Percent of</w:t>
            </w:r>
          </w:p>
        </w:tc>
      </w:tr>
      <w:tr>
        <w:trPr>
          <w:trHeight w:val="201"/>
        </w:trPr>
        <w:tc>
          <w:tcPr>
            <w:tcW w:w="2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Total Sales -</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Total Sales -</w:t>
            </w:r>
          </w:p>
        </w:tc>
      </w:tr>
      <w:tr>
        <w:trPr>
          <w:trHeight w:val="236"/>
        </w:trPr>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2012</w:t>
            </w:r>
          </w:p>
        </w:tc>
        <w:tc>
          <w:tcPr>
            <w:tcW w:w="240" w:type="dxa"/>
            <w:vAlign w:val="bottom"/>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Year ended</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6,617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our operating income and operating margin was primarily due to the 370 basis point improvement in gross margin in 2013 as compared to 2012 as well as to lower legal fees incurred from the AD lawsuit as previously discussed. In addition, our operating margin for 2013 benefited by 150 basis points from the $900,000 reduction in the Printrex accrued contingent consideration liability.</w:t>
      </w: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net interest expense of $23,000 in 2013 compared to net interest income of $6,000 in 2012. The decrease in net interest income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lower interest income earned on a lower average cash balance, as we used a significant amount of our cash (approximately $7,511,000) to repurchase our common stock and pay cash dividends in 2013. Interest expense related to the unused revolving credit line fee and amortization of deferred financing costs on our revolving credit facility with TD Bank remained consistent in 2013 and 2012. See “Liquidity and Capital Resources” below for more information.</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$63,000 in 2013 compared to $23,000 in 2012. The change was primarily due to a loss from the disposal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tooling equipment during 2013 of $60,000 offset by lower foreign currency transaction exchange losses recorded by our U.K. subsidiary in 2013 compared to 2012.</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an income tax provision for 2013 of $1,596,000 at an effective tax rate of 24.4% compared to $1,964,000 at an effective tax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35.2% for 2012. Our effective tax rate for 2013 was unusually low because it included: 1) a $224,000 reduction in tax liabilities for unrecognized tax benefits resulting from the completion of an audit of our 2010 federal income tax return and 2) the benefit from the 2012 R&amp;D credit of approximately $220,000 as this credit was not renewed until January 2, 2013 as a component of the American Taxpayer Relief Act of 2012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We reported net income during 2013 of $4,935,000, or $0.57, per diluted share, compared to $3,621,000, or $0.40, per diluted share, for 2012.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2014, our cash balance increased $195,000, or 7%, from December 31, 2013 as we returned a substantial portion of our cash flow to shareholders in the form of $2,634,000 of repurchases of our common stock and $2,556,000 of cash dividends paid to common shareholders. Even after funding these items and our capital expenditures, we still ended 2014 with $3,131,000 in cash and cash equivalents and no debt outstanding.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$6,053,000 in 2014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$2,493,000 in 2013. During 2014:</w:t>
      </w:r>
    </w:p>
    <w:p>
      <w:pPr>
        <w:spacing w:after="0" w:line="198" w:lineRule="exact"/>
        <w:rPr>
          <w:sz w:val="20"/>
          <w:szCs w:val="20"/>
          <w:color w:val="auto"/>
        </w:rPr>
      </w:pPr>
    </w:p>
    <w:p>
      <w:pPr>
        <w:ind w:left="660" w:hanging="33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reported a net loss of $2,421,000.</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$1,951,000.</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receivable decreased $4,139,000 due primarily to lower sales volume during the fourth quarter 2014 compared to the fourth quarter of 2013 in addition to improved collections.</w:t>
      </w:r>
    </w:p>
    <w:p>
      <w:pPr>
        <w:jc w:val="both"/>
        <w:ind w:left="660" w:hanging="330"/>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Inventories decreased $1,703,000 due to the sell through of inventory on hand during 2014 compared to increasing stocking levels of our new food safety and Printrex products during 2013. We expect our inventories to steadily decline in 2015, beginning in the second quarter, as we sell through this inventory buildup.</w:t>
      </w:r>
    </w:p>
    <w:p>
      <w:pPr>
        <w:spacing w:after="0" w:line="1"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payable decreased $2,384,000 due to primarily to lower inventory purchases made during the fourth quarter of 2014 compared to the fourth quarter of 2013, as well as the timing of payments.</w:t>
      </w:r>
    </w:p>
    <w:p>
      <w:pPr>
        <w:ind w:left="660" w:hanging="330"/>
        <w:spacing w:after="0" w:line="24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$1,022,000 due primarily to higher legal expenses related to the AD Lawsuit and higher accrued incentive compensation in 2014 compared to 2013.</w:t>
      </w:r>
    </w:p>
    <w:p>
      <w:pPr>
        <w:ind w:left="660" w:hanging="330"/>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accrued lawsuit settlement expenses of $3,625,000 related to the settlement with AD. See Note 11 – Commitments and Contingencies in the Notes to the Consolidated Financial Statements for further information on the settlement charges recorded.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23"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net income of $4,935,000.</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amortization and share-based compensation expense of $2,262,000.</w:t>
      </w:r>
    </w:p>
    <w:p>
      <w:pPr>
        <w:spacing w:after="0" w:line="8" w:lineRule="exact"/>
        <w:rPr>
          <w:rFonts w:ascii="Arial" w:cs="Arial" w:eastAsia="Arial" w:hAnsi="Arial"/>
          <w:sz w:val="18"/>
          <w:szCs w:val="18"/>
          <w:color w:val="auto"/>
        </w:rPr>
      </w:pP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decreased $2,685,000 due primarily to significantly lower sales volume during the fourth quarter of 2013 compared to the fourth quarter of 2012.</w:t>
      </w: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 increased $3,189,000 as we increased stocking levels of our new food safety and Printrex products during 2013 in anticipation of higher expected sales volume.</w:t>
      </w:r>
    </w:p>
    <w:p>
      <w:pPr>
        <w:ind w:left="660" w:hanging="330"/>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$1,674,000 due to primarily to lower inventory purchases made during the fourth quarter of 2013 compared to the fourth quarter of 2012, as well as the timing of payments.</w:t>
      </w:r>
    </w:p>
    <w:p>
      <w:pPr>
        <w:jc w:val="both"/>
        <w:ind w:left="660" w:hanging="330"/>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$2,156,000 due primarily to a decrease in our estimate of accrued contingent consideration associated with the acquisition of Printrex of $900,000 during 2013 based on our revised estimate of the expected payout. Additionally, income taxes payable decreased by approximately $603,000 resulting from the overpayment of our 2013 tax liability. Correspondingly, we recorded prepaid income taxes of $390,000.</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capital expenditures were $660,000 and $709,000 in 2014 and 2013, respectively. Expenditures in 2014 included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$385,000 for costs incurred for the purchase of new product tooling, $39,000 for costs incurred in connection with an enhancement to the Company’s ERP software and the remaining amount primarily for the purchase of manufacturing equipment and computer equipment. Additionally, our capitalized software development costs for EPICENTRAL™ were $0 and $42,000 in 2014 and 2013, respectively.</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Capital expenditures for 2015 are expected to be approximately $800,000, primarily for new product tooling, and tooling enhancements for our existing products, as well as for new computer equipment purchases.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We used $5,178,000 of cash from financing activities during 2014 to purchase $2,634,000 of common stock for treasury, to pay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of $2,556,000 to common shareholders and $8,000 in financing costs associated with our amended TD Bank Credit Facility (as discussed below), partially offset by proceeds and tax benefits from stock option exercises of $20,000. During 2013, we used $6,334,000 of cash from financing activities during 2014 to purchase $5,194,000 of common stock for treasury and to pay cash dividends of $2,317,000 to common shareholders partially offset by proceeds and tax benefits from stock option exercises of $1,177,000.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working capital decreased approximately 26% to $18,361,000 at December 31, 2014 from $24,871,000 at December 31, 2013. Our current ratio of current assets to current liabilities decreased from 4.4 at December 31, 2013 to 2.9 at December 2014. The decrease in both our working capital and current ratio was primarily due to the settlement accrual related to the AD Lawsuit in 2014, as well as lower accounts receivable resulting from lower sales in 2014 and declining inventory levels.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borrowings available under our TD Bank Credit Facility will provide sufficient resources to meet our working capital needs, fund $3,625,000 of accrued settlement expenses related to the settlement of the AD Lawsuit, finance our capital expenditures, treasury stock repurchases, dividend payments and meet our liquidity requirements through at least the next twelve months.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0"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106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total deferred financing costs relating to expenses incurred to complete the TD Bank Credit Facility was $8,000.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of accrued settlement expenses related to the AD Lawsuit; and modified the definition of Operating Cash Flow to exclude unfinanced capital expenditures for the quarters ending December 31, 2014, March 31, 2015 and June 30, 2015.</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2014. The following table lists the financial covenants and the performance measurements at December 31,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Financial Covenant</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Requirement/Restriction</w:t>
            </w:r>
          </w:p>
        </w:tc>
        <w:tc>
          <w:tcPr>
            <w:tcW w:w="3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Calculation at December 31, 2014</w:t>
            </w:r>
          </w:p>
        </w:tc>
      </w:tr>
      <w:tr>
        <w:trPr>
          <w:trHeight w:val="215"/>
        </w:trPr>
        <w:tc>
          <w:tcPr>
            <w:tcW w:w="44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Operating cash flow / Total debt service</w:t>
            </w: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Minimum of 1.25 times</w:t>
            </w:r>
          </w:p>
        </w:tc>
        <w:tc>
          <w:tcPr>
            <w:tcW w:w="38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16.0 times</w:t>
            </w:r>
          </w:p>
        </w:tc>
      </w:tr>
      <w:tr>
        <w:trPr>
          <w:trHeight w:val="230"/>
        </w:trPr>
        <w:tc>
          <w:tcPr>
            <w:tcW w:w="4440" w:type="dxa"/>
            <w:vAlign w:val="bottom"/>
          </w:tcPr>
          <w:p>
            <w:pPr>
              <w:jc w:val="center"/>
              <w:ind w:left="70"/>
              <w:spacing w:after="0"/>
              <w:rPr>
                <w:sz w:val="20"/>
                <w:szCs w:val="20"/>
                <w:color w:val="auto"/>
              </w:rPr>
            </w:pPr>
            <w:r>
              <w:rPr>
                <w:rFonts w:ascii="Arial" w:cs="Arial" w:eastAsia="Arial" w:hAnsi="Arial"/>
                <w:sz w:val="18"/>
                <w:szCs w:val="18"/>
                <w:color w:val="auto"/>
                <w:w w:val="92"/>
              </w:rPr>
              <w:t>Funded debt / EBITDA</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Maximum of 3.0 times</w:t>
            </w:r>
          </w:p>
        </w:tc>
        <w:tc>
          <w:tcPr>
            <w:tcW w:w="3860" w:type="dxa"/>
            <w:vAlign w:val="bottom"/>
          </w:tcPr>
          <w:p>
            <w:pPr>
              <w:jc w:val="center"/>
              <w:ind w:right="10"/>
              <w:spacing w:after="0"/>
              <w:rPr>
                <w:sz w:val="20"/>
                <w:szCs w:val="20"/>
                <w:color w:val="auto"/>
              </w:rPr>
            </w:pPr>
            <w:r>
              <w:rPr>
                <w:rFonts w:ascii="Arial" w:cs="Arial" w:eastAsia="Arial" w:hAnsi="Arial"/>
                <w:sz w:val="18"/>
                <w:szCs w:val="18"/>
                <w:color w:val="auto"/>
                <w:w w:val="89"/>
              </w:rPr>
              <w:t>0 times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undrawn commitments under the TD Bank Credit facility were $20,000,000.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2012, we announced that our Board of Directors approved the initiation of a quarterly cash dividend program which is subject to the Board’s approval each quarter. On May 6, 2014, our Board of Directors declared an increase to the quarterly cash dividend from $0.07 per share to $0.08 per share. Dividends declared and paid on our common stock totaled $2,556,000 or $0.31 per share and $2,317,000 or $0.27 per share, in 2014 and 2013, respectively. On February 4, 2015, our Board of Directors approved the first quarter 2015 dividend in the amount of $0.08 per share payable on or about March 13, 2015 to common shareholders of record at the close of business on February 20, 2015. We expect to pay approximately $2,500,000 in cash dividends to our common shareholders during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August 11, 2014, our Board of Directors approved a new stock repurchase program (the “Stock Repurchase Program”). Under the Stock Repurchase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Program, we are authorized to repurchase up to $7,500,000 of our outstanding shares of common stock from time to time in the open market through July 31,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2015, depending on market conditions, share price and other factors. On November 3, 2014, our Board of Directors modified the Stock Repurchase Program</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“10b5-1 Plan) to include the repurchase of up to $4,000,000 of the Company’s outstanding shares through April 30, 2015 pursuant to a Rule 10b5-1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trading plan though our Board ended this trading plan effective March 31, 2015. We use the cost method to account for treasury stock purchases, under which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price paid for the stock is charged to the treasury stock account.  Repurchases of our common stock are accounted for as of the settlement date. From</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August 11, 2014 through December 31, 2014, we purchased 434,998 shares of our common stock for approximately $2,634,000 at an average price per share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$6.06. In 2013, under a prior repurchase program and an open market transaction, we repurchased 604,161 shares of common stock for approximately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$5,194,000 at an average price of $8.60. From January 1, 2005 through December 31, 2014, we repurchased a total of 3,222,036 shares of common stock for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$25,161,000, at an average price of $7.81 per share. As of December 31, 2014, approximately $4,866,000 and $2,192,000 remains authorized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for future repurchases under the Stock Repurchase Program and 10b5-1 Plan, respectively. The following table summarizes the repurchase of our common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stock for the year ended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Approximate</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Dollar Value of</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Shares that May</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Purchased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Yet Be</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5"/>
              </w:rPr>
              <w:t>Purchased</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6"/>
              </w:rPr>
              <w:t>under the</w:t>
            </w:r>
          </w:p>
        </w:tc>
      </w:tr>
      <w:tr>
        <w:trPr>
          <w:trHeight w:val="215"/>
        </w:trPr>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Average Price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0"/>
              </w:rPr>
              <w:t>August 2014</w:t>
            </w:r>
          </w:p>
        </w:tc>
      </w:tr>
      <w:tr>
        <w:trPr>
          <w:trHeight w:val="23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Paid per Share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Program</w:t>
            </w: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July 1, 2014 –July 31, 2014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5"/>
        </w:trPr>
        <w:tc>
          <w:tcPr>
            <w:tcW w:w="6040" w:type="dxa"/>
            <w:vAlign w:val="bottom"/>
          </w:tcPr>
          <w:p>
            <w:pPr>
              <w:spacing w:after="0"/>
              <w:rPr>
                <w:sz w:val="20"/>
                <w:szCs w:val="20"/>
                <w:color w:val="auto"/>
              </w:rPr>
            </w:pPr>
            <w:r>
              <w:rPr>
                <w:rFonts w:ascii="Arial" w:cs="Arial" w:eastAsia="Arial" w:hAnsi="Arial"/>
                <w:sz w:val="18"/>
                <w:szCs w:val="18"/>
                <w:color w:val="auto"/>
              </w:rPr>
              <w:t>August 1, 2014 – August 31, 2014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66,771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66,771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7,000,000</w:t>
            </w: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2014 – September 30, 2014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6,674,000</w:t>
            </w:r>
          </w:p>
        </w:tc>
      </w:tr>
      <w:tr>
        <w:trPr>
          <w:trHeight w:val="215"/>
        </w:trPr>
        <w:tc>
          <w:tcPr>
            <w:tcW w:w="6040" w:type="dxa"/>
            <w:vAlign w:val="bottom"/>
          </w:tcPr>
          <w:p>
            <w:pPr>
              <w:spacing w:after="0"/>
              <w:rPr>
                <w:sz w:val="20"/>
                <w:szCs w:val="20"/>
                <w:color w:val="auto"/>
              </w:rPr>
            </w:pPr>
            <w:r>
              <w:rPr>
                <w:rFonts w:ascii="Arial" w:cs="Arial" w:eastAsia="Arial" w:hAnsi="Arial"/>
                <w:sz w:val="18"/>
                <w:szCs w:val="18"/>
                <w:color w:val="auto"/>
              </w:rPr>
              <w:t>October 1, 2014 – October 31, 2014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6,674,000</w:t>
            </w: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November 1, 2014 – November 30, 2014</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215,400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5,481,000</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December 1, 2014 – December 31, 2014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110,635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4,866,000</w:t>
            </w:r>
          </w:p>
        </w:tc>
      </w:tr>
      <w:tr>
        <w:trPr>
          <w:trHeight w:val="255"/>
        </w:trPr>
        <w:tc>
          <w:tcPr>
            <w:tcW w:w="60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434,998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6.06</w:t>
            </w:r>
          </w:p>
        </w:tc>
        <w:tc>
          <w:tcPr>
            <w:tcW w:w="116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434,998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Shareholders’ equity decreased $7,127,000 to $25,394,000 at December 31, 2014 from $32,521,000 at December 31, 2013. The decrease was primarily due to our purchase of 434,998 shares of treasury stock for $2,634,000, dividend payments of $2,556,000 and a net loss of $2,421,000. These decreases were partially offset by proceeds and the associated incremental tax benefits of approximately $20,000 from the issuance of 6,000 shares of common stock from stock option exercises, share-based compensation expense related to stock options of $506,000 and approximately $56,000 from the issuance of 9,939 shares of deferred stock units, net of relinquishments.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7"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As of December 31, 2014, we had no off 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as of December 31,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&lt; 1 year</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1-3 years</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3-5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&gt; 5 years</w:t>
            </w:r>
          </w:p>
        </w:tc>
      </w:tr>
      <w:tr>
        <w:trPr>
          <w:trHeight w:val="215"/>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6,833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Lawsuit settlement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12,088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Purchase obligations are for purchases made in the normal course of business to meet operational requirements, primarily of fully assembled printers and component part inventory. Lawsuit settlement obligations relate to amounts due to AD pursuant to a confidential settlement and release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Despite continued growing transportation and commodity costs, we have generally been able to maintain or improve our profit margins through productivity and efficiency improvements, cost reduction programs and to a lesser extent, price increases, and we expect to be able to do the same during 2015. As such, we do not believe that inflation will have a significant impact on our business during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substantial portion of our sales are denominated in U.S. dollars and, as a result, we have relatively little exposure to foreign currency exchange risk with respect to sales made. This exposure may change over time as business practices evolve and could have a material adverse impact on our financial results in the future. We do not use forward exchange contracts to hedge exposures denominated in foreign currencies or any other derivative financial instruments for trading or speculative purposes. We estimate that the combined translational and transactional impact of a 10% overall movement in exchange rates from December 31, 2014 (principally the U.K. Pound Sterling) would not have a material impact on our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Company are annexed to this report as pages F-3 through F-17. An index to such materials appears on page F-1.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Attached as exhibits to this Form 10-K are certifications of our Chief Executive Officer (“CEO”) and Chief Financial Officer (“CFO”), which are required in accordance with Rule 13a-14 of the Securities Exchange Act of 1934, as amended (the “Exchange Act”). This “Controls and Procedures” section includes information concerning the controls and controls evaluation referred to in the 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2014. Based upon that evaluation, our management, our Chief Executive Officer and Chief Financial Officer concluded that, as of December 31, 2014, our disclosure controls and procedures are effective.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213" w:gutter="0" w:footer="0" w:header="0"/>
        </w:sectPr>
      </w:pPr>
    </w:p>
    <w:bookmarkStart w:id="29" w:name="page30"/>
    <w:bookmarkEnd w:id="29"/>
    <w:p>
      <w:pPr>
        <w:jc w:val="both"/>
        <w:spacing w:after="0" w:line="285" w:lineRule="auto"/>
        <w:rPr>
          <w:sz w:val="20"/>
          <w:szCs w:val="20"/>
          <w:color w:val="auto"/>
        </w:rPr>
      </w:pPr>
      <w:r>
        <w:rPr>
          <w:rFonts w:ascii="Arial" w:cs="Arial" w:eastAsia="Arial" w:hAnsi="Arial"/>
          <w:sz w:val="17"/>
          <w:szCs w:val="17"/>
          <w:color w:val="auto"/>
        </w:rPr>
        <w:t>Management assessed our internal control over financial reporting as of December 31, 2014. Management based its assessment on criteria established in Internal Control–Integrated Framework issued by the Committee of Sponsoring Organizations of the Treadway Commission (“2013 COSO”). Based on our assessment, management has concluded that our internal control over financial reporting was effective as of December 31, 2014.</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their report which appears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Set forth below is certain information regarding our executive officers. The remaining information in response to this item will be contained in our Proxy Statement for our 2015 Annual Meeting of Stockholders (the “Proxy Statement”), which will be filed within 120 days after the year covered by this Form 10-K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14, 2015.</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Bart C. Shuldman</w:t>
            </w:r>
          </w:p>
        </w:tc>
        <w:tc>
          <w:tcPr>
            <w:tcW w:w="6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57</w:t>
            </w:r>
          </w:p>
        </w:tc>
        <w:tc>
          <w:tcPr>
            <w:tcW w:w="24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Steven A. DeMartino</w:t>
            </w:r>
          </w:p>
        </w:tc>
        <w:tc>
          <w:tcPr>
            <w:tcW w:w="6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45</w:t>
            </w:r>
          </w:p>
        </w:tc>
        <w:tc>
          <w:tcPr>
            <w:tcW w:w="24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Donald E. Brooks</w:t>
            </w:r>
          </w:p>
        </w:tc>
        <w:tc>
          <w:tcPr>
            <w:tcW w:w="6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President-Engineering</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Tracey S. Chernay</w:t>
            </w:r>
          </w:p>
        </w:tc>
        <w:tc>
          <w:tcPr>
            <w:tcW w:w="6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55</w:t>
            </w:r>
          </w:p>
        </w:tc>
        <w:tc>
          <w:tcPr>
            <w:tcW w:w="24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Casino,Gaming Sales and Lottery</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Andrew J. Hoffman</w:t>
            </w:r>
          </w:p>
        </w:tc>
        <w:tc>
          <w:tcPr>
            <w:tcW w:w="6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57</w:t>
            </w:r>
          </w:p>
        </w:tc>
        <w:tc>
          <w:tcPr>
            <w:tcW w:w="24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Andrew J. Newmark</w:t>
            </w:r>
          </w:p>
        </w:tc>
        <w:tc>
          <w:tcPr>
            <w:tcW w:w="6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56</w:t>
            </w:r>
          </w:p>
        </w:tc>
        <w:tc>
          <w:tcPr>
            <w:tcW w:w="24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Executive Vice President, Sales and Marketing</w:t>
            </w:r>
          </w:p>
        </w:tc>
      </w:tr>
    </w:tbl>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ART</w:t>
      </w:r>
      <w:r>
        <w:rPr>
          <w:rFonts w:ascii="Arial" w:cs="Arial" w:eastAsia="Arial" w:hAnsi="Arial"/>
          <w:sz w:val="18"/>
          <w:szCs w:val="18"/>
          <w:color w:val="auto"/>
        </w:rPr>
        <w:t xml:space="preserve"> C. S</w:t>
      </w:r>
      <w:r>
        <w:rPr>
          <w:rFonts w:ascii="Arial" w:cs="Arial" w:eastAsia="Arial" w:hAnsi="Arial"/>
          <w:sz w:val="12"/>
          <w:szCs w:val="12"/>
          <w:color w:val="auto"/>
        </w:rPr>
        <w:t>HULDMAN</w:t>
      </w:r>
      <w:r>
        <w:rPr>
          <w:rFonts w:ascii="Arial" w:cs="Arial" w:eastAsia="Arial" w:hAnsi="Arial"/>
          <w:sz w:val="18"/>
          <w:szCs w:val="18"/>
          <w:color w:val="auto"/>
        </w:rPr>
        <w:t xml:space="preserve">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TEVEN</w:t>
      </w:r>
      <w:r>
        <w:rPr>
          <w:rFonts w:ascii="Arial" w:cs="Arial" w:eastAsia="Arial" w:hAnsi="Arial"/>
          <w:sz w:val="18"/>
          <w:szCs w:val="18"/>
          <w:color w:val="auto"/>
        </w:rPr>
        <w:t xml:space="preserve"> A. D</w:t>
      </w:r>
      <w:r>
        <w:rPr>
          <w:rFonts w:ascii="Arial" w:cs="Arial" w:eastAsia="Arial" w:hAnsi="Arial"/>
          <w:sz w:val="12"/>
          <w:szCs w:val="12"/>
          <w:color w:val="auto"/>
        </w:rPr>
        <w:t>E</w:t>
      </w:r>
      <w:r>
        <w:rPr>
          <w:rFonts w:ascii="Arial" w:cs="Arial" w:eastAsia="Arial" w:hAnsi="Arial"/>
          <w:sz w:val="18"/>
          <w:szCs w:val="18"/>
          <w:color w:val="auto"/>
        </w:rPr>
        <w:t>M</w:t>
      </w:r>
      <w:r>
        <w:rPr>
          <w:rFonts w:ascii="Arial" w:cs="Arial" w:eastAsia="Arial" w:hAnsi="Arial"/>
          <w:sz w:val="12"/>
          <w:szCs w:val="12"/>
          <w:color w:val="auto"/>
        </w:rPr>
        <w:t>ARTINO</w:t>
      </w:r>
      <w:r>
        <w:rPr>
          <w:rFonts w:ascii="Arial" w:cs="Arial" w:eastAsia="Arial" w:hAnsi="Arial"/>
          <w:sz w:val="18"/>
          <w:szCs w:val="18"/>
          <w:color w:val="auto"/>
        </w:rPr>
        <w:t xml:space="preserve">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ONALD</w:t>
      </w:r>
      <w:r>
        <w:rPr>
          <w:rFonts w:ascii="Arial" w:cs="Arial" w:eastAsia="Arial" w:hAnsi="Arial"/>
          <w:sz w:val="17"/>
          <w:szCs w:val="17"/>
          <w:color w:val="auto"/>
        </w:rPr>
        <w:t xml:space="preserve"> E. B</w:t>
      </w:r>
      <w:r>
        <w:rPr>
          <w:rFonts w:ascii="Arial" w:cs="Arial" w:eastAsia="Arial" w:hAnsi="Arial"/>
          <w:sz w:val="11"/>
          <w:szCs w:val="11"/>
          <w:color w:val="auto"/>
        </w:rPr>
        <w:t>ROOKS</w:t>
      </w:r>
      <w:r>
        <w:rPr>
          <w:rFonts w:ascii="Arial" w:cs="Arial" w:eastAsia="Arial" w:hAnsi="Arial"/>
          <w:sz w:val="17"/>
          <w:szCs w:val="17"/>
          <w:color w:val="auto"/>
        </w:rPr>
        <w:t xml:space="preserve"> was appointed Senior Vice President of Engineering in April 2012. Previously, Mr. Brooks served as Vice President, Engineering from September 2004 to April 2012, Senior Project Engineer from February 1998 to September 2004,Project Engineer from June 1997 to February 1998, Director of Electrical Engineering from March 1986 to June 1997 and Manager of Electronic Development from December 1983 to March 1986.</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RACEY</w:t>
      </w:r>
      <w:r>
        <w:rPr>
          <w:rFonts w:ascii="Arial" w:cs="Arial" w:eastAsia="Arial" w:hAnsi="Arial"/>
          <w:sz w:val="17"/>
          <w:szCs w:val="17"/>
          <w:color w:val="auto"/>
        </w:rPr>
        <w:t xml:space="preserve"> S. C</w:t>
      </w:r>
      <w:r>
        <w:rPr>
          <w:rFonts w:ascii="Arial" w:cs="Arial" w:eastAsia="Arial" w:hAnsi="Arial"/>
          <w:sz w:val="11"/>
          <w:szCs w:val="11"/>
          <w:color w:val="auto"/>
        </w:rPr>
        <w:t>HERNAY</w:t>
      </w:r>
      <w:r>
        <w:rPr>
          <w:rFonts w:ascii="Arial" w:cs="Arial" w:eastAsia="Arial" w:hAnsi="Arial"/>
          <w:sz w:val="17"/>
          <w:szCs w:val="17"/>
          <w:color w:val="auto"/>
        </w:rPr>
        <w:t xml:space="preserve"> was appointed Executive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&amp; Sales, POS &amp;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NDREW</w:t>
      </w:r>
      <w:r>
        <w:rPr>
          <w:rFonts w:ascii="Arial" w:cs="Arial" w:eastAsia="Arial" w:hAnsi="Arial"/>
          <w:sz w:val="18"/>
          <w:szCs w:val="18"/>
          <w:color w:val="auto"/>
        </w:rPr>
        <w:t xml:space="preserve"> J. H</w:t>
      </w:r>
      <w:r>
        <w:rPr>
          <w:rFonts w:ascii="Arial" w:cs="Arial" w:eastAsia="Arial" w:hAnsi="Arial"/>
          <w:sz w:val="12"/>
          <w:szCs w:val="12"/>
          <w:color w:val="auto"/>
        </w:rPr>
        <w:t>OFFMAN</w:t>
      </w:r>
      <w:r>
        <w:rPr>
          <w:rFonts w:ascii="Arial" w:cs="Arial" w:eastAsia="Arial" w:hAnsi="Arial"/>
          <w:sz w:val="18"/>
          <w:szCs w:val="18"/>
          <w:color w:val="auto"/>
        </w:rPr>
        <w:t xml:space="preserve"> was appointed Senior Vice President, Operations for TransAct worldwide in November 2004. He served as Vice President, Operations from September 1994 to November 2004.</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Andrew Newmark joined TransAct on January 12, 2014 as Executive Vice President, Sales and Marketing with responsibility for the sales and marketing of all TransAct products. Prior to joining TransAct, Mr. Newmark was an investor and consultant with Newmark Capital Management from 2009 to 2015. From 2005 to 2009, Mr. Newmark was employed by Newell Rubbermaid as Vice President, Business Development and Strategy. Until 2005, Mr. Newmark held the role of Senior Vice President with DYMO after CoStar, a company he co-founded in 1989, was purchased by DYMO.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and is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Set forth below is certain information regarding our equity compensation plans. The remaining information in response to this item will be contained in the Proxy Statement and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equity compensation plans as of December 31, 2014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Number of securities remaining</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(b)</w:t>
            </w:r>
          </w:p>
        </w:tc>
        <w:tc>
          <w:tcPr>
            <w:tcW w:w="24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available for future issuance</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Number of securities to be issued</w:t>
            </w:r>
          </w:p>
        </w:tc>
        <w:tc>
          <w:tcPr>
            <w:tcW w:w="100" w:type="dxa"/>
            <w:vAlign w:val="bottom"/>
          </w:tcPr>
          <w:p>
            <w:pPr>
              <w:spacing w:after="0"/>
              <w:rPr>
                <w:sz w:val="18"/>
                <w:szCs w:val="18"/>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Weighted-average exercise price</w:t>
            </w:r>
          </w:p>
        </w:tc>
        <w:tc>
          <w:tcPr>
            <w:tcW w:w="2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under equity compensation plans</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upon exercise of outstanding</w:t>
            </w:r>
          </w:p>
        </w:tc>
        <w:tc>
          <w:tcPr>
            <w:tcW w:w="100" w:type="dxa"/>
            <w:vAlign w:val="bottom"/>
          </w:tcPr>
          <w:p>
            <w:pPr>
              <w:spacing w:after="0"/>
              <w:rPr>
                <w:sz w:val="18"/>
                <w:szCs w:val="18"/>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of outstanding options, warrants</w:t>
            </w:r>
          </w:p>
        </w:tc>
        <w:tc>
          <w:tcPr>
            <w:tcW w:w="24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36"/>
        </w:trPr>
        <w:tc>
          <w:tcPr>
            <w:tcW w:w="3600" w:type="dxa"/>
            <w:vAlign w:val="bottom"/>
          </w:tcPr>
          <w:p>
            <w:pPr>
              <w:ind w:left="1320"/>
              <w:spacing w:after="0"/>
              <w:rPr>
                <w:sz w:val="20"/>
                <w:szCs w:val="20"/>
                <w:color w:val="auto"/>
              </w:rPr>
            </w:pPr>
            <w:r>
              <w:rPr>
                <w:rFonts w:ascii="Arial" w:cs="Arial" w:eastAsia="Arial" w:hAnsi="Arial"/>
                <w:sz w:val="18"/>
                <w:szCs w:val="18"/>
                <w:color w:val="auto"/>
              </w:rPr>
              <w:t>Plan category</w:t>
            </w:r>
          </w:p>
        </w:tc>
        <w:tc>
          <w:tcPr>
            <w:tcW w:w="10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options, warrants and rights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and rights</w:t>
            </w:r>
          </w:p>
        </w:tc>
        <w:tc>
          <w:tcPr>
            <w:tcW w:w="24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201"/>
        </w:trPr>
        <w:tc>
          <w:tcPr>
            <w:tcW w:w="3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Equity compensation plans approved by security</w:t>
            </w:r>
          </w:p>
        </w:tc>
        <w:tc>
          <w:tcPr>
            <w:tcW w:w="10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2005 Equity Incentive Plan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808,306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660"/>
              <w:spacing w:after="0"/>
              <w:rPr>
                <w:sz w:val="20"/>
                <w:szCs w:val="20"/>
                <w:color w:val="auto"/>
              </w:rPr>
            </w:pPr>
            <w:r>
              <w:rPr>
                <w:rFonts w:ascii="Arial" w:cs="Arial" w:eastAsia="Arial" w:hAnsi="Arial"/>
                <w:sz w:val="18"/>
                <w:szCs w:val="18"/>
                <w:color w:val="auto"/>
              </w:rPr>
              <w:t>2014 Equity Incentive Plan</w:t>
            </w:r>
          </w:p>
        </w:tc>
        <w:tc>
          <w:tcPr>
            <w:tcW w:w="100" w:type="dxa"/>
            <w:vAlign w:val="bottom"/>
          </w:tcPr>
          <w:p>
            <w:pPr>
              <w:spacing w:after="0"/>
              <w:rPr>
                <w:sz w:val="18"/>
                <w:szCs w:val="18"/>
                <w:color w:val="auto"/>
              </w:rPr>
            </w:pP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2440" w:type="dxa"/>
            <w:vAlign w:val="bottom"/>
          </w:tcPr>
          <w:p>
            <w:pPr>
              <w:jc w:val="right"/>
              <w:spacing w:after="0"/>
              <w:rPr>
                <w:sz w:val="20"/>
                <w:szCs w:val="20"/>
                <w:color w:val="auto"/>
              </w:rPr>
            </w:pPr>
            <w:r>
              <w:rPr>
                <w:rFonts w:ascii="Arial" w:cs="Arial" w:eastAsia="Arial" w:hAnsi="Arial"/>
                <w:sz w:val="18"/>
                <w:szCs w:val="18"/>
                <w:color w:val="auto"/>
              </w:rPr>
              <w:t>566,000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842,306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2014, our shareholders approved the adoption of the 2014 Equity Incentive Plan. The Company also maintains the 2005 Equity Incentive Plan which was approved by our shareholders, however no new awards will be available for future issuance under this Plan. The number of shares of common stock which may be subject to awards granted under the 2014 Equity Incentive Plan is 600,000.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and is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response to this item will be contained in the Proxy Statement section and is incorporated herein by reference.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a part of this report are listed in the accompanying Index to Exhibits.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TRANSACT TECHNOLOGIES INCORPORATED</w:t>
      </w:r>
    </w:p>
    <w:p>
      <w:pPr>
        <w:spacing w:after="0" w:line="200" w:lineRule="exact"/>
        <w:rPr>
          <w:sz w:val="20"/>
          <w:szCs w:val="20"/>
          <w:color w:val="auto"/>
        </w:rPr>
      </w:pPr>
    </w:p>
    <w:p>
      <w:pPr>
        <w:spacing w:after="0" w:line="238" w:lineRule="exact"/>
        <w:rPr>
          <w:sz w:val="20"/>
          <w:szCs w:val="20"/>
          <w:color w:val="auto"/>
        </w:rPr>
      </w:pPr>
    </w:p>
    <w:tbl>
      <w:tblPr>
        <w:tblLayout w:type="fixed"/>
        <w:tblInd w:w="480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Bart C. Shuldman</w:t>
            </w:r>
          </w:p>
        </w:tc>
      </w:tr>
      <w:tr>
        <w:trPr>
          <w:trHeight w:val="197"/>
        </w:trPr>
        <w:tc>
          <w:tcPr>
            <w:tcW w:w="700" w:type="dxa"/>
            <w:vAlign w:val="bottom"/>
          </w:tcPr>
          <w:p>
            <w:pPr>
              <w:spacing w:after="0" w:line="197" w:lineRule="exact"/>
              <w:rPr>
                <w:sz w:val="20"/>
                <w:szCs w:val="20"/>
                <w:color w:val="auto"/>
              </w:rPr>
            </w:pPr>
            <w:r>
              <w:rPr>
                <w:rFonts w:ascii="Arial" w:cs="Arial" w:eastAsia="Arial" w:hAnsi="Arial"/>
                <w:sz w:val="18"/>
                <w:szCs w:val="18"/>
                <w:color w:val="auto"/>
              </w:rPr>
              <w:t>Name:</w:t>
            </w:r>
          </w:p>
        </w:tc>
        <w:tc>
          <w:tcPr>
            <w:tcW w:w="592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2015</w:t>
      </w:r>
    </w:p>
    <w:p>
      <w:pPr>
        <w:spacing w:after="0" w:line="25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p>
        </w:tc>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Signature</w:t>
            </w:r>
          </w:p>
        </w:tc>
        <w:tc>
          <w:tcPr>
            <w:tcW w:w="460" w:type="dxa"/>
            <w:vAlign w:val="bottom"/>
          </w:tcPr>
          <w:p>
            <w:pPr>
              <w:spacing w:after="0"/>
              <w:rPr>
                <w:sz w:val="20"/>
                <w:szCs w:val="20"/>
                <w:color w:val="auto"/>
              </w:rPr>
            </w:pPr>
          </w:p>
        </w:tc>
        <w:tc>
          <w:tcPr>
            <w:tcW w:w="39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Title</w:t>
            </w:r>
          </w:p>
        </w:tc>
        <w:tc>
          <w:tcPr>
            <w:tcW w:w="4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652"/>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Chairman of the Board</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r>
      <w:tr>
        <w:trPr>
          <w:trHeight w:val="201"/>
        </w:trPr>
        <w:tc>
          <w:tcPr>
            <w:tcW w:w="46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b w:val="1"/>
                <w:bCs w:val="1"/>
                <w:color w:val="auto"/>
              </w:rPr>
              <w:t>Bart C. Shuldman</w:t>
            </w:r>
          </w:p>
        </w:tc>
        <w:tc>
          <w:tcPr>
            <w:tcW w:w="46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and Chief Executive Officer,</w:t>
            </w: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0"/>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867"/>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President, Chief Financial Officer,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r>
      <w:tr>
        <w:trPr>
          <w:trHeight w:val="201"/>
        </w:trPr>
        <w:tc>
          <w:tcPr>
            <w:tcW w:w="46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b w:val="1"/>
                <w:bCs w:val="1"/>
                <w:color w:val="auto"/>
              </w:rPr>
              <w:t>Steven A. DeMartino</w:t>
            </w:r>
          </w:p>
        </w:tc>
        <w:tc>
          <w:tcPr>
            <w:tcW w:w="46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Treasurer and Secretary</w:t>
            </w:r>
          </w:p>
        </w:tc>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30"/>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867"/>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634"/>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Schwarz</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Thomas R. Schwarz</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849"/>
        </w:trPr>
        <w:tc>
          <w:tcPr>
            <w:tcW w:w="46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Y. Tanaka</w:t>
            </w:r>
          </w:p>
        </w:tc>
        <w:tc>
          <w:tcPr>
            <w:tcW w:w="4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4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Graham Y. Tanaka</w:t>
            </w:r>
          </w:p>
        </w:tc>
        <w:tc>
          <w:tcPr>
            <w:tcW w:w="4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587"/>
        </w:trPr>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360" w:type="dxa"/>
            <w:vAlign w:val="bottom"/>
            <w:gridSpan w:val="2"/>
          </w:tcPr>
          <w:p>
            <w:pPr>
              <w:jc w:val="right"/>
              <w:ind w:right="117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17"/>
        </w:trPr>
        <w:tc>
          <w:tcPr>
            <w:tcW w:w="4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2" w:name="page33"/>
    <w:bookmarkEnd w:id="32"/>
    <w:p>
      <w:pPr>
        <w:jc w:val="center"/>
        <w:ind w:right="-6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2080" w:type="dxa"/>
            <w:vAlign w:val="bottom"/>
          </w:tcPr>
          <w:p>
            <w:pPr>
              <w:spacing w:after="0"/>
              <w:rPr>
                <w:sz w:val="18"/>
                <w:szCs w:val="18"/>
                <w:color w:val="auto"/>
              </w:rPr>
            </w:pPr>
          </w:p>
        </w:tc>
      </w:tr>
      <w:tr>
        <w:trPr>
          <w:trHeight w:val="189"/>
        </w:trPr>
        <w:tc>
          <w:tcPr>
            <w:tcW w:w="340" w:type="dxa"/>
            <w:vAlign w:val="bottom"/>
          </w:tcPr>
          <w:p>
            <w:pPr>
              <w:spacing w:after="0"/>
              <w:rPr>
                <w:sz w:val="16"/>
                <w:szCs w:val="16"/>
                <w:color w:val="auto"/>
              </w:rPr>
            </w:pPr>
          </w:p>
        </w:tc>
        <w:tc>
          <w:tcPr>
            <w:tcW w:w="8360" w:type="dxa"/>
            <w:vAlign w:val="bottom"/>
            <w:gridSpan w:val="9"/>
          </w:tcPr>
          <w:p>
            <w:pPr>
              <w:spacing w:after="0" w:line="189" w:lineRule="exact"/>
              <w:rPr>
                <w:sz w:val="20"/>
                <w:szCs w:val="20"/>
                <w:color w:val="auto"/>
              </w:rPr>
            </w:pPr>
            <w:r>
              <w:rPr>
                <w:rFonts w:ascii="Arial" w:cs="Arial" w:eastAsia="Arial" w:hAnsi="Arial"/>
                <w:sz w:val="18"/>
                <w:szCs w:val="18"/>
                <w:color w:val="0000EE"/>
              </w:rPr>
              <w:t>Report of Independent Registered Public Accounting Firm</w:t>
            </w:r>
          </w:p>
        </w:tc>
        <w:tc>
          <w:tcPr>
            <w:tcW w:w="2080" w:type="dxa"/>
            <w:vAlign w:val="bottom"/>
          </w:tcPr>
          <w:p>
            <w:pPr>
              <w:ind w:left="1840"/>
              <w:spacing w:after="0" w:line="189" w:lineRule="exact"/>
              <w:rPr>
                <w:sz w:val="20"/>
                <w:szCs w:val="20"/>
                <w:color w:val="auto"/>
              </w:rPr>
            </w:pPr>
            <w:r>
              <w:rPr>
                <w:rFonts w:ascii="Arial" w:cs="Arial" w:eastAsia="Arial" w:hAnsi="Arial"/>
                <w:sz w:val="18"/>
                <w:szCs w:val="18"/>
                <w:color w:val="auto"/>
                <w:w w:val="81"/>
              </w:rPr>
              <w:t>F-2</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462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Balance Sheets as of December 31, 2014 and 2013</w:t>
              </w:r>
            </w:hyperlink>
          </w:p>
        </w:tc>
        <w:tc>
          <w:tcPr>
            <w:tcW w:w="3740" w:type="dxa"/>
            <w:vAlign w:val="bottom"/>
            <w:gridSpan w:val="6"/>
          </w:tcPr>
          <w:p>
            <w:pPr>
              <w:spacing w:after="0"/>
              <w:rPr>
                <w:sz w:val="16"/>
                <w:szCs w:val="16"/>
                <w:color w:val="auto"/>
              </w:rPr>
            </w:pP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F-3</w:t>
            </w:r>
          </w:p>
        </w:tc>
      </w:tr>
      <w:tr>
        <w:trPr>
          <w:trHeight w:val="195"/>
        </w:trPr>
        <w:tc>
          <w:tcPr>
            <w:tcW w:w="340" w:type="dxa"/>
            <w:vAlign w:val="bottom"/>
          </w:tcPr>
          <w:p>
            <w:pPr>
              <w:spacing w:after="0"/>
              <w:rPr>
                <w:sz w:val="16"/>
                <w:szCs w:val="16"/>
                <w:color w:val="auto"/>
              </w:rPr>
            </w:pPr>
          </w:p>
        </w:tc>
        <w:tc>
          <w:tcPr>
            <w:tcW w:w="8360" w:type="dxa"/>
            <w:vAlign w:val="bottom"/>
            <w:gridSpan w:val="9"/>
          </w:tcPr>
          <w:p>
            <w:pPr>
              <w:spacing w:after="0" w:line="195"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Operations for the years ended December 31, 2014, 2013 and 20</w:t>
              </w:r>
            </w:hyperlink>
            <w:r>
              <w:rPr>
                <w:rFonts w:ascii="Arial" w:cs="Arial" w:eastAsia="Arial" w:hAnsi="Arial"/>
                <w:sz w:val="18"/>
                <w:szCs w:val="18"/>
                <w:color w:val="000000"/>
              </w:rPr>
              <w:t>12</w:t>
            </w: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F-4</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60" w:type="dxa"/>
            <w:vAlign w:val="bottom"/>
            <w:tcBorders>
              <w:right w:val="single" w:sz="8" w:color="auto"/>
            </w:tcBorders>
            <w:gridSpan w:val="3"/>
            <w:shd w:val="clear" w:color="auto" w:fill="0000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8360" w:type="dxa"/>
            <w:vAlign w:val="bottom"/>
            <w:gridSpan w:val="9"/>
          </w:tcPr>
          <w:p>
            <w:pPr>
              <w:spacing w:after="0" w:line="195"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Statements of Comprehensive Income (Loss) for the years ended December 31, 2014, 2013 and 20</w:t>
              </w:r>
            </w:hyperlink>
            <w:r>
              <w:rPr>
                <w:rFonts w:ascii="Arial" w:cs="Arial" w:eastAsia="Arial" w:hAnsi="Arial"/>
                <w:sz w:val="18"/>
                <w:szCs w:val="18"/>
                <w:color w:val="000000"/>
                <w:w w:val="90"/>
              </w:rPr>
              <w:t>12</w:t>
            </w: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F-5</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5"/>
        </w:trPr>
        <w:tc>
          <w:tcPr>
            <w:tcW w:w="340" w:type="dxa"/>
            <w:vAlign w:val="bottom"/>
          </w:tcPr>
          <w:p>
            <w:pPr>
              <w:spacing w:after="0"/>
              <w:rPr>
                <w:sz w:val="16"/>
                <w:szCs w:val="16"/>
                <w:color w:val="auto"/>
              </w:rPr>
            </w:pPr>
          </w:p>
        </w:tc>
        <w:tc>
          <w:tcPr>
            <w:tcW w:w="8360" w:type="dxa"/>
            <w:vAlign w:val="bottom"/>
            <w:gridSpan w:val="9"/>
          </w:tcPr>
          <w:p>
            <w:pPr>
              <w:spacing w:after="0" w:line="195"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Statements of Changes in Shareholders' Equity for the years ended December 31, 2014, 2013 and 20</w:t>
              </w:r>
            </w:hyperlink>
            <w:r>
              <w:rPr>
                <w:rFonts w:ascii="Arial" w:cs="Arial" w:eastAsia="Arial" w:hAnsi="Arial"/>
                <w:sz w:val="18"/>
                <w:szCs w:val="18"/>
                <w:color w:val="000000"/>
                <w:w w:val="88"/>
              </w:rPr>
              <w:t>12</w:t>
            </w: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F-6</w:t>
            </w:r>
          </w:p>
        </w:tc>
      </w:tr>
      <w:tr>
        <w:trPr>
          <w:trHeight w:val="195"/>
        </w:trPr>
        <w:tc>
          <w:tcPr>
            <w:tcW w:w="340" w:type="dxa"/>
            <w:vAlign w:val="bottom"/>
          </w:tcPr>
          <w:p>
            <w:pPr>
              <w:spacing w:after="0"/>
              <w:rPr>
                <w:sz w:val="16"/>
                <w:szCs w:val="16"/>
                <w:color w:val="auto"/>
              </w:rPr>
            </w:pPr>
          </w:p>
        </w:tc>
        <w:tc>
          <w:tcPr>
            <w:tcW w:w="824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December 31, 2014, 2013 and 20</w:t>
              </w:r>
            </w:hyperlink>
            <w:r>
              <w:rPr>
                <w:rFonts w:ascii="Arial" w:cs="Arial" w:eastAsia="Arial" w:hAnsi="Arial"/>
                <w:sz w:val="18"/>
                <w:szCs w:val="18"/>
                <w:color w:val="000000"/>
              </w:rPr>
              <w:t>12</w:t>
            </w:r>
          </w:p>
        </w:tc>
        <w:tc>
          <w:tcPr>
            <w:tcW w:w="120" w:type="dxa"/>
            <w:vAlign w:val="bottom"/>
            <w:tcBorders>
              <w:top w:val="single" w:sz="8" w:color="auto"/>
            </w:tcBorders>
          </w:tcPr>
          <w:p>
            <w:pPr>
              <w:spacing w:after="0"/>
              <w:rPr>
                <w:sz w:val="16"/>
                <w:szCs w:val="16"/>
                <w:color w:val="auto"/>
              </w:rPr>
            </w:pP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F-7</w:t>
            </w:r>
          </w:p>
        </w:tc>
      </w:tr>
      <w:tr>
        <w:trPr>
          <w:trHeight w:val="195"/>
        </w:trPr>
        <w:tc>
          <w:tcPr>
            <w:tcW w:w="340" w:type="dxa"/>
            <w:vAlign w:val="bottom"/>
          </w:tcPr>
          <w:p>
            <w:pPr>
              <w:spacing w:after="0"/>
              <w:rPr>
                <w:sz w:val="16"/>
                <w:szCs w:val="16"/>
                <w:color w:val="auto"/>
              </w:rPr>
            </w:pPr>
          </w:p>
        </w:tc>
        <w:tc>
          <w:tcPr>
            <w:tcW w:w="6680" w:type="dxa"/>
            <w:vAlign w:val="bottom"/>
            <w:tcBorders>
              <w:top w:val="single" w:sz="8" w:color="0000EE"/>
            </w:tcBorders>
            <w:gridSpan w:val="4"/>
          </w:tcPr>
          <w:p>
            <w:pPr>
              <w:spacing w:after="0" w:line="195" w:lineRule="exact"/>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180" w:type="dxa"/>
            <w:vAlign w:val="bottom"/>
            <w:tcBorders>
              <w:top w:val="single" w:sz="8" w:color="auto"/>
            </w:tcBorders>
            <w:gridSpan w:val="2"/>
          </w:tcPr>
          <w:p>
            <w:pPr>
              <w:spacing w:after="0"/>
              <w:rPr>
                <w:sz w:val="16"/>
                <w:szCs w:val="16"/>
                <w:color w:val="auto"/>
              </w:rPr>
            </w:pPr>
          </w:p>
        </w:tc>
        <w:tc>
          <w:tcPr>
            <w:tcW w:w="1500" w:type="dxa"/>
            <w:vAlign w:val="bottom"/>
            <w:gridSpan w:val="3"/>
          </w:tcPr>
          <w:p>
            <w:pPr>
              <w:spacing w:after="0"/>
              <w:rPr>
                <w:sz w:val="16"/>
                <w:szCs w:val="16"/>
                <w:color w:val="auto"/>
              </w:rPr>
            </w:pPr>
          </w:p>
        </w:tc>
        <w:tc>
          <w:tcPr>
            <w:tcW w:w="2080" w:type="dxa"/>
            <w:vAlign w:val="bottom"/>
          </w:tcPr>
          <w:p>
            <w:pPr>
              <w:ind w:left="1840"/>
              <w:spacing w:after="0" w:line="195" w:lineRule="exact"/>
              <w:rPr>
                <w:sz w:val="20"/>
                <w:szCs w:val="20"/>
                <w:color w:val="auto"/>
              </w:rPr>
            </w:pPr>
            <w:r>
              <w:rPr>
                <w:rFonts w:ascii="Arial" w:cs="Arial" w:eastAsia="Arial" w:hAnsi="Arial"/>
                <w:sz w:val="18"/>
                <w:szCs w:val="18"/>
                <w:color w:val="auto"/>
                <w:w w:val="81"/>
              </w:rPr>
              <w:t>F-8</w:t>
            </w:r>
          </w:p>
        </w:tc>
      </w:tr>
      <w:tr>
        <w:trPr>
          <w:trHeight w:val="20"/>
        </w:trPr>
        <w:tc>
          <w:tcPr>
            <w:tcW w:w="34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2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80"/>
          </w:cols>
          <w:pgMar w:left="240" w:top="511" w:right="879" w:bottom="1440" w:gutter="0" w:footer="0" w:header="0"/>
        </w:sectPr>
      </w:pPr>
    </w:p>
    <w:bookmarkStart w:id="33" w:name="page34"/>
    <w:bookmarkEnd w:id="33"/>
    <w:p>
      <w:pPr>
        <w:ind w:left="3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TransAct Technologies Incorporated:</w:t>
      </w:r>
    </w:p>
    <w:p>
      <w:pPr>
        <w:spacing w:after="0" w:line="25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TransAct Technologies Incorporated and its subsidiaries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6"/>
        </w:trPr>
        <w:tc>
          <w:tcPr>
            <w:tcW w:w="8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9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$2,326 and $1,811,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Accrued contingent consideration (Note 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lawsuit settlement expenses (Note 11)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6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Preferred stock, $0.01 par value, 4,800,000 authorized, none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900" w:type="dxa"/>
            <w:vAlign w:val="bottom"/>
          </w:tcPr>
          <w:p>
            <w:pPr>
              <w:ind w:left="660"/>
              <w:spacing w:after="0" w:line="201" w:lineRule="exact"/>
              <w:rPr>
                <w:sz w:val="20"/>
                <w:szCs w:val="20"/>
                <w:color w:val="auto"/>
              </w:rPr>
            </w:pPr>
            <w:r>
              <w:rPr>
                <w:rFonts w:ascii="Arial" w:cs="Arial" w:eastAsia="Arial" w:hAnsi="Arial"/>
                <w:sz w:val="18"/>
                <w:szCs w:val="18"/>
                <w:color w:val="auto"/>
                <w:w w:val="97"/>
              </w:rPr>
              <w:t>Common stock, $0.01 par value, 20,000,000 authorized at December 31, 2014 and 2013; 11,122,293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1300"/>
              <w:spacing w:after="0"/>
              <w:rPr>
                <w:sz w:val="20"/>
                <w:szCs w:val="20"/>
                <w:color w:val="auto"/>
              </w:rPr>
            </w:pPr>
            <w:r>
              <w:rPr>
                <w:rFonts w:ascii="Arial" w:cs="Arial" w:eastAsia="Arial" w:hAnsi="Arial"/>
                <w:sz w:val="18"/>
                <w:szCs w:val="18"/>
                <w:color w:val="auto"/>
                <w:w w:val="89"/>
              </w:rPr>
              <w:t>11,106,354 shares issued; 7,900,257 and 8,319,316 shares outstanding, at December 31, 2014 and 2013,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3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tcPr>
          <w:p>
            <w:pPr>
              <w:ind w:left="6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660"/>
              <w:spacing w:after="0"/>
              <w:rPr>
                <w:sz w:val="20"/>
                <w:szCs w:val="20"/>
                <w:color w:val="auto"/>
              </w:rPr>
            </w:pPr>
            <w:r>
              <w:rPr>
                <w:rFonts w:ascii="Arial" w:cs="Arial" w:eastAsia="Arial" w:hAnsi="Arial"/>
                <w:sz w:val="18"/>
                <w:szCs w:val="18"/>
                <w:color w:val="auto"/>
              </w:rPr>
              <w:t>Treasury stock, 3,222,036 and 2,787,038 shares, at cost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60,141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35,049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25,092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Engineering, design and product development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Arial" w:cs="Arial" w:eastAsia="Arial" w:hAnsi="Arial"/>
                <w:sz w:val="18"/>
                <w:szCs w:val="18"/>
                <w:color w:val="auto"/>
              </w:rPr>
              <w:t>Selling and marketing</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Arial" w:cs="Arial" w:eastAsia="Arial" w:hAnsi="Arial"/>
                <w:sz w:val="18"/>
                <w:szCs w:val="18"/>
                <w:color w:val="auto"/>
              </w:rPr>
              <w:t>Legal fees and settlement expenses associated with lawsuit (Note 11)</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Business consolidation and restructuring (Note 8)</w:t>
            </w: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18,475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6,617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ind w:left="66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common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6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8,589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common share: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6" w:name="page37"/>
    <w:bookmarkEnd w:id="36"/>
    <w:p>
      <w:pPr>
        <w:jc w:val="center"/>
        <w:ind w:left="260" w:right="2680"/>
        <w:spacing w:after="0" w:line="264" w:lineRule="auto"/>
        <w:rPr>
          <w:sz w:val="20"/>
          <w:szCs w:val="20"/>
          <w:color w:val="auto"/>
        </w:rPr>
      </w:pPr>
      <w:r>
        <w:rPr>
          <w:rFonts w:ascii="Arial" w:cs="Arial" w:eastAsia="Arial" w:hAnsi="Arial"/>
          <w:sz w:val="18"/>
          <w:szCs w:val="18"/>
          <w:b w:val="1"/>
          <w:bCs w:val="1"/>
          <w:color w:val="auto"/>
        </w:rPr>
        <w:t>TRANSACT TECHNOLOGIES INCORPORATED CONSOLIDATED STATEMENTS OF COMPREHENSIVE INCOME (LOSS)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7" w:name="page38"/>
    <w:bookmarkEnd w:id="37"/>
    <w:p>
      <w:pPr>
        <w:jc w:val="center"/>
        <w:spacing w:after="0" w:line="264"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Accumulated 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84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Treasury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Total</w:t>
            </w:r>
          </w:p>
        </w:tc>
      </w:tr>
      <w:tr>
        <w:trPr>
          <w:trHeight w:val="236"/>
        </w:trPr>
        <w:tc>
          <w:tcPr>
            <w:tcW w:w="284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Shares Amount</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Income (Loss)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0"/>
                <w:szCs w:val="20"/>
                <w:color w:val="auto"/>
              </w:rPr>
            </w:pPr>
          </w:p>
        </w:tc>
      </w:tr>
      <w:tr>
        <w:trPr>
          <w:trHeight w:val="215"/>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9,390,262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21,613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3"/>
              </w:rPr>
              <w:t>Issuance of shares from exercise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of stock options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51,122</w:t>
            </w: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1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Issuance of deferred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8"/>
              </w:rPr>
              <w:t>Tax benefit related to employee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stock sales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r>
      <w:tr>
        <w:trPr>
          <w:trHeight w:val="21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(721,184)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8"/>
              </w:rPr>
              <w:t>Dividends declared and paid on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4"/>
              </w:rPr>
              <w:t>Foreign currency translation adj.,</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2"/>
        </w:trPr>
        <w:tc>
          <w:tcPr>
            <w:tcW w:w="2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19"/>
                <w:szCs w:val="19"/>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1180" w:type="dxa"/>
            <w:vAlign w:val="bottom"/>
          </w:tcPr>
          <w:p>
            <w:pPr>
              <w:jc w:val="right"/>
              <w:spacing w:after="0"/>
              <w:rPr>
                <w:sz w:val="20"/>
                <w:szCs w:val="20"/>
                <w:color w:val="auto"/>
              </w:rPr>
            </w:pPr>
            <w:r>
              <w:rPr>
                <w:rFonts w:ascii="Arial" w:cs="Arial" w:eastAsia="Arial" w:hAnsi="Arial"/>
                <w:sz w:val="18"/>
                <w:szCs w:val="18"/>
                <w:color w:val="auto"/>
              </w:rPr>
              <w:t>8,720,200</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25,940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24,708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(17,333)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33,369</w:t>
            </w:r>
          </w:p>
        </w:tc>
        <w:tc>
          <w:tcPr>
            <w:tcW w:w="20" w:type="dxa"/>
            <w:vAlign w:val="bottom"/>
          </w:tcPr>
          <w:p>
            <w:pPr>
              <w:spacing w:after="0"/>
              <w:rPr>
                <w:sz w:val="18"/>
                <w:szCs w:val="18"/>
                <w:color w:val="auto"/>
              </w:rPr>
            </w:pP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Issuance of shares from exercise</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196,358</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9"/>
                <w:szCs w:val="19"/>
                <w:color w:val="auto"/>
              </w:rPr>
            </w:pPr>
          </w:p>
        </w:tc>
      </w:tr>
      <w:tr>
        <w:trPr>
          <w:trHeight w:val="215"/>
        </w:trPr>
        <w:tc>
          <w:tcPr>
            <w:tcW w:w="2840" w:type="dxa"/>
            <w:vAlign w:val="bottom"/>
          </w:tcPr>
          <w:p>
            <w:pPr>
              <w:ind w:left="340"/>
              <w:spacing w:after="0"/>
              <w:rPr>
                <w:sz w:val="20"/>
                <w:szCs w:val="20"/>
                <w:color w:val="auto"/>
              </w:rPr>
            </w:pPr>
            <w:r>
              <w:rPr>
                <w:rFonts w:ascii="Arial" w:cs="Arial" w:eastAsia="Arial" w:hAnsi="Arial"/>
                <w:sz w:val="18"/>
                <w:szCs w:val="18"/>
                <w:color w:val="auto"/>
                <w:w w:val="97"/>
              </w:rPr>
              <w:t>Issuance of deferred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on</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stock units, net of relinquishments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8"/>
              </w:rPr>
              <w:t>Tax benefit related to employee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stock sales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1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(604,161)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8"/>
              </w:rPr>
              <w:t>Dividends declared and paid on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(2,317)</w:t>
            </w: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9"/>
                <w:szCs w:val="19"/>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5"/>
              </w:rPr>
              <w:t>Reversal of deferred tax asset in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840" w:type="dxa"/>
            <w:vAlign w:val="bottom"/>
          </w:tcPr>
          <w:p>
            <w:pPr>
              <w:ind w:left="500"/>
              <w:spacing w:after="0"/>
              <w:rPr>
                <w:sz w:val="20"/>
                <w:szCs w:val="20"/>
                <w:color w:val="auto"/>
              </w:rPr>
            </w:pPr>
            <w:r>
              <w:rPr>
                <w:rFonts w:ascii="Arial" w:cs="Arial" w:eastAsia="Arial" w:hAnsi="Arial"/>
                <w:sz w:val="18"/>
                <w:szCs w:val="18"/>
                <w:color w:val="auto"/>
                <w:w w:val="99"/>
              </w:rPr>
              <w:t>connection with stock options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Foreign currency translation adj.,</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22"/>
        </w:trPr>
        <w:tc>
          <w:tcPr>
            <w:tcW w:w="2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20" w:type="dxa"/>
            <w:vAlign w:val="bottom"/>
          </w:tcPr>
          <w:p>
            <w:pPr>
              <w:spacing w:after="0"/>
              <w:rPr>
                <w:sz w:val="19"/>
                <w:szCs w:val="19"/>
                <w:color w:val="auto"/>
              </w:rPr>
            </w:pPr>
          </w:p>
        </w:tc>
      </w:tr>
      <w:tr>
        <w:trPr>
          <w:trHeight w:val="215"/>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8,319,316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(22,527)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3"/>
              </w:rPr>
              <w:t>Issuance of shares from exercise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15"/>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Issuance of deferred stock 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on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840" w:type="dxa"/>
            <w:vAlign w:val="bottom"/>
          </w:tcPr>
          <w:p>
            <w:pPr>
              <w:ind w:left="500"/>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840" w:type="dxa"/>
            <w:vAlign w:val="bottom"/>
          </w:tcPr>
          <w:p>
            <w:pPr>
              <w:ind w:left="340"/>
              <w:spacing w:after="0"/>
              <w:rPr>
                <w:sz w:val="20"/>
                <w:szCs w:val="20"/>
                <w:color w:val="auto"/>
              </w:rPr>
            </w:pPr>
            <w:r>
              <w:rPr>
                <w:rFonts w:ascii="Arial" w:cs="Arial" w:eastAsia="Arial" w:hAnsi="Arial"/>
                <w:sz w:val="18"/>
                <w:szCs w:val="18"/>
                <w:color w:val="auto"/>
                <w:w w:val="91"/>
              </w:rPr>
              <w:t>stock units, net of relinquishments</w:t>
            </w:r>
          </w:p>
        </w:tc>
        <w:tc>
          <w:tcPr>
            <w:tcW w:w="1180" w:type="dxa"/>
            <w:vAlign w:val="bottom"/>
          </w:tcPr>
          <w:p>
            <w:pPr>
              <w:jc w:val="right"/>
              <w:spacing w:after="0"/>
              <w:rPr>
                <w:sz w:val="20"/>
                <w:szCs w:val="20"/>
                <w:color w:val="auto"/>
              </w:rPr>
            </w:pPr>
            <w:r>
              <w:rPr>
                <w:rFonts w:ascii="Arial" w:cs="Arial" w:eastAsia="Arial" w:hAnsi="Arial"/>
                <w:sz w:val="18"/>
                <w:szCs w:val="18"/>
                <w:color w:val="auto"/>
              </w:rPr>
              <w:t>9,939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Tax benefit related to employee</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 sales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15"/>
        </w:trPr>
        <w:tc>
          <w:tcPr>
            <w:tcW w:w="284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(434,998)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(2,634)</w:t>
            </w:r>
          </w:p>
        </w:tc>
        <w:tc>
          <w:tcPr>
            <w:tcW w:w="20" w:type="dxa"/>
            <w:vAlign w:val="bottom"/>
          </w:tcPr>
          <w:p>
            <w:pPr>
              <w:spacing w:after="0"/>
              <w:rPr>
                <w:sz w:val="18"/>
                <w:szCs w:val="18"/>
                <w:color w:val="auto"/>
              </w:rPr>
            </w:pP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Dividends declared and paid on</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19"/>
                <w:szCs w:val="19"/>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expense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r>
      <w:tr>
        <w:trPr>
          <w:trHeight w:val="201"/>
        </w:trPr>
        <w:tc>
          <w:tcPr>
            <w:tcW w:w="2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Reversal of deferred tax asset in</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connection with stock options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01"/>
        </w:trPr>
        <w:tc>
          <w:tcPr>
            <w:tcW w:w="2840" w:type="dxa"/>
            <w:vAlign w:val="bottom"/>
          </w:tcPr>
          <w:p>
            <w:pPr>
              <w:ind w:left="340"/>
              <w:spacing w:after="0" w:line="201" w:lineRule="exact"/>
              <w:rPr>
                <w:sz w:val="20"/>
                <w:szCs w:val="20"/>
                <w:color w:val="auto"/>
              </w:rPr>
            </w:pPr>
            <w:r>
              <w:rPr>
                <w:rFonts w:ascii="Arial" w:cs="Arial" w:eastAsia="Arial" w:hAnsi="Arial"/>
                <w:sz w:val="18"/>
                <w:szCs w:val="18"/>
                <w:color w:val="auto"/>
                <w:w w:val="94"/>
              </w:rPr>
              <w:t>Foreign currency translation adj.,</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8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2"/>
        </w:trPr>
        <w:tc>
          <w:tcPr>
            <w:tcW w:w="2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19"/>
                <w:szCs w:val="19"/>
                <w:color w:val="auto"/>
              </w:rPr>
            </w:pPr>
          </w:p>
        </w:tc>
      </w:t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180" w:type="dxa"/>
            <w:vAlign w:val="bottom"/>
          </w:tcPr>
          <w:p>
            <w:pPr>
              <w:jc w:val="right"/>
              <w:spacing w:after="0"/>
              <w:rPr>
                <w:sz w:val="20"/>
                <w:szCs w:val="20"/>
                <w:color w:val="auto"/>
              </w:rPr>
            </w:pPr>
            <w:r>
              <w:rPr>
                <w:rFonts w:ascii="Arial" w:cs="Arial" w:eastAsia="Arial" w:hAnsi="Arial"/>
                <w:sz w:val="18"/>
                <w:szCs w:val="18"/>
                <w:color w:val="auto"/>
              </w:rPr>
              <w:t>7,900,257</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28,167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22,349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(25,161)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25,394</w:t>
            </w:r>
          </w:p>
        </w:tc>
        <w:tc>
          <w:tcPr>
            <w:tcW w:w="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267"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5"/>
        </w:trPr>
        <w:tc>
          <w:tcPr>
            <w:tcW w:w="7880" w:type="dxa"/>
            <w:vAlign w:val="bottom"/>
            <w:gridSpan w:val="3"/>
          </w:tcPr>
          <w:p>
            <w:pPr>
              <w:ind w:left="3720"/>
              <w:spacing w:after="0"/>
              <w:rPr>
                <w:sz w:val="20"/>
                <w:szCs w:val="20"/>
                <w:color w:val="auto"/>
              </w:rPr>
            </w:pPr>
            <w:r>
              <w:rPr>
                <w:rFonts w:ascii="Arial" w:cs="Arial" w:eastAsia="Arial" w:hAnsi="Arial"/>
                <w:sz w:val="18"/>
                <w:szCs w:val="18"/>
                <w:b w:val="1"/>
                <w:bCs w:val="1"/>
                <w:color w:val="auto"/>
              </w:rPr>
              <w:t>TRANSACT TECHNOLOGIES INCORPORATED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gridSpan w:val="3"/>
          </w:tcPr>
          <w:p>
            <w:pPr>
              <w:ind w:left="360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52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7"/>
            <w:vMerge w:val="restart"/>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7"/>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(loss) income</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8"/>
                <w:szCs w:val="18"/>
                <w:color w:val="auto"/>
                <w:w w:val="95"/>
              </w:rPr>
              <w:t>Adjustments to reconcile net (loss) income to net cash provided by operating activities: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Arial" w:cs="Arial" w:eastAsia="Arial" w:hAnsi="Arial"/>
                <w:sz w:val="18"/>
                <w:szCs w:val="18"/>
                <w:color w:val="auto"/>
              </w:rPr>
              <w:t>Incremental tax benefits from stock options exercised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Arial" w:cs="Arial" w:eastAsia="Arial" w:hAnsi="Arial"/>
                <w:sz w:val="18"/>
                <w:szCs w:val="18"/>
                <w:color w:val="auto"/>
              </w:rPr>
              <w:t>Deferred income tax (benefit) provision</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Loss (gain) on sale of fixed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300"/>
              <w:spacing w:after="0"/>
              <w:rPr>
                <w:sz w:val="20"/>
                <w:szCs w:val="20"/>
                <w:color w:val="auto"/>
              </w:rPr>
            </w:pPr>
            <w:r>
              <w:rPr>
                <w:rFonts w:ascii="Arial" w:cs="Arial" w:eastAsia="Arial" w:hAnsi="Arial"/>
                <w:sz w:val="18"/>
                <w:szCs w:val="18"/>
                <w:color w:val="auto"/>
              </w:rPr>
              <w:t>Foreign currency transaction losses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Other current and long term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19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Accrued lawsuit settlement expenses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2120"/>
              <w:spacing w:after="0"/>
              <w:rPr>
                <w:sz w:val="20"/>
                <w:szCs w:val="20"/>
                <w:color w:val="auto"/>
              </w:rPr>
            </w:pPr>
            <w:r>
              <w:rPr>
                <w:rFonts w:ascii="Arial" w:cs="Arial" w:eastAsia="Arial" w:hAnsi="Arial"/>
                <w:sz w:val="18"/>
                <w:szCs w:val="18"/>
                <w:color w:val="auto"/>
              </w:rPr>
              <w:t>Accrued liabilities and other liabilities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Additions to capitalized software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660"/>
              <w:spacing w:after="0"/>
              <w:rPr>
                <w:sz w:val="20"/>
                <w:szCs w:val="20"/>
                <w:color w:val="auto"/>
              </w:rPr>
            </w:pPr>
            <w:r>
              <w:rPr>
                <w:rFonts w:ascii="Arial" w:cs="Arial" w:eastAsia="Arial" w:hAnsi="Arial"/>
                <w:sz w:val="18"/>
                <w:szCs w:val="18"/>
                <w:color w:val="auto"/>
              </w:rPr>
              <w:t>Proceeds from sale of fixed assets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Purchases of common stock for treasury</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8"/>
                <w:szCs w:val="18"/>
                <w:color w:val="auto"/>
              </w:rPr>
              <w:t>Payment of dividends on common stock</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Incremental tax benefits from stock options exercised</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ind w:left="660"/>
              <w:spacing w:after="0"/>
              <w:rPr>
                <w:sz w:val="20"/>
                <w:szCs w:val="20"/>
                <w:color w:val="auto"/>
              </w:rPr>
            </w:pPr>
            <w:r>
              <w:rPr>
                <w:rFonts w:ascii="Arial" w:cs="Arial" w:eastAsia="Arial" w:hAnsi="Arial"/>
                <w:sz w:val="18"/>
                <w:szCs w:val="18"/>
                <w:color w:val="auto"/>
              </w:rPr>
              <w:t>Payment of deferred financing costs</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660"/>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9" w:name="page40"/>
    <w:bookmarkEnd w:id="39"/>
    <w:p>
      <w:pPr>
        <w:ind w:left="3800"/>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NY, operates in one operating segment: market specific solutions, including printers, terminals, software and other products for transaction-based and other industries. These industries include casino, gaming, lottery, banking, point-of-sale, food safety, oil and gas and medical and mobile. Our printers are designed based on market-specific requirements and are sold under the Ithaca®, RESPONDER®, Epic, EPICENTRAL® and Printrex® product brands. We distribute our products through OEMs, value-added resellers, selected distributors, and directly to end-users. Our product distribution spans across the Americas, Europe, the Middle East, Africa, Asia, Australia, the Caribbean Islands and the South Pacific. We also generate revenue from the after-market side of the business, providing printer service, supplies and spare parts in addition to revenue from our software solution, the EPICENTRAL® Print System (“EPICENTRAL®”), that enables casino operators to create promotional coupons and marketing messages and print them in real-time at the slot machine.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94"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Consolidated Financial Statements were prepared using estimates and assumptions that affect the reported amounts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assembly and marketing of transaction printers and terminals and providing printer-related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2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$100,000 as of December 31, 2014 and $63,000 as of December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w w:val="93"/>
              </w:rPr>
              <w:t>The following table summarizes the activity recorded in the valuation account for accounts receivable: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4"/>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market.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market value based on historical usage and estimates of future demand. Based on these reviews, inventory write-downs are recorded, as necessary, to reflect estimated obsolescence, excess quantities and market value.</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Fixed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assets are stated at cost. Depreciation is recorded using the straight-line method over the estimated useful lives. The estimated useful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$925,000, $1,216,000 and $1,183,000 in 2014, 2013 and 2012,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Accounting Standards Codification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 lived intangible assets are amortized and are tested for impairment when appropriate. We have determined that no goodwill impairment has occurred based on our assessment as of December 31, 2014 when the impairment review is performed.</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typical contracts include the sale of printers, which are sometimes accompanied by separately-priced extended warranty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We also sell replacement parts, consumables, and other repair services (sometimes pursuant to multi-year product maintenance contracts), which are not included in the original printer sale and are ordered by the customer as needed. We recognize revenue pursuant to the guidance within ASC 605, “Revenue Recognition” (ASC 605). Specifically, revenue is recognized when evidence of an arrangement exists, delivery (based on shipping terms, which are generally FOB shipping point) has occurred, the selling price is fixed and determinable, and collectability is reasonably assured. We recognize revenue from the sale of printers and terminals to our distributors and resellers on a sell-in basis and on substantially the same terms as we recognize revenue from all our other customers. We provide for an estimate of product returns and price protection based on historical experience at the time of revenue recognition.</w:t>
      </w:r>
    </w:p>
    <w:p>
      <w:pPr>
        <w:spacing w:after="0" w:line="19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have developed a software solution, EPICENTRAL™, that enables casino operators to create promotional coupons and marketing messages and to print them in real-time at the slot machine. Revenue arrangements for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primarily comprised of both a software component, which is licensed to the customer, and a hardware component. EPICENTRAL™ contains both software and hardware that are integrated to deliver the system’s full functionality. These arrangements are accounted for in accordance with ASC 605-25, “Multiple-Element Arrangements”. EPICENTRAL™ can also include an additional software offering, Mobile Host, that allows the customer to access certain applications on mobile devices. Mobile Host is accounted for in accordance with ASC 985-605, “Software” as Mobile Host software does not function together with the hardware device to deliver its essential functionality.</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Revenue, inclusive of software license fees, is generally recognized upon installation and formal acceptance by the customer with the exception of any amount allocated to free maintenance which is deferred and recognized over the initial maintenance period, generally one year.</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For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multiple deliverable arrangements, we consider whether the deliverables in an arrangement are within the scope of existing higher-level GAAP and apply such literature to the extent that it provides guidance regarding whether to separate multiple-deliverable arrangements and how to allocate value among those separate units of accounting. When we enter into a multiple deliverable arrangement, we also determine whether revenue arrangements consist of more than one unit of accounting. At that time, we allocate arrangement consideration to the separate units of accounting based on a relative selling price hierarchy, except where amounts allocable to the delivered units is limited to that which is contingent upon the delivery of additional deliverables or meeting other specified performance conditions. The relative selling price for each element is based upon the following selling price hierarchy: vendor specific objective evidence (“VSOE”) if available, third party evidence (“TPE”) if VSOE is not available, or best estimate of selling price (“BESP”) to the extent that VSOE or TPE are not available.</w:t>
      </w:r>
    </w:p>
    <w:p>
      <w:pPr>
        <w:spacing w:after="0" w:line="21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Revenue related to extended warranty and product maintenance contracts is recognized pursuant to ASC 605-20-25, “Separately Priced Extended Warranty and Product Maintenance Contracts.” Pursuant to this provision, revenue related to separately priced product maintenance contracts is deferred and recognized over the term of the maintenance period. We record deferred revenue for advance payments received from customers for maintenance contracts.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have the right to return products that do not function properly within a limited time after delivery. We monitor and track product returns and record a provision for the estimated future returns based on historical experience. Returns have historically been within expectations and the provisions established.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some of our customers price protection as an incentive to carry inventory of our product. These price protection plans provide that if we lower prices, we will credit them for the price decrease on inventory they hold. Our customers typically carry limited amounts of inventory, and we infrequently lower prices on current products. As a result, the amounts paid under these plans have not been material.</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charge our customers for shipping and handling services. The amounts billed to customers are recorded as revenue when the product ships. Any costs incurred related to these services are included in cost of sales.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b w:val="1"/>
          <w:bCs w:val="1"/>
          <w:i w:val="1"/>
          <w:iCs w:val="1"/>
          <w:color w:val="auto"/>
        </w:rPr>
        <w:t>Concentration of credit risk</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Financial instruments that potentially expose us to concentrations of credit risk are limited to cash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cash equivalents held by our banks in excess of insured limits and accounts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23"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r>
      <w:tr>
        <w:trPr>
          <w:trHeight w:val="215"/>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GTECH</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5"/>
        </w:trPr>
        <w:tc>
          <w:tcPr>
            <w:tcW w:w="9680" w:type="dxa"/>
            <w:vAlign w:val="bottom"/>
            <w:gridSpan w:val="2"/>
          </w:tcPr>
          <w:p>
            <w:pPr>
              <w:spacing w:after="0"/>
              <w:rPr>
                <w:sz w:val="20"/>
                <w:szCs w:val="20"/>
                <w:color w:val="auto"/>
              </w:rPr>
            </w:pPr>
            <w:r>
              <w:rPr>
                <w:rFonts w:ascii="Arial" w:cs="Arial" w:eastAsia="Arial" w:hAnsi="Arial"/>
                <w:sz w:val="18"/>
                <w:szCs w:val="18"/>
                <w:color w:val="auto"/>
              </w:rPr>
              <w:t>Eurocoin</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5"/>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Suzo-Happ</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CMC Daymark</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25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GTECH</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Eurocoin</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bl>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Warranty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warrant our products for up to 36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4"/>
        </w:trPr>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Approximately $207,000 and $282,000 of the accrued product warranty liability were classified as current in Accrued liabilities at December 31, 2014 and 2013, respectively. The remaining $80,000 and $84,000 of the accrued product warranty liability is classified as long-term in Other liabilities.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Engineering, design and product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expenses include expenses incurred in connection with specialized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design to introduce new products and to customize existing products, and are expensed as a component of operating expenses as incurred. We recorded approximately $4,302,000, $4,065,000 and $4,239,000 of research and development expenses in 2014, 2013 and 2012, respectively.</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will be included in cost of sales over the estimated life of the product. During 2010 we began the development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unamortized development costs for such software were approximately $169,000 and $370,000 as of December 31, 2014 and 2013, respectively. The total amount charged to cost of sales for capitalized software development costs was approximately $201,000, $199,000 and $189,000 in 2014, 2013 and 2012, respectively. The weighted-average amortization period of unamortized capitalized software developments costs is approximately one year.</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2014, 2013 and 2012 totaled $1,191,000, $1,058,000 and $949,000, respectively. These expenses include items such as consulting and professional services, tradeshows, and print advertising.</w:t>
      </w:r>
    </w:p>
    <w:p>
      <w:pPr>
        <w:spacing w:after="0" w:line="20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Restructuring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continually evaluate our cost structure to ensure that it is appropriately positioned to respond to changing market conditions. We record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pre-tax restructuring charges in accordance with ASC 420-10-25-4, “Exit or Disposal Cost Obligations.” See Note 8 for further discussion.</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income tax amounts reflected in the accompanying Consolidated Financial Statements are accounted for under the liability method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13 for information regarding our accounting for income taxes.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Foreign currency translation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position and results of operations of our foreign subsidiary in the United Kingdom are measured using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as the functional currency. Assets and liabilities of such subsidiary have been translated into U.S. dollars at the year-end exchange rate, related sales and expenses have been translated at the average exchange rate for the year,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Operations.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Share-based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December 31, 2014, we had share-based employee compensation plans, which are described more fully in Note 12 -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 We have no awards with market or performance conditions.</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In addition, we estimate forfeitures when recognizing compensation expense, and we adjust our estimate of forfeitures over the requisite service period based on the extent to which actual forfeitures differ, or are expected to differ, from such estimates. Changes in estimated forfeitures are recognized through a cumulative true-up adjustment in the period of change and also impacts the amount of compensation expense to be recognized in future periods.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Net income and loss per share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14 - Earnings per share.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Contingent Consideration</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 business acquisition on August 19, 2011, whereby we purchased substantially all of the assets of Printrex, Inc (“Printrex”), we entered into a contingent consideration arrangement with Printrex as part of the acquisition for 30% of the gross profit for a three-year period related to new products under development, less certain other adjustments, beginning on the earlier of 1) January 1, 2012 or 2) the date of first commercial introduction of the new products under development. As of December 31, 2014, the undiscounted fair value related to the contingent liability was estimated to be zero and we do not expect to make a contingent consideration payment. The fair value of the contingent consideration arrangement was $0 and $60,000 at December 31, 2014 and 2013, respectively, which were estimated by applying the income approach. That measure is based on significant inputs that are not observable in the market, which fair value measurement guidance refers to as Level 3 inputs. During 2014 and 2013, the fair value of the contingent consideration was decreased by $60,000 and $900,000, respectively, and this credit is included in general and administrative expenses on the Consolidated Statements of Operations. No payments were made under the arrangement during 2014 as the underlying conditions of the contingent consideration arrangement were not satisfied.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i w:val="1"/>
                <w:i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i w:val="1"/>
                <w:iCs w:val="1"/>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and purchased component parts</w:t>
            </w:r>
          </w:p>
        </w:tc>
        <w:tc>
          <w:tcPr>
            <w:tcW w:w="4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Work-in-process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456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56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Tooling, machinery and equipment</w:t>
            </w:r>
          </w:p>
        </w:tc>
        <w:tc>
          <w:tcPr>
            <w:tcW w:w="4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(17,858)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Construction in-process</w:t>
            </w:r>
          </w:p>
        </w:tc>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560" w:type="dxa"/>
            <w:vAlign w:val="bottom"/>
            <w:shd w:val="clear" w:color="auto" w:fill="CCEEFF"/>
          </w:tcPr>
          <w:p>
            <w:pPr>
              <w:spacing w:after="0"/>
              <w:rPr>
                <w:sz w:val="22"/>
                <w:szCs w:val="22"/>
                <w:color w:val="auto"/>
              </w:rPr>
            </w:pPr>
          </w:p>
        </w:tc>
        <w:tc>
          <w:tcPr>
            <w:tcW w:w="43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456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F-11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6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725"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6.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2014</w:t>
            </w:r>
          </w:p>
        </w:tc>
        <w:tc>
          <w:tcPr>
            <w:tcW w:w="10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2013</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39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0"/>
              </w:rPr>
              <w:t>Accumulated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0"/>
              </w:rPr>
              <w:t>Accumulated</w:t>
            </w:r>
          </w:p>
        </w:tc>
        <w:tc>
          <w:tcPr>
            <w:tcW w:w="20" w:type="dxa"/>
            <w:vAlign w:val="bottom"/>
          </w:tcPr>
          <w:p>
            <w:pPr>
              <w:spacing w:after="0"/>
              <w:rPr>
                <w:sz w:val="17"/>
                <w:szCs w:val="17"/>
                <w:color w:val="auto"/>
              </w:rPr>
            </w:pPr>
          </w:p>
        </w:tc>
      </w:tr>
      <w:tr>
        <w:trPr>
          <w:trHeight w:val="236"/>
        </w:trPr>
        <w:tc>
          <w:tcPr>
            <w:tcW w:w="39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1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Gross 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Amortization</w:t>
            </w:r>
          </w:p>
        </w:tc>
        <w:tc>
          <w:tcPr>
            <w:tcW w:w="20" w:type="dxa"/>
            <w:vAlign w:val="bottom"/>
          </w:tcPr>
          <w:p>
            <w:pPr>
              <w:spacing w:after="0"/>
              <w:rPr>
                <w:sz w:val="20"/>
                <w:szCs w:val="20"/>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2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35"/>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(2,326)</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 w:type="dxa"/>
            <w:vAlign w:val="bottom"/>
          </w:tcPr>
          <w:p>
            <w:pPr>
              <w:spacing w:after="0"/>
              <w:rPr>
                <w:sz w:val="20"/>
                <w:szCs w:val="20"/>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Amortization expense was $515,000 in 2014, $513,000 in 2013 and $568,000 in 2012. Amortization expense for each of the next five years ending December 31 is expected to be as follows: $456,000 in 2015; $333,000 in 2016; $244,000 in 2017; $102,000 in 2018; $99,000 in 2019 and $107,000 thereafter.</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96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vMerge w:val="restart"/>
          </w:tcPr>
          <w:p>
            <w:pPr>
              <w:ind w:left="5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1"/>
        </w:trPr>
        <w:tc>
          <w:tcPr>
            <w:tcW w:w="59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Salaries and compensation related</w:t>
            </w:r>
          </w:p>
        </w:tc>
        <w:tc>
          <w:tcPr>
            <w:tcW w:w="3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Warranty</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9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activities</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January 2012, we determined that we no longer needed to maintain the existing Printrex manufacturing facility in San Jose, California, along with certain redundant headcount. As a result, we incurred expenses of $138,000 in 2012 for employee termination benefits related to these employee reductions as well as moving costs and the closing of the San Jose manufacturing operations that was completed as of December 31, 2012. This restructuring charge was recorded in accordance with ASC 420-10-25-4 “Exit or Disposal Cost Obligations” and is included within Business consolidation and restructuring expenses in the accompanying Consolidated Statements of Operations. Cash payments made under this restructuring plan were completed by October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savings plan</w:t>
      </w:r>
    </w:p>
    <w:p>
      <w:pPr>
        <w:spacing w:after="0" w:line="254"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$282,000, $265,000 and $280,000 in 2014,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54"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We maintain a credit facility (the “TD Bank Credit Facility”) with TD Bank N.A. (“TD Bank) which provides for a $20,000,000 revolving credit line. On November 26, 2014, we signed an amendment to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total deferred financing costs relating to expenses incurred to complete the TD Bank Credit</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Facility was $8,000 which will be amortized over the three year term. The amendment increased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and modified the definition of Operating Cash Flow to exclude unfinanced capital expenditures for the quarters ending December 31, 2014, March 31, 2015 and June 30, 2015.</w:t>
      </w:r>
    </w:p>
    <w:p>
      <w:pPr>
        <w:spacing w:after="0" w:line="182"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undrawn commitments under the TD Bank Credit facility were $20,000,000.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alleged that this former employee and the Company misappropriated unspecified trade secrets and confidential information from AD related to the design of our food safety terminals. The complaint requested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the Company opposed this request. On October 15, 2013, the Eleventh District Court of Appeals affirmed the lower court’s decision in the Company’s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the Company filed its answer, affirmative defenses and counterclaims with respect to the amended complaint, seeking all available damages including legal fees. On January 30, 2015, the Company filed a motion for summary judgment seeking judgment in favor of the Company on all counts as to the Company. On the same day, AD filed two motions for partial summary judgment. On February 17, 2015, the Company opposed both of AD’s motions, and AD opposed the Company’s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the Company agreed to pay AD $3,600,000 payable on or before April 8, 2015 and also to qualify certain AD labels for use on the Company’s food safety terminals at an estimated cost of $25,000. The Company recorded the total expense of $3,625,000 in the fourth quarter as an operating expense included in the line item “Legal fees and settlement expenses associated with lawsuit” on the Consolidated Statement of Operations and as a current liability included in the line item “Accrued lawsuit settlement expenses” on the Consolidated Balance Sheet.</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2014, we were the lessee on operating leases for equipment and real property. Rent expense was approximately $918,000, $918,000 and $1,005,000 in 2014, 2013 and 2012, respectively. Minimum aggregate rental payments required under operating leases that have initial or remaining non-cancelable lease terms in excess of one year as of December 31, 2014 are as follows: $850,000 in 2015; $584,000 in 2016; $86,000 in 2017; $4,000 in 2018 and $1,000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Stock incentive plans</w:t>
      </w:r>
      <w:r>
        <w:rPr>
          <w:rFonts w:ascii="Arial" w:cs="Arial" w:eastAsia="Arial" w:hAnsi="Arial"/>
          <w:sz w:val="16"/>
          <w:szCs w:val="16"/>
          <w:color w:val="auto"/>
        </w:rPr>
        <w:t>. We currently have two primary stock incentive plans: the 2005 Equity Incentive Plan and 2014 Equity Incentive Plan, which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awards to executives, key employees, directors and consultants. We previously maintained two other stock incentive plans, the 1996 Director’s Stock Plan and the 2001 Employee Stock Plan, both of which expired during 2014. The plans generally provide for awards in the form of: (i) incentive stock options, (ii) non-qualified stock options, (iii) restricted stock, (iv) restricted stock units, (v) stock appreciation rights or (vi) limited stock appreciation rights. Options granted under these plans have exercise prices equal to 100% of the fair market value of the common stock at the date of grant. Options granted have a ten-year term and generally vest over a three- to five-year period, unless automatically accelerated for certain defined events. As of May 2014, no new awards will be made under the 2005 Equity Incentive Plan. Under our 2014 Equity Incentive Plan, we may authorize up to 600,000 shares of TransAct common stock. At December 31, 2014, 566,000 shares of common stock remained available for issuance under the 2014 Equity Incentive Plan.</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assumptions indicated below, the weighted-average fair value of stock option grants for 2014, 2013 and 2012 was $11.11, $7.94 and $6.91, respectively. The table below indicates the key assumptions used in the option valuation calculations for options granted in 2014, 2013 and 2012 and a discussion of our methodology for developing each of the assumptions used in the valuation model: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40" w:type="dxa"/>
            <w:vAlign w:val="bottom"/>
          </w:tcPr>
          <w:p>
            <w:pPr>
              <w:spacing w:after="0"/>
              <w:rPr>
                <w:sz w:val="20"/>
                <w:szCs w:val="20"/>
                <w:color w:val="auto"/>
              </w:rPr>
            </w:pPr>
          </w:p>
        </w:tc>
        <w:tc>
          <w:tcPr>
            <w:tcW w:w="300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color w:val="auto"/>
                <w:w w:val="92"/>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54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6.6 years</w:t>
            </w:r>
          </w:p>
        </w:tc>
        <w:tc>
          <w:tcPr>
            <w:tcW w:w="1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6.8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years</w:t>
            </w:r>
          </w:p>
        </w:tc>
        <w:tc>
          <w:tcPr>
            <w:tcW w:w="20" w:type="dxa"/>
            <w:vAlign w:val="bottom"/>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historical exercise patterns. Options granted have a maximum term of ten years and an increase in the expected term will increase compensation expense.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 option.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risk-free interest rate will increase compensation expense.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 We began paying a quarterly dividend to common shareholders in December 2012,. The dividend yield is calculated by dividing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declared per common share by the weighted average market value of our common stock on the date of grant. An increase in the dividend yield will decrease compensation expense.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67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2014, 2013 and 2012, we recorded $506,000, $521,000, and $520,000 of share-based compensation expense, respectively, included primarily in general and administrative expense in our Consolidated Statements of Operations. We also recorded income tax benefits of approximately $377,000, $127,000, and $183,000 in 2014, 2013, and 2012 respectively, related to such share-based compensation. At December 31, 2014, these benefits are recorded as a deferred tax asset in the Consolidated Balance Sheets.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 activity in the 1996 Directors’ Stock Plan, 2001 Employee Stock Plan, 2005 Equity Incentive Plan and 2014 Equity Incentive Plan is summarized below:</w:t>
      </w: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89"/>
              </w:rPr>
              <w:t>Weighted</w:t>
            </w: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3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 Remaining</w:t>
            </w:r>
          </w:p>
        </w:tc>
        <w:tc>
          <w:tcPr>
            <w:tcW w:w="14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Contractual Term</w:t>
            </w: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Intrinsic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169,500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(62,500)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2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1140" w:type="dxa"/>
            <w:vAlign w:val="bottom"/>
          </w:tcPr>
          <w:p>
            <w:pPr>
              <w:jc w:val="right"/>
              <w:spacing w:after="0"/>
              <w:rPr>
                <w:sz w:val="20"/>
                <w:szCs w:val="20"/>
                <w:color w:val="auto"/>
              </w:rPr>
            </w:pPr>
            <w:r>
              <w:rPr>
                <w:rFonts w:ascii="Arial" w:cs="Arial" w:eastAsia="Arial" w:hAnsi="Arial"/>
                <w:sz w:val="18"/>
                <w:szCs w:val="18"/>
                <w:color w:val="auto"/>
              </w:rPr>
              <w:t>795,975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3140" w:type="dxa"/>
            <w:vAlign w:val="bottom"/>
            <w:gridSpan w:val="2"/>
          </w:tcPr>
          <w:p>
            <w:pPr>
              <w:ind w:left="2380"/>
              <w:spacing w:after="0"/>
              <w:rPr>
                <w:sz w:val="20"/>
                <w:szCs w:val="20"/>
                <w:color w:val="auto"/>
              </w:rPr>
            </w:pPr>
            <w:r>
              <w:rPr>
                <w:rFonts w:ascii="Arial" w:cs="Arial" w:eastAsia="Arial" w:hAnsi="Arial"/>
                <w:sz w:val="18"/>
                <w:szCs w:val="18"/>
                <w:color w:val="auto"/>
                <w:w w:val="99"/>
              </w:rPr>
              <w:t>5.7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w w:val="99"/>
              </w:rPr>
              <w:t>4.1 years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Options vested or expected to vest</w:t>
            </w:r>
          </w:p>
        </w:tc>
        <w:tc>
          <w:tcPr>
            <w:tcW w:w="1140" w:type="dxa"/>
            <w:vAlign w:val="bottom"/>
          </w:tcPr>
          <w:p>
            <w:pPr>
              <w:jc w:val="right"/>
              <w:spacing w:after="0"/>
              <w:rPr>
                <w:sz w:val="20"/>
                <w:szCs w:val="20"/>
                <w:color w:val="auto"/>
              </w:rPr>
            </w:pPr>
            <w:r>
              <w:rPr>
                <w:rFonts w:ascii="Arial" w:cs="Arial" w:eastAsia="Arial" w:hAnsi="Arial"/>
                <w:sz w:val="18"/>
                <w:szCs w:val="18"/>
                <w:color w:val="auto"/>
              </w:rPr>
              <w:t>784,108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3140" w:type="dxa"/>
            <w:vAlign w:val="bottom"/>
            <w:gridSpan w:val="2"/>
          </w:tcPr>
          <w:p>
            <w:pPr>
              <w:ind w:left="2380"/>
              <w:spacing w:after="0"/>
              <w:rPr>
                <w:sz w:val="20"/>
                <w:szCs w:val="20"/>
                <w:color w:val="auto"/>
              </w:rPr>
            </w:pPr>
            <w:r>
              <w:rPr>
                <w:rFonts w:ascii="Arial" w:cs="Arial" w:eastAsia="Arial" w:hAnsi="Arial"/>
                <w:sz w:val="18"/>
                <w:szCs w:val="18"/>
                <w:color w:val="auto"/>
                <w:w w:val="99"/>
              </w:rPr>
              <w:t>6.0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Shares that are issued upon exercise of employee stock options are newly issued shares and not issued from treasury stock. As of December 31, 2014, unrecognized compensation cost related to stock options is approximately $955,000, which is expected to be recognized over a weighted average period of 2.5 years.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intrinsic value of stock options exercised was $20,000, $910,000 and $222,000 and the total fair value of stock options vested was $943,000, $815,000, and $641,000 during 2014, 2013 and 2012, respectively. Cash received from option exercises was $13,000, $1,045,000 and $172,000 for 2014, 2013 and 2012, respectively. We recorded a realized tax benefit in 2014, 2013 and 2012 from equity-based awards of $7,000, $132,000 and $57,000, respectively, related to options exercised which has been included as a component of cash flows from financing activities in the Consolidated Statements of Cash Flows.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paid a portion of the 2013, 2012 and 2011 incentive bonus for the chief executive officer and chief financial officer in the form of 8,663,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17,613 and 20,055 deferred stock units, respectively, with a corresponding credit recorded to Additional Paid in Capital (net of share relinquishments) in the amounts of $56,000, $111,000 and $134,000 in 2014, 2013 and 2012, respectively. Such deferred stock units were granted in March 2014, 2013 and 2012, respectively, and were fully vested at the time of grant. These units will be converted three years from the grant date to shares of the Company’s common stock on a one-for-one basis. The weighted average exercise price of the deferred stock units was $8.07.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7"/>
        </w:trPr>
        <w:tc>
          <w:tcPr>
            <w:tcW w:w="4920" w:type="dxa"/>
            <w:vAlign w:val="bottom"/>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2"/>
        </w:trPr>
        <w:tc>
          <w:tcPr>
            <w:tcW w:w="4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7"/>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Current:</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Federal</w:t>
            </w:r>
          </w:p>
        </w:tc>
        <w:tc>
          <w:tcPr>
            <w:tcW w:w="2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18"/>
                <w:szCs w:val="18"/>
                <w:color w:val="auto"/>
              </w:rPr>
            </w:pPr>
          </w:p>
        </w:tc>
      </w:tr>
      <w:tr>
        <w:trPr>
          <w:trHeight w:val="215"/>
        </w:trPr>
        <w:tc>
          <w:tcPr>
            <w:tcW w:w="4920" w:type="dxa"/>
            <w:vAlign w:val="bottom"/>
          </w:tcPr>
          <w:p>
            <w:pPr>
              <w:ind w:left="660"/>
              <w:spacing w:after="0"/>
              <w:rPr>
                <w:sz w:val="20"/>
                <w:szCs w:val="20"/>
                <w:color w:val="auto"/>
              </w:rPr>
            </w:pPr>
            <w:r>
              <w:rPr>
                <w:rFonts w:ascii="Arial" w:cs="Arial" w:eastAsia="Arial" w:hAnsi="Arial"/>
                <w:sz w:val="18"/>
                <w:szCs w:val="18"/>
                <w:color w:val="auto"/>
              </w:rPr>
              <w:t>State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22"/>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w:t>
            </w:r>
          </w:p>
        </w:tc>
        <w:tc>
          <w:tcPr>
            <w:tcW w:w="2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2"/>
        </w:trPr>
        <w:tc>
          <w:tcPr>
            <w:tcW w:w="49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9"/>
                <w:szCs w:val="19"/>
                <w:color w:val="auto"/>
              </w:rPr>
            </w:pPr>
          </w:p>
        </w:tc>
      </w:tr>
      <w:tr>
        <w:trPr>
          <w:trHeight w:val="215"/>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920" w:type="dxa"/>
            <w:vAlign w:val="bottom"/>
          </w:tcPr>
          <w:p>
            <w:pPr>
              <w:ind w:left="660"/>
              <w:spacing w:after="0"/>
              <w:rPr>
                <w:sz w:val="20"/>
                <w:szCs w:val="20"/>
                <w:color w:val="auto"/>
              </w:rPr>
            </w:pPr>
            <w:r>
              <w:rPr>
                <w:rFonts w:ascii="Arial" w:cs="Arial" w:eastAsia="Arial" w:hAnsi="Arial"/>
                <w:sz w:val="18"/>
                <w:szCs w:val="18"/>
                <w:color w:val="auto"/>
              </w:rPr>
              <w:t>Federal</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5"/>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22"/>
        </w:trPr>
        <w:tc>
          <w:tcPr>
            <w:tcW w:w="4920" w:type="dxa"/>
            <w:vAlign w:val="bottom"/>
          </w:tcPr>
          <w:p>
            <w:pPr>
              <w:ind w:left="66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49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9"/>
        </w:trPr>
        <w:tc>
          <w:tcPr>
            <w:tcW w:w="4920" w:type="dxa"/>
            <w:vAlign w:val="bottom"/>
          </w:tcPr>
          <w:p>
            <w:pPr>
              <w:spacing w:after="0"/>
              <w:rPr>
                <w:sz w:val="24"/>
                <w:szCs w:val="24"/>
                <w:color w:val="auto"/>
              </w:rPr>
            </w:pPr>
          </w:p>
        </w:tc>
        <w:tc>
          <w:tcPr>
            <w:tcW w:w="2860" w:type="dxa"/>
            <w:vAlign w:val="bottom"/>
            <w:gridSpan w:val="2"/>
          </w:tcPr>
          <w:p>
            <w:pPr>
              <w:jc w:val="right"/>
              <w:ind w:right="1900"/>
              <w:spacing w:after="0"/>
              <w:rPr>
                <w:sz w:val="20"/>
                <w:szCs w:val="20"/>
                <w:color w:val="auto"/>
              </w:rPr>
            </w:pPr>
            <w:r>
              <w:rPr>
                <w:rFonts w:ascii="Arial" w:cs="Arial" w:eastAsia="Arial" w:hAnsi="Arial"/>
                <w:sz w:val="18"/>
                <w:szCs w:val="18"/>
                <w:color w:val="auto"/>
              </w:rPr>
              <w:t>F-14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492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13. Income taxes (continued)</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effective tax rates were 37.2%, 24.4%, and 35.2% for 2014, 2013 and 2012, respectively. Our effective tax rate for 2013 was unusually low because it included: 1) a $224,000 reduction in tax liabilities for unrecognized tax benefits resulting from the completion of an audit of our 2010 federal income tax return and 2) the benefit from the 2012 federal research and development credit (“R&amp;D credit”) of approximately $220,000 as this credit was not renewed until January 2, 2013 as a component of the American Taxpayer Relief Act of 2012.</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2014, we have no federal or state net operating loss carryforwards. We have approximately $104,000 in R&amp;D credit carryforwards that expire in 2034 and approximately $3,000 in state tax credit carryforwards that begin to expire in 2019. Foreign (loss) income before taxes was $(56,000), $(29,000), and $92,000 in 2014, 2013, and 2012, respectively.</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tcPr>
          <w:p>
            <w:pPr>
              <w:spacing w:after="0"/>
              <w:rPr>
                <w:sz w:val="20"/>
                <w:szCs w:val="20"/>
                <w:color w:val="auto"/>
              </w:rPr>
            </w:pPr>
            <w:r>
              <w:rPr>
                <w:rFonts w:ascii="Arial" w:cs="Arial" w:eastAsia="Arial" w:hAnsi="Arial"/>
                <w:sz w:val="18"/>
                <w:szCs w:val="18"/>
                <w:color w:val="auto"/>
              </w:rPr>
              <w:t>Deferred tax assets: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 net operating losses</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Capitalized research and development</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Accrued lawsuit settlement expenses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Inventory reserves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Deferred revenue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Warranty reserve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Stock compensation expense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Other accrued compensation</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 tax and other credits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Other liabilities and reserves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Gross deferred tax assets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1460"/>
              <w:spacing w:after="0"/>
              <w:rPr>
                <w:sz w:val="20"/>
                <w:szCs w:val="20"/>
                <w:color w:val="auto"/>
              </w:rPr>
            </w:pPr>
            <w:r>
              <w:rPr>
                <w:rFonts w:ascii="Arial" w:cs="Arial" w:eastAsia="Arial" w:hAnsi="Arial"/>
                <w:sz w:val="18"/>
                <w:szCs w:val="18"/>
                <w:color w:val="auto"/>
              </w:rPr>
              <w:t>Valuation allowance</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Net deferred tax assets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820"/>
              <w:spacing w:after="0"/>
              <w:rPr>
                <w:sz w:val="20"/>
                <w:szCs w:val="20"/>
                <w:color w:val="auto"/>
              </w:rPr>
            </w:pPr>
            <w:r>
              <w:rPr>
                <w:rFonts w:ascii="Arial" w:cs="Arial" w:eastAsia="Arial" w:hAnsi="Arial"/>
                <w:sz w:val="18"/>
                <w:szCs w:val="18"/>
                <w:color w:val="auto"/>
              </w:rPr>
              <w:t>Depreciation</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tcPr>
          <w:p>
            <w:pPr>
              <w:ind w:left="2100"/>
              <w:spacing w:after="0"/>
              <w:rPr>
                <w:sz w:val="20"/>
                <w:szCs w:val="20"/>
                <w:color w:val="auto"/>
              </w:rPr>
            </w:pPr>
            <w:r>
              <w:rPr>
                <w:rFonts w:ascii="Arial" w:cs="Arial" w:eastAsia="Arial" w:hAnsi="Arial"/>
                <w:sz w:val="18"/>
                <w:szCs w:val="18"/>
                <w:color w:val="auto"/>
              </w:rPr>
              <w:t>Net deferred tax liabilities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valuation allowance of $282,000 has been established for foreign net operating loss carryforwards that are not expected to be used. The following table summarizes the activity recorded in the valuation allowance on the deferred tax assets: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Additions charged to income tax provision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Reductions credited to 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0" w:type="dxa"/>
            <w:vAlign w:val="bottom"/>
            <w:gridSpan w:val="5"/>
          </w:tcPr>
          <w:p>
            <w:pPr>
              <w:ind w:left="1000"/>
              <w:spacing w:after="0"/>
              <w:rPr>
                <w:sz w:val="20"/>
                <w:szCs w:val="20"/>
                <w:color w:val="auto"/>
              </w:rPr>
            </w:pPr>
            <w:r>
              <w:rPr>
                <w:rFonts w:ascii="Arial" w:cs="Arial" w:eastAsia="Arial" w:hAnsi="Arial"/>
                <w:sz w:val="18"/>
                <w:szCs w:val="18"/>
                <w:color w:val="auto"/>
                <w:w w:val="92"/>
              </w:rPr>
              <w:t>Year Ended December 31,</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4220" w:type="dxa"/>
            <w:vAlign w:val="bottom"/>
            <w:gridSpan w:val="2"/>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R&amp;D credit</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income taxes</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Valuation allowance and tax accruals</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4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Miscellaneous permanent items</w:t>
            </w:r>
          </w:p>
        </w:tc>
        <w:tc>
          <w:tcPr>
            <w:tcW w:w="44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Effective tax rate</w:t>
            </w:r>
          </w:p>
        </w:tc>
        <w:tc>
          <w:tcPr>
            <w:tcW w:w="30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4460" w:type="dxa"/>
            <w:vAlign w:val="bottom"/>
          </w:tcPr>
          <w:p>
            <w:pPr>
              <w:spacing w:after="0"/>
              <w:rPr>
                <w:sz w:val="24"/>
                <w:szCs w:val="24"/>
                <w:color w:val="auto"/>
              </w:rPr>
            </w:pPr>
          </w:p>
        </w:tc>
        <w:tc>
          <w:tcPr>
            <w:tcW w:w="4440" w:type="dxa"/>
            <w:vAlign w:val="bottom"/>
            <w:gridSpan w:val="3"/>
          </w:tcPr>
          <w:p>
            <w:pPr>
              <w:ind w:left="1080"/>
              <w:spacing w:after="0"/>
              <w:rPr>
                <w:sz w:val="20"/>
                <w:szCs w:val="20"/>
                <w:color w:val="auto"/>
              </w:rPr>
            </w:pPr>
            <w:r>
              <w:rPr>
                <w:rFonts w:ascii="Arial" w:cs="Arial" w:eastAsia="Arial" w:hAnsi="Arial"/>
                <w:sz w:val="18"/>
                <w:szCs w:val="18"/>
                <w:color w:val="auto"/>
              </w:rPr>
              <w:t>F-15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6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13. Income taxes (continued)</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December 31, 2014 and 2013, we had approximately $124,000 and $106,000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90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215"/>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22"/>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215"/>
        </w:trPr>
        <w:tc>
          <w:tcPr>
            <w:tcW w:w="8900" w:type="dxa"/>
            <w:vAlign w:val="bottom"/>
          </w:tcPr>
          <w:p>
            <w:pPr>
              <w:spacing w:after="0"/>
              <w:rPr>
                <w:sz w:val="20"/>
                <w:szCs w:val="20"/>
                <w:color w:val="auto"/>
              </w:rPr>
            </w:pPr>
            <w:r>
              <w:rPr>
                <w:rFonts w:ascii="Arial" w:cs="Arial" w:eastAsia="Arial" w:hAnsi="Arial"/>
                <w:sz w:val="18"/>
                <w:szCs w:val="18"/>
                <w:color w:val="auto"/>
              </w:rPr>
              <w:t>Unrecognized tax benefits as of December 31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2010. During 2013, an examination of our 2010 federal tax return was completed. However, our federal tax returns for the years 2011 through 2013 remain open to examination. Various state and foreign tax jurisdiction tax years remain open to examination as well, though we believe that any additional assessment would be immaterial to the Consolidated Financial Statements.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do not anticipate that the total unrecognized tax benefits of approximately $124,000 will significantly change due to the settlement of audits and the expiration of statute of limitations prior to December 31, 2015.</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As of December 31, 2014 and 2013, we have approximately $20,000 and $10,000, respectively, of accrued interest and penalties related to uncertain tax positions.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For 2014, 2013 and 2012, earnings per share were computed as follows (in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r>
      <w:tr>
        <w:trPr>
          <w:trHeight w:val="255"/>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0" w:type="dxa"/>
            <w:vAlign w:val="bottom"/>
          </w:tcPr>
          <w:p>
            <w:pPr>
              <w:spacing w:after="0"/>
              <w:rPr>
                <w:sz w:val="22"/>
                <w:szCs w:val="22"/>
                <w:color w:val="auto"/>
              </w:rPr>
            </w:pPr>
          </w:p>
        </w:tc>
      </w:tr>
      <w:tr>
        <w:trPr>
          <w:trHeight w:val="209"/>
        </w:trPr>
        <w:tc>
          <w:tcPr>
            <w:tcW w:w="69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8,589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9,032</w:t>
            </w:r>
          </w:p>
        </w:tc>
        <w:tc>
          <w:tcPr>
            <w:tcW w:w="20" w:type="dxa"/>
            <w:vAlign w:val="bottom"/>
          </w:tcPr>
          <w:p>
            <w:pPr>
              <w:spacing w:after="0"/>
              <w:rPr>
                <w:sz w:val="18"/>
                <w:szCs w:val="18"/>
                <w:color w:val="auto"/>
              </w:rPr>
            </w:pPr>
          </w:p>
        </w:tc>
      </w:tr>
      <w:tr>
        <w:trPr>
          <w:trHeight w:val="222"/>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Dilutive effect of outstanding options as determined by the treasury stock method</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8,703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9,121</w:t>
            </w:r>
          </w:p>
        </w:tc>
        <w:tc>
          <w:tcPr>
            <w:tcW w:w="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Net (loss) income per common share: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6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r>
      <w:tr>
        <w:trPr>
          <w:trHeight w:val="230"/>
        </w:trPr>
        <w:tc>
          <w:tcPr>
            <w:tcW w:w="6920" w:type="dxa"/>
            <w:vAlign w:val="bottom"/>
          </w:tcPr>
          <w:p>
            <w:pPr>
              <w:ind w:left="66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9"/>
                <w:szCs w:val="19"/>
                <w:color w:val="auto"/>
              </w:rPr>
            </w:pPr>
          </w:p>
        </w:tc>
      </w:tr>
    </w:tbl>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Anti-dilutive stock options, restricted shares and deferred stock units excluded from the computation of earnings per dilutive share were 311,000, and 585,125, at December 31, 2013 and 2012 respectively. Regarding 2014, when a net loss is reported basic and diluted EPS are calculated using the same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repurchase program</w:t>
      </w:r>
    </w:p>
    <w:p>
      <w:pPr>
        <w:spacing w:after="0" w:line="25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August 11, 2014, our Board of Directors approved a new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On November 3, 2014, our Board of Directors modified the Stock Repurchase Program to include the repurchase of up to $4,000,000 of the Company’s outstanding shares through April 30, 2015 pursuant to a Rule 10b5-1 trading plan though our Board ended this trading plan effective March 31, 2015. We use the cost method to account for treasury stock purchases, under which the price paid for the stock is charged to the treasury stock account. Repurchases of our common stock are accounted for as of the settlement date. From August 11, 2014 through December 31, 2014, we purchased 434,998 shares of our common stock for approximately $2,634,000 at an average price per share of $6.06. In 2013, under a prior repurchase program and an open market transaction, we purchased 604,161 shares of common stock for approximately $5,194,000 at an average price of $8.60. From January 1, 2005 through December 31, 2014, we repurchased a total of 3,222,036 shares of common stock for approximately $25,161,000, at an average price of $7.81 per share.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16. Geographic area information</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vendor.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color w:val="auto"/>
              </w:rPr>
              <w:t>Year 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46,377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49,932</w:t>
            </w:r>
          </w:p>
        </w:tc>
        <w:tc>
          <w:tcPr>
            <w:tcW w:w="20" w:type="dxa"/>
            <w:vAlign w:val="bottom"/>
          </w:tcPr>
          <w:p>
            <w:pPr>
              <w:spacing w:after="0"/>
              <w:rPr>
                <w:sz w:val="18"/>
                <w:szCs w:val="18"/>
                <w:color w:val="auto"/>
              </w:rPr>
            </w:pPr>
          </w:p>
        </w:tc>
      </w:tr>
      <w:tr>
        <w:trPr>
          <w:trHeight w:val="222"/>
        </w:trPr>
        <w:tc>
          <w:tcPr>
            <w:tcW w:w="754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20" w:type="dxa"/>
            <w:vAlign w:val="bottom"/>
          </w:tcPr>
          <w:p>
            <w:pPr>
              <w:spacing w:after="0"/>
              <w:rPr>
                <w:sz w:val="19"/>
                <w:szCs w:val="19"/>
                <w:color w:val="auto"/>
              </w:rPr>
            </w:pPr>
          </w:p>
        </w:tc>
      </w:tr>
      <w:tr>
        <w:trPr>
          <w:trHeight w:val="255"/>
        </w:trPr>
        <w:tc>
          <w:tcPr>
            <w:tcW w:w="7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60,141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68,386</w:t>
            </w:r>
          </w:p>
        </w:tc>
        <w:tc>
          <w:tcPr>
            <w:tcW w:w="20" w:type="dxa"/>
            <w:vAlign w:val="bottom"/>
          </w:tcPr>
          <w:p>
            <w:pPr>
              <w:spacing w:after="0"/>
              <w:rPr>
                <w:sz w:val="22"/>
                <w:szCs w:val="22"/>
                <w:color w:val="auto"/>
              </w:rPr>
            </w:pPr>
          </w:p>
        </w:tc>
      </w:tr>
      <w:tr>
        <w:trPr>
          <w:trHeight w:val="209"/>
        </w:trPr>
        <w:tc>
          <w:tcPr>
            <w:tcW w:w="75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75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18"/>
                <w:szCs w:val="18"/>
                <w:color w:val="auto"/>
              </w:rPr>
            </w:pPr>
          </w:p>
        </w:tc>
      </w:tr>
      <w:tr>
        <w:trPr>
          <w:trHeight w:val="222"/>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19"/>
                <w:szCs w:val="19"/>
                <w:color w:val="auto"/>
              </w:rPr>
            </w:pPr>
          </w:p>
        </w:tc>
      </w:tr>
      <w:tr>
        <w:trPr>
          <w:trHeight w:val="215"/>
        </w:trPr>
        <w:tc>
          <w:tcPr>
            <w:tcW w:w="7540" w:type="dxa"/>
            <w:vAlign w:val="bottom"/>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Sales to international customers were approximately 27%, 23%, and 27% in 2014, 2013, and 2012 respectively. Sales to Europe represented 49%, 52%, and 52%, sales to the Pacific Rim (which includes Australia and Asia) represented 33%, 26%, and 18%, and sales to Canada represented 5%, 10%, and 16% of total international sales in 2014, 2013, and 2012 respectively. International long-lived assets consist of net fixed assets located at our foreign subsidiary in the United Kingdom as well as our contract manufacturers in China, Thailand, Malaysia and Mexico.</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17. Quarterly results of operations (unaudited)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7"/>
        </w:trPr>
        <w:tc>
          <w:tcPr>
            <w:tcW w:w="5540" w:type="dxa"/>
            <w:vAlign w:val="bottom"/>
          </w:tcPr>
          <w:p>
            <w:pPr>
              <w:spacing w:after="0"/>
              <w:rPr>
                <w:sz w:val="20"/>
                <w:szCs w:val="20"/>
                <w:color w:val="auto"/>
              </w:rPr>
            </w:pPr>
            <w:r>
              <w:rPr>
                <w:rFonts w:ascii="Arial" w:cs="Arial" w:eastAsia="Arial" w:hAnsi="Arial"/>
                <w:sz w:val="18"/>
                <w:szCs w:val="18"/>
                <w:color w:val="auto"/>
              </w:rPr>
              <w:t>Our quarterly results of operations for 2014 and 2013 are as follows: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4"/>
        </w:trPr>
        <w:tc>
          <w:tcPr>
            <w:tcW w:w="5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86"/>
              </w:rPr>
              <w:t>December 31</w:t>
            </w:r>
          </w:p>
        </w:tc>
        <w:tc>
          <w:tcPr>
            <w:tcW w:w="20" w:type="dxa"/>
            <w:vAlign w:val="bottom"/>
          </w:tcPr>
          <w:p>
            <w:pPr>
              <w:spacing w:after="0"/>
              <w:rPr>
                <w:sz w:val="19"/>
                <w:szCs w:val="19"/>
                <w:color w:val="auto"/>
              </w:rPr>
            </w:pPr>
          </w:p>
        </w:tc>
      </w:tr>
      <w:tr>
        <w:trPr>
          <w:trHeight w:val="215"/>
        </w:trPr>
        <w:tc>
          <w:tcPr>
            <w:tcW w:w="5540" w:type="dxa"/>
            <w:vAlign w:val="bottom"/>
          </w:tcPr>
          <w:p>
            <w:pPr>
              <w:spacing w:after="0"/>
              <w:rPr>
                <w:sz w:val="20"/>
                <w:szCs w:val="20"/>
                <w:color w:val="auto"/>
              </w:rPr>
            </w:pPr>
            <w:r>
              <w:rPr>
                <w:rFonts w:ascii="Arial" w:cs="Arial" w:eastAsia="Arial" w:hAnsi="Arial"/>
                <w:sz w:val="18"/>
                <w:szCs w:val="18"/>
                <w:color w:val="auto"/>
              </w:rPr>
              <w:t>2014:</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5,788</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4,911</w:t>
            </w: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Arial" w:cs="Arial" w:eastAsia="Arial" w:hAnsi="Arial"/>
                <w:sz w:val="18"/>
                <w:szCs w:val="18"/>
                <w:color w:val="auto"/>
              </w:rPr>
              <w:t>Net income (loss)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r>
      <w:tr>
        <w:trPr>
          <w:trHeight w:val="230"/>
        </w:trPr>
        <w:tc>
          <w:tcPr>
            <w:tcW w:w="55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5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9"/>
                <w:szCs w:val="19"/>
                <w:color w:val="auto"/>
              </w:rPr>
            </w:pPr>
          </w:p>
        </w:tc>
      </w:tr>
      <w:tr>
        <w:trPr>
          <w:trHeight w:val="442"/>
        </w:trPr>
        <w:tc>
          <w:tcPr>
            <w:tcW w:w="5540" w:type="dxa"/>
            <w:vAlign w:val="bottom"/>
          </w:tcPr>
          <w:p>
            <w:pPr>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6,452</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r>
      <w:tr>
        <w:trPr>
          <w:trHeight w:val="215"/>
        </w:trPr>
        <w:tc>
          <w:tcPr>
            <w:tcW w:w="5540" w:type="dxa"/>
            <w:vAlign w:val="bottom"/>
          </w:tcPr>
          <w:p>
            <w:pPr>
              <w:ind w:left="660"/>
              <w:spacing w:after="0"/>
              <w:rPr>
                <w:sz w:val="20"/>
                <w:szCs w:val="20"/>
                <w:color w:val="auto"/>
              </w:rPr>
            </w:pPr>
            <w:r>
              <w:rPr>
                <w:rFonts w:ascii="Arial" w:cs="Arial" w:eastAsia="Arial" w:hAnsi="Arial"/>
                <w:sz w:val="18"/>
                <w:szCs w:val="18"/>
                <w:color w:val="auto"/>
              </w:rPr>
              <w:t>Net income per share: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r>
      <w:tr>
        <w:trPr>
          <w:trHeight w:val="230"/>
        </w:trPr>
        <w:tc>
          <w:tcPr>
            <w:tcW w:w="5540" w:type="dxa"/>
            <w:vAlign w:val="bottom"/>
          </w:tcPr>
          <w:p>
            <w:pPr>
              <w:ind w:left="130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3.1(a)</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Delaware on June 17, 1996.</w:t>
            </w:r>
          </w:p>
        </w:tc>
        <w:tc>
          <w:tcPr>
            <w:tcW w:w="520" w:type="dxa"/>
            <w:vAlign w:val="bottom"/>
            <w:shd w:val="clear" w:color="auto" w:fill="CCEEFF"/>
          </w:tcPr>
          <w:p>
            <w:pPr>
              <w:spacing w:after="0"/>
              <w:rPr>
                <w:sz w:val="19"/>
                <w:szCs w:val="19"/>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3.1(b)</w:t>
            </w: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Certificate of Amendment of Certificate of Incorporation of the Company, filed with the Secretary of State of Delaware on June 4, 1997.</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3.1(c)</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3.1(d)</w:t>
            </w:r>
          </w:p>
        </w:tc>
        <w:tc>
          <w:tcPr>
            <w:tcW w:w="10080" w:type="dxa"/>
            <w:vAlign w:val="bottom"/>
          </w:tcPr>
          <w:p>
            <w:pPr>
              <w:ind w:left="120"/>
              <w:spacing w:after="0"/>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(7)</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Amended and Restated By-laws of the Company.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080" w:type="dxa"/>
            <w:vAlign w:val="bottom"/>
          </w:tcPr>
          <w:p>
            <w:pPr>
              <w:ind w:left="120"/>
              <w:spacing w:after="0"/>
              <w:rPr>
                <w:sz w:val="20"/>
                <w:szCs w:val="20"/>
                <w:color w:val="auto"/>
              </w:rPr>
            </w:pPr>
            <w:r>
              <w:rPr>
                <w:rFonts w:ascii="Arial" w:cs="Arial" w:eastAsia="Arial" w:hAnsi="Arial"/>
                <w:sz w:val="18"/>
                <w:szCs w:val="18"/>
                <w:color w:val="auto"/>
              </w:rPr>
              <w:t>Specimen Common Stock Certificate.</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10.1(x)</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2005 Equity Incentive Plan</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(10)</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10.2(x)</w:t>
            </w:r>
          </w:p>
        </w:tc>
        <w:tc>
          <w:tcPr>
            <w:tcW w:w="10080" w:type="dxa"/>
            <w:vAlign w:val="bottom"/>
          </w:tcPr>
          <w:p>
            <w:pPr>
              <w:ind w:left="120"/>
              <w:spacing w:after="0"/>
              <w:rPr>
                <w:sz w:val="20"/>
                <w:szCs w:val="20"/>
                <w:color w:val="auto"/>
              </w:rPr>
            </w:pPr>
            <w:r>
              <w:rPr>
                <w:rFonts w:ascii="Arial" w:cs="Arial" w:eastAsia="Arial" w:hAnsi="Arial"/>
                <w:sz w:val="18"/>
                <w:szCs w:val="18"/>
                <w:color w:val="auto"/>
              </w:rPr>
              <w:t>2014 Equity Incentive Plan</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10.3(x)</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10.4(x)</w:t>
            </w:r>
          </w:p>
        </w:tc>
        <w:tc>
          <w:tcPr>
            <w:tcW w:w="10080" w:type="dxa"/>
            <w:vAlign w:val="bottom"/>
          </w:tcPr>
          <w:p>
            <w:pPr>
              <w:ind w:left="120"/>
              <w:spacing w:after="0"/>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(9)</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10.5(x)</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(13)</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10.6(x)</w:t>
            </w:r>
          </w:p>
        </w:tc>
        <w:tc>
          <w:tcPr>
            <w:tcW w:w="10080" w:type="dxa"/>
            <w:vAlign w:val="bottom"/>
          </w:tcPr>
          <w:p>
            <w:pPr>
              <w:ind w:left="120"/>
              <w:spacing w:after="0"/>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(14)</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10.7(x)</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(14)</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10.8(x)</w:t>
            </w:r>
          </w:p>
        </w:tc>
        <w:tc>
          <w:tcPr>
            <w:tcW w:w="10080" w:type="dxa"/>
            <w:vAlign w:val="bottom"/>
          </w:tcPr>
          <w:p>
            <w:pPr>
              <w:ind w:left="120"/>
              <w:spacing w:after="0"/>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(14)</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tcPr>
          <w:p>
            <w:pPr>
              <w:ind w:left="120"/>
              <w:spacing w:after="0"/>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w:t>
            </w:r>
          </w:p>
        </w:tc>
        <w:tc>
          <w:tcPr>
            <w:tcW w:w="10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Agreement regarding the Continuation and Renewal of Lease by and between Bomax Properties, LLC and TransAct, dated July 18,</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2001.</w:t>
            </w:r>
          </w:p>
        </w:tc>
        <w:tc>
          <w:tcPr>
            <w:tcW w:w="520" w:type="dxa"/>
            <w:vAlign w:val="bottom"/>
            <w:shd w:val="clear" w:color="auto" w:fill="CCEEFF"/>
          </w:tcPr>
          <w:p>
            <w:pPr>
              <w:spacing w:after="0"/>
              <w:rPr>
                <w:sz w:val="19"/>
                <w:szCs w:val="19"/>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080" w:type="dxa"/>
            <w:vAlign w:val="bottom"/>
          </w:tcPr>
          <w:p>
            <w:pPr>
              <w:ind w:left="120"/>
              <w:spacing w:after="0"/>
              <w:rPr>
                <w:sz w:val="20"/>
                <w:szCs w:val="20"/>
                <w:color w:val="auto"/>
              </w:rPr>
            </w:pPr>
            <w:r>
              <w:rPr>
                <w:rFonts w:ascii="Arial" w:cs="Arial" w:eastAsia="Arial" w:hAnsi="Arial"/>
                <w:sz w:val="18"/>
                <w:szCs w:val="18"/>
                <w:color w:val="auto"/>
              </w:rPr>
              <w:t>Amendment No. 1 to Lease Agreement between Bomax Properties, LLC and TransAct.</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(17)</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080" w:type="dxa"/>
            <w:vAlign w:val="bottom"/>
          </w:tcPr>
          <w:p>
            <w:pPr>
              <w:ind w:left="120"/>
              <w:spacing w:after="0"/>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(15)</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10.16</w:t>
            </w:r>
          </w:p>
        </w:tc>
        <w:tc>
          <w:tcPr>
            <w:tcW w:w="10080" w:type="dxa"/>
            <w:vAlign w:val="bottom"/>
          </w:tcPr>
          <w:p>
            <w:pPr>
              <w:ind w:left="120"/>
              <w:spacing w:after="0" w:line="201" w:lineRule="exact"/>
              <w:rPr>
                <w:sz w:val="20"/>
                <w:szCs w:val="20"/>
                <w:color w:val="auto"/>
              </w:rPr>
            </w:pPr>
            <w:r>
              <w:rPr>
                <w:rFonts w:ascii="Arial" w:cs="Arial" w:eastAsia="Arial" w:hAnsi="Arial"/>
                <w:sz w:val="18"/>
                <w:szCs w:val="18"/>
                <w:color w:val="auto"/>
                <w:w w:val="94"/>
              </w:rPr>
              <w:t>OEM Purchase Agreement by and between GTECH Corporation and TransAct, dated November 20, 2009.  (Pursuant to Rule 24-b-2</w:t>
            </w:r>
          </w:p>
        </w:tc>
        <w:tc>
          <w:tcPr>
            <w:tcW w:w="5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(15)</w:t>
            </w:r>
          </w:p>
        </w:tc>
      </w:tr>
      <w:tr>
        <w:trPr>
          <w:trHeight w:val="229"/>
        </w:trPr>
        <w:tc>
          <w:tcPr>
            <w:tcW w:w="820" w:type="dxa"/>
            <w:vAlign w:val="bottom"/>
          </w:tcPr>
          <w:p>
            <w:pPr>
              <w:spacing w:after="0"/>
              <w:rPr>
                <w:sz w:val="19"/>
                <w:szCs w:val="19"/>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under the Exchange Act, the Company has requested confidential treatment of portions of this exhibit deleted from the filed copy)</w:t>
            </w:r>
          </w:p>
        </w:tc>
        <w:tc>
          <w:tcPr>
            <w:tcW w:w="520" w:type="dxa"/>
            <w:vAlign w:val="bottom"/>
          </w:tcPr>
          <w:p>
            <w:pPr>
              <w:spacing w:after="0"/>
              <w:rPr>
                <w:sz w:val="19"/>
                <w:szCs w:val="19"/>
                <w:color w:val="auto"/>
              </w:rPr>
            </w:pP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Amended and Restated Revolving Credit and Security Agreement between TransAct and TD Banknorth, N.A. dated November 28, 2006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10.18</w:t>
            </w:r>
          </w:p>
        </w:tc>
        <w:tc>
          <w:tcPr>
            <w:tcW w:w="10080" w:type="dxa"/>
            <w:vAlign w:val="bottom"/>
          </w:tcPr>
          <w:p>
            <w:pPr>
              <w:ind w:left="120"/>
              <w:spacing w:after="0" w:line="201"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3"/>
              </w:rPr>
              <w:t>(12)</w:t>
            </w:r>
          </w:p>
        </w:tc>
      </w:tr>
      <w:tr>
        <w:trPr>
          <w:trHeight w:val="229"/>
        </w:trPr>
        <w:tc>
          <w:tcPr>
            <w:tcW w:w="820" w:type="dxa"/>
            <w:vAlign w:val="bottom"/>
          </w:tcPr>
          <w:p>
            <w:pPr>
              <w:spacing w:after="0"/>
              <w:rPr>
                <w:sz w:val="19"/>
                <w:szCs w:val="19"/>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effective September 30, 2007.</w:t>
            </w:r>
          </w:p>
        </w:tc>
        <w:tc>
          <w:tcPr>
            <w:tcW w:w="520" w:type="dxa"/>
            <w:vAlign w:val="bottom"/>
          </w:tcPr>
          <w:p>
            <w:pPr>
              <w:spacing w:after="0"/>
              <w:rPr>
                <w:sz w:val="19"/>
                <w:szCs w:val="19"/>
                <w:color w:val="auto"/>
              </w:rPr>
            </w:pP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10.19</w:t>
            </w:r>
          </w:p>
        </w:tc>
        <w:tc>
          <w:tcPr>
            <w:tcW w:w="10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Second Amendment to Amended and Restated Revolving Credit and Security Agreement between TransAct and TD Bank, N.A.</w:t>
            </w:r>
          </w:p>
        </w:tc>
        <w:tc>
          <w:tcPr>
            <w:tcW w:w="52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3"/>
              </w:rPr>
              <w:t>(16)</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November 22, 2011.</w:t>
            </w:r>
          </w:p>
        </w:tc>
        <w:tc>
          <w:tcPr>
            <w:tcW w:w="520" w:type="dxa"/>
            <w:vAlign w:val="bottom"/>
            <w:shd w:val="clear" w:color="auto" w:fill="CCEEFF"/>
          </w:tcPr>
          <w:p>
            <w:pPr>
              <w:spacing w:after="0"/>
              <w:rPr>
                <w:sz w:val="19"/>
                <w:szCs w:val="19"/>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080" w:type="dxa"/>
            <w:vAlign w:val="bottom"/>
          </w:tcPr>
          <w:p>
            <w:pPr>
              <w:ind w:left="120"/>
              <w:spacing w:after="0"/>
              <w:rPr>
                <w:sz w:val="20"/>
                <w:szCs w:val="20"/>
                <w:color w:val="auto"/>
              </w:rPr>
            </w:pPr>
            <w:r>
              <w:rPr>
                <w:rFonts w:ascii="Arial" w:cs="Arial" w:eastAsia="Arial" w:hAnsi="Arial"/>
                <w:sz w:val="18"/>
                <w:szCs w:val="18"/>
                <w:color w:val="auto"/>
              </w:rPr>
              <w:t>Third Amendment to Amended and Restated Revolving Credit and Security Agreement effective September 7, 2012</w:t>
            </w: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(18)</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Amendment to Amended and Restated Revolving Credit and Security Agreement effective November 26, 2014</w:t>
            </w:r>
          </w:p>
        </w:tc>
        <w:tc>
          <w:tcPr>
            <w:tcW w:w="5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(19)</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tcPr>
          <w:p>
            <w:pPr>
              <w:ind w:left="120"/>
              <w:spacing w:after="0"/>
              <w:rPr>
                <w:sz w:val="20"/>
                <w:szCs w:val="20"/>
                <w:color w:val="auto"/>
              </w:rPr>
            </w:pPr>
            <w:r>
              <w:rPr>
                <w:rFonts w:ascii="Arial" w:cs="Arial" w:eastAsia="Arial" w:hAnsi="Arial"/>
                <w:sz w:val="18"/>
                <w:szCs w:val="18"/>
                <w:color w:val="auto"/>
              </w:rPr>
              <w:t>Consent of PricewaterhouseCoopers LLP.</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01"/>
        </w:trPr>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100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c>
          <w:tcPr>
            <w:tcW w:w="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9"/>
        </w:trPr>
        <w:tc>
          <w:tcPr>
            <w:tcW w:w="820" w:type="dxa"/>
            <w:vAlign w:val="bottom"/>
            <w:shd w:val="clear" w:color="auto" w:fill="CCEEFF"/>
          </w:tcPr>
          <w:p>
            <w:pPr>
              <w:spacing w:after="0"/>
              <w:rPr>
                <w:sz w:val="19"/>
                <w:szCs w:val="19"/>
                <w:color w:val="auto"/>
              </w:rPr>
            </w:pP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 of 2002.</w:t>
            </w:r>
          </w:p>
        </w:tc>
        <w:tc>
          <w:tcPr>
            <w:tcW w:w="520" w:type="dxa"/>
            <w:vAlign w:val="bottom"/>
            <w:shd w:val="clear" w:color="auto" w:fill="CCEEFF"/>
          </w:tcPr>
          <w:p>
            <w:pPr>
              <w:spacing w:after="0"/>
              <w:rPr>
                <w:sz w:val="19"/>
                <w:szCs w:val="19"/>
                <w:color w:val="auto"/>
              </w:rPr>
            </w:pPr>
          </w:p>
        </w:tc>
      </w:tr>
      <w:tr>
        <w:trPr>
          <w:trHeight w:val="201"/>
        </w:trPr>
        <w:tc>
          <w:tcPr>
            <w:tcW w:w="820" w:type="dxa"/>
            <w:vAlign w:val="bottom"/>
          </w:tcPr>
          <w:p>
            <w:pPr>
              <w:spacing w:after="0" w:line="201" w:lineRule="exact"/>
              <w:rPr>
                <w:sz w:val="20"/>
                <w:szCs w:val="20"/>
                <w:color w:val="auto"/>
              </w:rPr>
            </w:pPr>
            <w:r>
              <w:rPr>
                <w:rFonts w:ascii="Arial" w:cs="Arial" w:eastAsia="Arial" w:hAnsi="Arial"/>
                <w:sz w:val="18"/>
                <w:szCs w:val="18"/>
                <w:color w:val="auto"/>
              </w:rPr>
              <w:t>32.2</w:t>
            </w:r>
          </w:p>
        </w:tc>
        <w:tc>
          <w:tcPr>
            <w:tcW w:w="10080" w:type="dxa"/>
            <w:vAlign w:val="bottom"/>
          </w:tcPr>
          <w:p>
            <w:pPr>
              <w:ind w:left="120"/>
              <w:spacing w:after="0" w:line="201"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520" w:type="dxa"/>
            <w:vAlign w:val="bottom"/>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29"/>
        </w:trPr>
        <w:tc>
          <w:tcPr>
            <w:tcW w:w="820" w:type="dxa"/>
            <w:vAlign w:val="bottom"/>
          </w:tcPr>
          <w:p>
            <w:pPr>
              <w:spacing w:after="0"/>
              <w:rPr>
                <w:sz w:val="19"/>
                <w:szCs w:val="19"/>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Act of 2002.</w:t>
            </w:r>
          </w:p>
        </w:tc>
        <w:tc>
          <w:tcPr>
            <w:tcW w:w="520" w:type="dxa"/>
            <w:vAlign w:val="bottom"/>
          </w:tcPr>
          <w:p>
            <w:pPr>
              <w:spacing w:after="0"/>
              <w:rPr>
                <w:sz w:val="19"/>
                <w:szCs w:val="19"/>
                <w:color w:val="auto"/>
              </w:rPr>
            </w:pP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5"/>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641"/>
        </w:trPr>
        <w:tc>
          <w:tcPr>
            <w:tcW w:w="820" w:type="dxa"/>
            <w:vAlign w:val="bottom"/>
            <w:tcBorders>
              <w:bottom w:val="single" w:sz="8" w:color="808080"/>
            </w:tcBorders>
          </w:tcPr>
          <w:p>
            <w:pPr>
              <w:spacing w:after="0"/>
              <w:rPr>
                <w:sz w:val="24"/>
                <w:szCs w:val="24"/>
                <w:color w:val="auto"/>
              </w:rPr>
            </w:pPr>
          </w:p>
        </w:tc>
        <w:tc>
          <w:tcPr>
            <w:tcW w:w="10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0" w:name="page51"/>
    <w:bookmarkEnd w:id="50"/>
    <w:p>
      <w:pPr>
        <w:ind w:left="452" w:hanging="452"/>
        <w:spacing w:after="0"/>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are filed herewith.</w:t>
      </w:r>
    </w:p>
    <w:p>
      <w:pPr>
        <w:spacing w:after="0" w:line="22" w:lineRule="exact"/>
        <w:rPr>
          <w:rFonts w:ascii="Arial" w:cs="Arial" w:eastAsia="Arial" w:hAnsi="Arial"/>
          <w:sz w:val="18"/>
          <w:szCs w:val="18"/>
          <w:i w:val="1"/>
          <w:iCs w:val="1"/>
          <w:color w:val="auto"/>
        </w:rPr>
      </w:pPr>
    </w:p>
    <w:p>
      <w:pPr>
        <w:ind w:left="452" w:hanging="452"/>
        <w:spacing w:after="0"/>
        <w:tabs>
          <w:tab w:leader="none" w:pos="45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31" w:lineRule="exact"/>
        <w:rPr>
          <w:rFonts w:ascii="Arial" w:cs="Arial" w:eastAsia="Arial" w:hAnsi="Arial"/>
          <w:sz w:val="16"/>
          <w:szCs w:val="16"/>
          <w:i w:val="1"/>
          <w:iCs w:val="1"/>
          <w:color w:val="auto"/>
        </w:rPr>
      </w:pPr>
    </w:p>
    <w:p>
      <w:pPr>
        <w:ind w:left="452" w:hanging="452"/>
        <w:spacing w:after="0"/>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Current Report on Form 8-K filed May 15, 2014 is incorporated by reference.</w:t>
      </w:r>
    </w:p>
    <w:p>
      <w:pPr>
        <w:spacing w:after="0" w:line="8" w:lineRule="exact"/>
        <w:rPr>
          <w:rFonts w:ascii="Arial" w:cs="Arial" w:eastAsia="Arial" w:hAnsi="Arial"/>
          <w:sz w:val="18"/>
          <w:szCs w:val="18"/>
          <w:i w:val="1"/>
          <w:iCs w:val="1"/>
          <w:color w:val="auto"/>
        </w:rPr>
      </w:pPr>
    </w:p>
    <w:p>
      <w:pPr>
        <w:ind w:left="452" w:right="8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1997, are incorporated by reference.</w:t>
      </w:r>
    </w:p>
    <w:p>
      <w:pPr>
        <w:ind w:left="452" w:hanging="452"/>
        <w:spacing w:after="0"/>
        <w:tabs>
          <w:tab w:leader="none" w:pos="452"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This exhibit, which was previously filed with the Company’s Current Report on Form 8-K filed February 18, 1999, is incorporated by reference.</w:t>
      </w:r>
    </w:p>
    <w:p>
      <w:pPr>
        <w:spacing w:after="0" w:line="19" w:lineRule="exact"/>
        <w:rPr>
          <w:rFonts w:ascii="Arial" w:cs="Arial" w:eastAsia="Arial" w:hAnsi="Arial"/>
          <w:sz w:val="17"/>
          <w:szCs w:val="17"/>
          <w:i w:val="1"/>
          <w:iCs w:val="1"/>
          <w:color w:val="auto"/>
        </w:rPr>
      </w:pPr>
    </w:p>
    <w:p>
      <w:pPr>
        <w:ind w:left="452" w:right="22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1998, is incorporated by reference.</w:t>
      </w:r>
    </w:p>
    <w:p>
      <w:pPr>
        <w:ind w:left="452"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Quarterly Report on Form 10-Q for the period ended March 25, 2000, are incorporated by reference.</w:t>
      </w:r>
    </w:p>
    <w:p>
      <w:pPr>
        <w:ind w:left="452" w:right="26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June 30, 2003, is incorporated by reference.</w:t>
      </w:r>
    </w:p>
    <w:p>
      <w:pPr>
        <w:ind w:left="452" w:right="8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w:t>
      </w:r>
    </w:p>
    <w:p>
      <w:pPr>
        <w:ind w:left="452" w:hanging="452"/>
        <w:spacing w:after="0"/>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Current Report on Form 8-K filed June 1, 2005, is incorporated by reference.</w:t>
      </w:r>
    </w:p>
    <w:p>
      <w:pPr>
        <w:spacing w:after="0" w:line="8" w:lineRule="exact"/>
        <w:rPr>
          <w:rFonts w:ascii="Arial" w:cs="Arial" w:eastAsia="Arial" w:hAnsi="Arial"/>
          <w:sz w:val="18"/>
          <w:szCs w:val="18"/>
          <w:i w:val="1"/>
          <w:iCs w:val="1"/>
          <w:color w:val="auto"/>
        </w:rPr>
      </w:pPr>
    </w:p>
    <w:p>
      <w:pPr>
        <w:ind w:left="452" w:right="8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w:t>
      </w:r>
    </w:p>
    <w:p>
      <w:pPr>
        <w:ind w:left="452" w:right="6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September 30, 1997, is incorporated by reference.</w:t>
      </w:r>
    </w:p>
    <w:p>
      <w:pPr>
        <w:ind w:left="452" w:right="22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2007, is incorporated by reference.</w:t>
      </w:r>
    </w:p>
    <w:p>
      <w:pPr>
        <w:ind w:left="452" w:right="22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w:t>
      </w:r>
    </w:p>
    <w:p>
      <w:pPr>
        <w:ind w:left="452" w:right="22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2009, is incorporated by reference.</w:t>
      </w:r>
    </w:p>
    <w:p>
      <w:pPr>
        <w:ind w:left="452" w:right="22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2011, is incorporated by reference.</w:t>
      </w:r>
    </w:p>
    <w:p>
      <w:pPr>
        <w:ind w:left="452" w:right="140" w:hanging="452"/>
        <w:spacing w:after="0" w:line="249" w:lineRule="auto"/>
        <w:tabs>
          <w:tab w:leader="none" w:pos="45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March 31, 2012, is incorporated by reference.</w:t>
      </w:r>
    </w:p>
    <w:p>
      <w:pPr>
        <w:ind w:left="452" w:hanging="452"/>
        <w:spacing w:after="0"/>
        <w:tabs>
          <w:tab w:leader="none" w:pos="452"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This exhibit, which was previously filed with the Company’s Current Report on Form 8-K filed September 11, 2012, is incorporated by reference.</w:t>
      </w:r>
    </w:p>
    <w:p>
      <w:pPr>
        <w:spacing w:after="0" w:line="19" w:lineRule="exact"/>
        <w:rPr>
          <w:rFonts w:ascii="Arial" w:cs="Arial" w:eastAsia="Arial" w:hAnsi="Arial"/>
          <w:sz w:val="17"/>
          <w:szCs w:val="17"/>
          <w:i w:val="1"/>
          <w:iCs w:val="1"/>
          <w:color w:val="auto"/>
        </w:rPr>
      </w:pPr>
    </w:p>
    <w:p>
      <w:pPr>
        <w:ind w:left="452" w:hanging="452"/>
        <w:spacing w:after="0"/>
        <w:tabs>
          <w:tab w:leader="none" w:pos="452"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This exhibit, which was previously filed with the Company’s Current Report on Form 8-K filed December 1, 2014,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-4220845</wp:posOffset>
            </wp:positionV>
            <wp:extent cx="7247255" cy="136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-3947795</wp:posOffset>
            </wp:positionV>
            <wp:extent cx="7247255" cy="136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-3538220</wp:posOffset>
            </wp:positionV>
            <wp:extent cx="7247255" cy="136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-3128645</wp:posOffset>
            </wp:positionV>
            <wp:extent cx="7247255" cy="273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-2581910</wp:posOffset>
            </wp:positionV>
            <wp:extent cx="7247255" cy="273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-2172335</wp:posOffset>
            </wp:positionV>
            <wp:extent cx="7247255" cy="273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-1626235</wp:posOffset>
            </wp:positionV>
            <wp:extent cx="7247255" cy="273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-1079500</wp:posOffset>
            </wp:positionV>
            <wp:extent cx="7247255" cy="273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-533400</wp:posOffset>
            </wp:positionV>
            <wp:extent cx="7247255" cy="273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273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47255" cy="136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452" w:hanging="452"/>
        <w:spacing w:after="0"/>
        <w:tabs>
          <w:tab w:leader="none" w:pos="45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412750</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32"/>
          </w:cols>
          <w:pgMar w:left="248" w:top="515" w:right="319" w:bottom="1440" w:gutter="0" w:footer="0" w:header="0"/>
        </w:sectPr>
      </w:pPr>
    </w:p>
    <w:bookmarkStart w:id="51" w:name="page52"/>
    <w:bookmarkEnd w:id="51"/>
    <w:p>
      <w:pPr>
        <w:jc w:val="center"/>
        <w:ind w:left="5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202"/>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23.1</w:t>
            </w:r>
          </w:p>
        </w:tc>
        <w:tc>
          <w:tcPr>
            <w:tcW w:w="106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Consent of PricewaterhouseCoopers LLP.</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1"/>
        </w:trPr>
        <w:tc>
          <w:tcPr>
            <w:tcW w:w="80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06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r>
      <w:tr>
        <w:trPr>
          <w:trHeight w:val="229"/>
        </w:trPr>
        <w:tc>
          <w:tcPr>
            <w:tcW w:w="800" w:type="dxa"/>
            <w:vAlign w:val="bottom"/>
          </w:tcPr>
          <w:p>
            <w:pPr>
              <w:spacing w:after="0"/>
              <w:rPr>
                <w:sz w:val="19"/>
                <w:szCs w:val="19"/>
                <w:color w:val="auto"/>
              </w:rPr>
            </w:pP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2002.</w:t>
            </w:r>
          </w:p>
        </w:tc>
      </w:tr>
      <w:tr>
        <w:trPr>
          <w:trHeight w:val="201"/>
        </w:trPr>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32.2</w:t>
            </w:r>
          </w:p>
        </w:tc>
        <w:tc>
          <w:tcPr>
            <w:tcW w:w="106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 Sarbanes-Oxley Act of</w:t>
            </w:r>
          </w:p>
        </w:tc>
      </w:tr>
      <w:tr>
        <w:trPr>
          <w:trHeight w:val="229"/>
        </w:trPr>
        <w:tc>
          <w:tcPr>
            <w:tcW w:w="800" w:type="dxa"/>
            <w:vAlign w:val="bottom"/>
            <w:shd w:val="clear" w:color="auto" w:fill="CCEEFF"/>
          </w:tcPr>
          <w:p>
            <w:pPr>
              <w:spacing w:after="0"/>
              <w:rPr>
                <w:sz w:val="19"/>
                <w:szCs w:val="19"/>
                <w:color w:val="auto"/>
              </w:rPr>
            </w:pP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2002.</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51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i w:val="1"/>
          <w:i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CONSENT OF INDEPENDENT REGISTERED PUBLIC ACCOUNTING FIRM</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We hereby consent to the incorporation by reference in the Registration Statements on Form S-8 (Nos. 333-132624 and 333-170515) of TransAct Technologies Incorporated of our report dated March 30, 2015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30, 2015</w:t>
      </w:r>
    </w:p>
    <w:p>
      <w:pPr>
        <w:sectPr>
          <w:pgSz w:w="11900" w:h="16838" w:orient="portrait"/>
          <w:cols w:equalWidth="0" w:num="1">
            <w:col w:w="11420"/>
          </w:cols>
          <w:pgMar w:left="240" w:top="36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i w:val="1"/>
          <w:i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CERTIFICATION OF CHIEF EXECUTIVE OFFICER PURSUANT TO SECTION 302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Bart C. Shuldman, certify that:</w:t>
      </w:r>
    </w:p>
    <w:p>
      <w:pPr>
        <w:spacing w:after="0" w:line="250"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 have reviewed this annual report on Form 10-K of TransAct Technologies Incorporated;</w:t>
      </w:r>
    </w:p>
    <w:p>
      <w:pPr>
        <w:spacing w:after="0" w:line="250" w:lineRule="exact"/>
        <w:rPr>
          <w:rFonts w:ascii="Arial" w:cs="Arial" w:eastAsia="Arial" w:hAnsi="Arial"/>
          <w:sz w:val="18"/>
          <w:szCs w:val="18"/>
          <w:i w:val="1"/>
          <w:iCs w:val="1"/>
          <w:color w:val="auto"/>
        </w:rPr>
      </w:pPr>
    </w:p>
    <w:p>
      <w:pPr>
        <w:jc w:val="both"/>
        <w:ind w:left="660" w:hanging="330"/>
        <w:spacing w:after="0" w:line="262"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i w:val="1"/>
          <w:iCs w:val="1"/>
          <w:color w:val="auto"/>
        </w:rPr>
      </w:pPr>
    </w:p>
    <w:p>
      <w:pPr>
        <w:ind w:left="660" w:hanging="330"/>
        <w:spacing w:after="0" w:line="275"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i w:val="1"/>
          <w:iCs w:val="1"/>
          <w:color w:val="auto"/>
        </w:rPr>
      </w:pPr>
    </w:p>
    <w:p>
      <w:pPr>
        <w:jc w:val="both"/>
        <w:ind w:left="660" w:hanging="330"/>
        <w:spacing w:after="0" w:line="262"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i w:val="1"/>
          <w:iCs w:val="1"/>
          <w:color w:val="auto"/>
        </w:rPr>
      </w:pPr>
    </w:p>
    <w:p>
      <w:pPr>
        <w:jc w:val="both"/>
        <w:ind w:left="1300" w:hanging="325"/>
        <w:spacing w:after="0" w:line="262" w:lineRule="auto"/>
        <w:tabs>
          <w:tab w:leader="none" w:pos="130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i w:val="1"/>
          <w:iCs w:val="1"/>
          <w:color w:val="auto"/>
        </w:rPr>
      </w:pPr>
    </w:p>
    <w:p>
      <w:pPr>
        <w:jc w:val="both"/>
        <w:ind w:left="1300" w:hanging="325"/>
        <w:spacing w:after="0" w:line="262" w:lineRule="auto"/>
        <w:tabs>
          <w:tab w:leader="none" w:pos="130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i w:val="1"/>
          <w:iCs w:val="1"/>
          <w:color w:val="auto"/>
        </w:rPr>
      </w:pPr>
    </w:p>
    <w:p>
      <w:pPr>
        <w:ind w:left="1300" w:hanging="325"/>
        <w:spacing w:after="0" w:line="340" w:lineRule="auto"/>
        <w:tabs>
          <w:tab w:leader="none" w:pos="1300" w:val="left"/>
        </w:tabs>
        <w:numPr>
          <w:ilvl w:val="1"/>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i w:val="1"/>
          <w:iCs w:val="1"/>
          <w:color w:val="auto"/>
        </w:rPr>
      </w:pPr>
    </w:p>
    <w:p>
      <w:pPr>
        <w:jc w:val="both"/>
        <w:ind w:left="1300" w:right="20" w:hanging="325"/>
        <w:spacing w:after="0" w:line="262" w:lineRule="auto"/>
        <w:tabs>
          <w:tab w:leader="none" w:pos="130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i w:val="1"/>
          <w:iCs w:val="1"/>
          <w:color w:val="auto"/>
        </w:rPr>
      </w:pPr>
    </w:p>
    <w:p>
      <w:pPr>
        <w:ind w:left="660" w:hanging="330"/>
        <w:spacing w:after="0" w:line="306" w:lineRule="auto"/>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i w:val="1"/>
          <w:iCs w:val="1"/>
          <w:color w:val="auto"/>
        </w:rPr>
      </w:pPr>
    </w:p>
    <w:p>
      <w:pPr>
        <w:ind w:left="1300" w:right="20" w:hanging="325"/>
        <w:spacing w:after="0" w:line="306" w:lineRule="auto"/>
        <w:tabs>
          <w:tab w:leader="none" w:pos="1300" w:val="left"/>
        </w:tabs>
        <w:numPr>
          <w:ilvl w:val="1"/>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i w:val="1"/>
          <w:iCs w:val="1"/>
          <w:color w:val="auto"/>
        </w:rPr>
      </w:pPr>
    </w:p>
    <w:p>
      <w:pPr>
        <w:ind w:left="1300" w:right="20" w:hanging="325"/>
        <w:spacing w:after="0" w:line="275" w:lineRule="auto"/>
        <w:tabs>
          <w:tab w:leader="none" w:pos="130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March 30,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i w:val="1"/>
          <w:i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CERTIFICATION OF CHIEF FINANCIAL OFFICER PURSUANT TO SECTION 302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Steven A. DeMartino, certify that:</w:t>
      </w:r>
    </w:p>
    <w:p>
      <w:pPr>
        <w:spacing w:after="0" w:line="250"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 have reviewed this annual report on Form 10-K of TransAct Technologies Incorporated;</w:t>
      </w:r>
    </w:p>
    <w:p>
      <w:pPr>
        <w:spacing w:after="0" w:line="250" w:lineRule="exact"/>
        <w:rPr>
          <w:rFonts w:ascii="Arial" w:cs="Arial" w:eastAsia="Arial" w:hAnsi="Arial"/>
          <w:sz w:val="18"/>
          <w:szCs w:val="18"/>
          <w:i w:val="1"/>
          <w:iCs w:val="1"/>
          <w:color w:val="auto"/>
        </w:rPr>
      </w:pPr>
    </w:p>
    <w:p>
      <w:pPr>
        <w:jc w:val="both"/>
        <w:ind w:left="660" w:hanging="330"/>
        <w:spacing w:after="0" w:line="262"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i w:val="1"/>
          <w:iCs w:val="1"/>
          <w:color w:val="auto"/>
        </w:rPr>
      </w:pPr>
    </w:p>
    <w:p>
      <w:pPr>
        <w:ind w:left="660" w:hanging="330"/>
        <w:spacing w:after="0" w:line="275"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i w:val="1"/>
          <w:iCs w:val="1"/>
          <w:color w:val="auto"/>
        </w:rPr>
      </w:pPr>
    </w:p>
    <w:p>
      <w:pPr>
        <w:jc w:val="both"/>
        <w:ind w:left="660" w:hanging="330"/>
        <w:spacing w:after="0" w:line="262"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i w:val="1"/>
          <w:iCs w:val="1"/>
          <w:color w:val="auto"/>
        </w:rPr>
      </w:pPr>
    </w:p>
    <w:p>
      <w:pPr>
        <w:jc w:val="both"/>
        <w:ind w:left="1300" w:hanging="325"/>
        <w:spacing w:after="0" w:line="262" w:lineRule="auto"/>
        <w:tabs>
          <w:tab w:leader="none" w:pos="130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i w:val="1"/>
          <w:iCs w:val="1"/>
          <w:color w:val="auto"/>
        </w:rPr>
      </w:pPr>
    </w:p>
    <w:p>
      <w:pPr>
        <w:jc w:val="both"/>
        <w:ind w:left="1300" w:hanging="325"/>
        <w:spacing w:after="0" w:line="262" w:lineRule="auto"/>
        <w:tabs>
          <w:tab w:leader="none" w:pos="130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8"/>
          <w:szCs w:val="18"/>
          <w:i w:val="1"/>
          <w:iCs w:val="1"/>
          <w:color w:val="auto"/>
        </w:rPr>
      </w:pPr>
    </w:p>
    <w:p>
      <w:pPr>
        <w:ind w:left="1300" w:hanging="325"/>
        <w:spacing w:after="0" w:line="340" w:lineRule="auto"/>
        <w:tabs>
          <w:tab w:leader="none" w:pos="130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i w:val="1"/>
          <w:iCs w:val="1"/>
          <w:color w:val="auto"/>
        </w:rPr>
      </w:pPr>
    </w:p>
    <w:p>
      <w:pPr>
        <w:jc w:val="both"/>
        <w:ind w:left="1300" w:right="20" w:hanging="325"/>
        <w:spacing w:after="0" w:line="262" w:lineRule="auto"/>
        <w:tabs>
          <w:tab w:leader="none" w:pos="130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i w:val="1"/>
          <w:iCs w:val="1"/>
          <w:color w:val="auto"/>
        </w:rPr>
      </w:pPr>
    </w:p>
    <w:p>
      <w:pPr>
        <w:ind w:left="660" w:hanging="330"/>
        <w:spacing w:after="0" w:line="306"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i w:val="1"/>
          <w:iCs w:val="1"/>
          <w:color w:val="auto"/>
        </w:rPr>
      </w:pPr>
    </w:p>
    <w:p>
      <w:pPr>
        <w:ind w:left="1300" w:right="20" w:hanging="325"/>
        <w:spacing w:after="0" w:line="306" w:lineRule="auto"/>
        <w:tabs>
          <w:tab w:leader="none" w:pos="1300" w:val="left"/>
        </w:tabs>
        <w:numPr>
          <w:ilvl w:val="1"/>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i w:val="1"/>
          <w:iCs w:val="1"/>
          <w:color w:val="auto"/>
        </w:rPr>
      </w:pPr>
    </w:p>
    <w:p>
      <w:pPr>
        <w:ind w:left="1300" w:right="20" w:hanging="325"/>
        <w:spacing w:after="0" w:line="275" w:lineRule="auto"/>
        <w:tabs>
          <w:tab w:leader="none" w:pos="130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March 30,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40036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0367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President, Chief Financial Officer, Treasurer and Secretary</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i w:val="1"/>
          <w:i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SECTION 906 OF THE SARBANES-OXLEY ACT OF 2002</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In connection with the Annual Report of TransAct Technologies Incorporated (the “Company”) on Form 10-K for the period ending December 31, 2014,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191" w:lineRule="exact"/>
        <w:rPr>
          <w:sz w:val="20"/>
          <w:szCs w:val="20"/>
          <w:color w:val="auto"/>
        </w:rPr>
      </w:pPr>
    </w:p>
    <w:p>
      <w:pPr>
        <w:ind w:left="820" w:hanging="329"/>
        <w:spacing w:after="0"/>
        <w:tabs>
          <w:tab w:leader="none" w:pos="8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Report fully complies with the requirements of Section 13(a) or 15(d) of the Securities Exchange Act of 1934; and</w:t>
      </w:r>
    </w:p>
    <w:p>
      <w:pPr>
        <w:spacing w:after="0" w:line="250" w:lineRule="exact"/>
        <w:rPr>
          <w:rFonts w:ascii="Arial" w:cs="Arial" w:eastAsia="Arial" w:hAnsi="Arial"/>
          <w:sz w:val="18"/>
          <w:szCs w:val="18"/>
          <w:i w:val="1"/>
          <w:iCs w:val="1"/>
          <w:color w:val="auto"/>
        </w:rPr>
      </w:pPr>
    </w:p>
    <w:p>
      <w:pPr>
        <w:ind w:left="820" w:hanging="329"/>
        <w:spacing w:after="0"/>
        <w:tabs>
          <w:tab w:leader="none" w:pos="82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March 30, 2015</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March 30, 2015</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195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950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80"/>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lowerRoman"/>
      <w:start w:val="10"/>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2019-12-29T17:49:36Z</dcterms:created>
  <dcterms:modified xsi:type="dcterms:W3CDTF">2019-12-29T17:49:36Z</dcterms:modified>
</cp:coreProperties>
</file>