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TRANSACT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Jad Fakhry</w:t>
              <w:br/>
              <w:t>330 PRIMROSE RD, SUITE 400</w:t>
              <w:br/>
              <w:t>BURLINGAME, CA, 94010</w:t>
              <w:br/>
              <w:t>650-239-9049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Poplar Point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1,563,752.00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1,563,752.00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1,563,752.00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15.22 %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Poplar Point Capital Partners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1,563,752.00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1,563,752.00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1,563,752.00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15.22 %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Poplar Point Capital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1,563,752.00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1,563,752.00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1,563,752.00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15.22 %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Jad Fakhry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1,563,752.00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1,563,752.00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1,563,752.00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15.22 %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TRANSACT TECHNOLOGIES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HAMDEN CENTER, 2319 WHITNEY AVENUE, SUITE 3B, HAMDEN, CONNECTICUT , 6518.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securities to which this statement on Schedule 13D (this "Statement") relates are the shares with par value of $0.01 per share for Transact Technologies Inc. The address of the principal executive office of the Issuer is One Hamden Center, 2319 Whitney Avenue, Suite 3B, Hamden, CT, 06518.</w:t>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(i) Poplar Point Capital Management LLC ("Poplar Point"), is a Delaware corporation, who serves as the investment adviser to Poplar Point Capital Partners LP); (ii) Poplar Point Capital Partners LP is a Delaware limited partnership; (iii) Poplar Point Capital GP LLC is a Delaware corporation; (iv) Jad Fakhry ("Mr. Fakhry") serves as the Mananger for Poplar Point. Poplar Point, Poplar Point Capital Partners LP, Poplar Point Capital GP LLC, and Mr. Fakhry are referred to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The address of the principal business and principal office of each of the Reporting Persons is: 330 Primrose Road, Suite 400 Burlingame, CA 94010</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The principal business of each Poplar Point, Poplar Point Capital Partners LP, and Poplar Point Capital GP LLC is investing securities. The principal occupation of Mr. Fakhry is serving as the Manager of Poplar Point.</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During the past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During the past five years, none of the Reporting Persons has been a party to a civil proceeding of a judicial or administrative body of competent jurisdiction and as a result of such proceeding such person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0"/>
              <w:jc w:val="left"/>
              <w:rPr/>
            </w:pPr>
            <w:r>
              <w:rPr/>
              <w:t>Poplar Point is a Delaware corporation. Poplar Point Capital Partners LP is a Delaware limited partnership. Poplar Point Capital GP LLC is a Delaware corporation. Mr. Fakhry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PPCM directly holds 1,563,752 shares of Common Stock. Consideration for these assets came from working capital of PPCM.</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The Reporting Persons acquired the Shares because they believe the Shares are undervalued and represent an attractive investment opportunity. The Reporting Persons have had, and intend to have, discussions with the Issuer's board of directors and management in connection with the Reporting Persons' investment in the Issuer. The topics that these conversation have covered and will cover a range of issues, including those related to the business of the Issuer, the potential exploration of strategic alternatives for the Issuer's casino and gaming ticket printer business, segmentation of the company's financial reporting, capital allocation, corporate governance and board composition The Reporting Persons may also have similar conversations with other stockholders or other interested parties, such as industry analysts, existing or potential strategic partners or competitors, investment professionals, and other investors. The Reporting Persons may at any time reconsider and change their intentions relating to the foregoing. The Reporting Persons may also take one or more of the actions described in subsections (a) through (j) of Item 4 of Schedule 13D and may discuss such actions with the Issuer's management and the board of directors, other stockholders of the Issuer, and other interested parties, such as those set out above. The Reporting Persons intend to review their investments in the Issuer on a continuing basis. Depending on various factors, including, without limitation, the Issuer's financial position and strategic direction, the outcome of the discussions and actions referenced above, actions taken by the Issuer's board of directors, price levels of the Issuer's Common Stock, other investment opportunities available to the Reporting Persons, conditions in the securities market and general economic and industry conditions, the Reporting Persons may in the future take actions with respect to its investment position in the Issuer as it deems appropriate, including, without limitation, purchasing additional shares of Common Stock in the open market or otherwise, selling some of or all of the Shares, and/or engaging in hedging or similar transactions with respect to the Common Stock.</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0"/>
              <w:jc w:val="left"/>
              <w:rPr/>
            </w:pPr>
            <w:r>
              <w:rPr/>
              <w:t>(i) PPCM 1,563,752 15.22% (ii) PPCP 1,563,752 15.22% (iii) PPCGP 1,563,752 15.22% (iv) Jad Fakhry 1,563,752 15.22%</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0"/>
              <w:jc w:val="left"/>
              <w:rPr/>
            </w:pPr>
            <w:r>
              <w:rPr/>
              <w:t>(i) - Poplar Point Capital Management LLC Sole Voting Power - 0 Shared Voting Power - 1,563,752 Sole Dispositive Power - 0 Shared Dispositive Power - 1,563,752 (ii) - Poplar Point Capital Partners LP Sole Voting Power - 0 Shared Voting Power - 1,563,752 Sole Dispositive Power - 0 Shared Dispositive Power - 1,563,752 (iii) - Poplar Point Capital GP LLC Sole Voting Power - 0 Shared Voting Power - 1,563,752 Sole Dispositive Power - 0 Shared Dispositive Power - 1,563,752 (iv) - Jad Fakhry Sole Voting Power - 0 Shared Voting Power - 1,563,752 Sole Dispositive Power - 0 Shared Dispositive Power - 1,563,752</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0"/>
              <w:jc w:val="left"/>
              <w:rPr/>
            </w:pPr>
            <w:r>
              <w:rPr/>
              <w:t>In the past 60 days, the following transactions were effected by the Reporting Persons, in normal course of business: 5/21/2026 - Purchased 129,126 of shares at a price of $3.73 5/21/2026 - Purchased 171,168 of shares at a price of $3.73 5/22/2026 - Purchased 129,126 of shares at a price of $3.73 5/28/2026 - Purchased 34,404 of shares at a price of $4.35 5/28/2026 - Purchased 45,606 of shares at a price of $4.35 5/28/2026 - Purchased 34,404 of shares at a price of $4.35</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0"/>
              <w:jc w:val="left"/>
              <w:rPr/>
            </w:pPr>
            <w:r>
              <w:rPr/>
              <w:t>No other person is known to the Reporting Persons to have the right to receive or the power to direct the receipt of dividends from, or the proceeds from the sale of, the shares of Common Stock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Other than as described herein, to the knowledge of the Reporting Persons, there are no contracts, arrangements, understandings or relationships, legal or otherwise, among the Reporting Persons or between the Reporting Persons and any other persons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Poplar Point Capital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0"/>
        <w:gridCol w:w="4445"/>
      </w:tblGrid>
      <w:tr>
        <w:trPr/>
        <w:tc>
          <w:tcPr>
            <w:tcW w:w="57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Jad Fakhry</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Jad Fakhry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45"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Poplar Point Capital Partners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0"/>
        <w:gridCol w:w="4445"/>
      </w:tblGrid>
      <w:tr>
        <w:trPr/>
        <w:tc>
          <w:tcPr>
            <w:tcW w:w="57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Jad Fakhry</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Jad Fakhry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45"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Poplar Point Capital GP LLC</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0"/>
        <w:gridCol w:w="4445"/>
      </w:tblGrid>
      <w:tr>
        <w:trPr/>
        <w:tc>
          <w:tcPr>
            <w:tcW w:w="57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Jad Fakhry</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Jad Fakhry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45" w:type="dxa"/>
            <w:tcBorders/>
            <w:vAlign w:val="center"/>
          </w:tcPr>
          <w:p>
            <w:pPr>
              <w:pStyle w:val="TableContents"/>
              <w:bidi w:val="0"/>
              <w:spacing w:before="0" w:after="283"/>
              <w:jc w:val="left"/>
              <w:rPr>
                <w:sz w:val="4"/>
                <w:szCs w:val="4"/>
              </w:rPr>
            </w:pPr>
            <w:r>
              <w:rPr>
                <w:sz w:val="4"/>
                <w:szCs w:val="4"/>
              </w:rPr>
            </w:r>
          </w:p>
        </w:tc>
      </w:tr>
    </w:tbl>
    <w:tbl>
      <w:tblPr>
        <w:tblW w:w="2674" w:type="dxa"/>
        <w:jc w:val="left"/>
        <w:tblInd w:w="0" w:type="dxa"/>
        <w:tblLayout w:type="fixed"/>
        <w:tblCellMar>
          <w:top w:w="28" w:type="dxa"/>
          <w:left w:w="28" w:type="dxa"/>
          <w:bottom w:w="28" w:type="dxa"/>
          <w:right w:w="28" w:type="dxa"/>
        </w:tblCellMar>
      </w:tblPr>
      <w:tblGrid>
        <w:gridCol w:w="1337"/>
        <w:gridCol w:w="1337"/>
      </w:tblGrid>
      <w:tr>
        <w:trPr/>
        <w:tc>
          <w:tcPr>
            <w:tcW w:w="1337" w:type="dxa"/>
            <w:tcBorders/>
            <w:vAlign w:val="center"/>
          </w:tcPr>
          <w:p>
            <w:pPr>
              <w:pStyle w:val="TableContents"/>
              <w:bidi w:val="0"/>
              <w:spacing w:before="0" w:after="0"/>
              <w:jc w:val="left"/>
              <w:rPr/>
            </w:pPr>
            <w:r>
              <w:rPr/>
              <w:t> </w:t>
            </w:r>
          </w:p>
          <w:tbl>
            <w:tblPr>
              <w:tblW w:w="1216" w:type="dxa"/>
              <w:jc w:val="left"/>
              <w:tblInd w:w="0" w:type="dxa"/>
              <w:tblLayout w:type="fixed"/>
              <w:tblCellMar>
                <w:top w:w="28" w:type="dxa"/>
                <w:left w:w="28" w:type="dxa"/>
                <w:bottom w:w="28" w:type="dxa"/>
                <w:right w:w="28" w:type="dxa"/>
              </w:tblCellMar>
            </w:tblPr>
            <w:tblGrid>
              <w:gridCol w:w="1216"/>
            </w:tblGrid>
            <w:tr>
              <w:trPr/>
              <w:tc>
                <w:tcPr>
                  <w:tcW w:w="1216" w:type="dxa"/>
                  <w:tcBorders/>
                  <w:vAlign w:val="center"/>
                </w:tcPr>
                <w:p>
                  <w:pPr>
                    <w:pStyle w:val="TableContents"/>
                    <w:bidi w:val="0"/>
                    <w:spacing w:before="0" w:after="0"/>
                    <w:jc w:val="left"/>
                    <w:rPr/>
                  </w:pPr>
                  <w:r>
                    <w:rPr/>
                    <w:t>Jad Fakhry</w:t>
                  </w:r>
                </w:p>
              </w:tc>
            </w:tr>
          </w:tbl>
          <w:p>
            <w:pPr>
              <w:pStyle w:val="TableContents"/>
              <w:bidi w:val="0"/>
              <w:spacing w:before="0" w:after="283"/>
              <w:jc w:val="left"/>
              <w:rPr/>
            </w:pPr>
            <w:r>
              <w:rPr/>
            </w:r>
          </w:p>
        </w:tc>
        <w:tc>
          <w:tcPr>
            <w:tcW w:w="13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0"/>
        <w:gridCol w:w="4445"/>
      </w:tblGrid>
      <w:tr>
        <w:trPr/>
        <w:tc>
          <w:tcPr>
            <w:tcW w:w="57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Jad Fakhry</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Jad Fakhry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45" w:type="dxa"/>
            <w:tcBorders/>
            <w:vAlign w:val="center"/>
          </w:tcPr>
          <w:p>
            <w:pPr>
              <w:pStyle w:val="TableContents"/>
              <w:bidi w:val="0"/>
              <w:spacing w:before="0" w:after="283"/>
              <w:jc w:val="left"/>
              <w:rPr>
                <w:sz w:val="4"/>
                <w:szCs w:val="4"/>
              </w:rPr>
            </w:pPr>
            <w:r>
              <w:rPr>
                <w:sz w:val="4"/>
                <w:szCs w:val="4"/>
              </w:rPr>
            </w:r>
          </w:p>
        </w:tc>
      </w:tr>
    </w:tbl>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N/A</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1904</Words>
  <Characters>9984</Characters>
  <CharactersWithSpaces>11757</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