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7134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325 CAPITAL LLC</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757 THIRD AVENUE</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20TH FLOOR</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10017</w:t>
            </w: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TRANSACT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TACT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3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05/04/2026</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1"/>
                <w:szCs w:val="11"/>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05/04/2026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1,700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0"/>
                <w:szCs w:val="20"/>
                <w:color w:val="auto"/>
              </w:rPr>
            </w:pPr>
          </w:p>
        </w:tc>
        <w:tc>
          <w:tcPr>
            <w:tcW w:w="11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6"/>
                <w:szCs w:val="16"/>
                <w:color w:val="0000FF"/>
              </w:rPr>
              <w:t>17,800</w:t>
            </w:r>
          </w:p>
        </w:tc>
        <w:tc>
          <w:tcPr>
            <w:tcW w:w="180" w:type="dxa"/>
            <w:vAlign w:val="bottom"/>
          </w:tcPr>
          <w:p>
            <w:pPr>
              <w:spacing w:after="0"/>
              <w:rPr>
                <w:sz w:val="20"/>
                <w:szCs w:val="2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1"/>
                <w:szCs w:val="11"/>
                <w:color w:val="008000"/>
              </w:rPr>
              <w:t>(2)(3)(4)</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w w:val="96"/>
              </w:rPr>
              <w:t>Footnotes</w:t>
            </w:r>
            <w:r>
              <w:rPr>
                <w:rFonts w:ascii="Times New Roman" w:cs="Times New Roman" w:eastAsia="Times New Roman" w:hAnsi="Times New Roman"/>
                <w:sz w:val="21"/>
                <w:szCs w:val="21"/>
                <w:color w:val="008000"/>
                <w:w w:val="96"/>
                <w:vertAlign w:val="superscript"/>
              </w:rPr>
              <w:t>(2)(3)(4)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right"/>
              <w:ind w:right="242"/>
              <w:spacing w:after="0"/>
              <w:rPr>
                <w:sz w:val="20"/>
                <w:szCs w:val="20"/>
                <w:color w:val="auto"/>
              </w:rPr>
            </w:pPr>
            <w:r>
              <w:rPr>
                <w:rFonts w:ascii="Times New Roman" w:cs="Times New Roman" w:eastAsia="Times New Roman" w:hAnsi="Times New Roman"/>
                <w:sz w:val="16"/>
                <w:szCs w:val="16"/>
                <w:color w:val="0000FF"/>
              </w:rPr>
              <w:t>1,011,789</w:t>
            </w:r>
          </w:p>
        </w:tc>
        <w:tc>
          <w:tcPr>
            <w:tcW w:w="1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1"/>
                <w:szCs w:val="11"/>
                <w:color w:val="008000"/>
              </w:rPr>
              <w:t>(2)(4)(5)</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8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80" w:type="dxa"/>
            <w:vAlign w:val="bottom"/>
            <w:gridSpan w:val="3"/>
            <w:vMerge w:val="restart"/>
          </w:tcPr>
          <w:p>
            <w:pPr>
              <w:ind w:left="80"/>
              <w:spacing w:after="0" w:line="266" w:lineRule="exact"/>
              <w:rPr>
                <w:sz w:val="20"/>
                <w:szCs w:val="20"/>
                <w:color w:val="auto"/>
              </w:rPr>
            </w:pPr>
            <w:r>
              <w:rPr>
                <w:rFonts w:ascii="Times New Roman" w:cs="Times New Roman" w:eastAsia="Times New Roman" w:hAnsi="Times New Roman"/>
                <w:sz w:val="30"/>
                <w:szCs w:val="30"/>
                <w:color w:val="0000FF"/>
                <w:w w:val="94"/>
                <w:vertAlign w:val="subscript"/>
              </w:rPr>
              <w:t>Footnotes</w:t>
            </w:r>
            <w:r>
              <w:rPr>
                <w:rFonts w:ascii="Times New Roman" w:cs="Times New Roman" w:eastAsia="Times New Roman" w:hAnsi="Times New Roman"/>
                <w:sz w:val="10"/>
                <w:szCs w:val="10"/>
                <w:color w:val="008000"/>
                <w:w w:val="94"/>
              </w:rPr>
              <w:t>(2)(4)(5)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1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9. Number of    10.</w:t>
            </w:r>
          </w:p>
        </w:tc>
        <w:tc>
          <w:tcPr>
            <w:tcW w:w="3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1"/>
                <w:szCs w:val="11"/>
                <w:color w:val="auto"/>
              </w:rPr>
            </w:pP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1,700</w:t>
            </w:r>
          </w:p>
        </w:tc>
        <w:tc>
          <w:tcPr>
            <w:tcW w:w="40" w:type="dxa"/>
            <w:vAlign w:val="bottom"/>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(2)(3)(4)</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008000"/>
                <w:w w:val="93"/>
              </w:rPr>
              <w:t>(2)</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05/04/2026</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1,700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1"/>
                <w:szCs w:val="11"/>
                <w:color w:val="008000"/>
              </w:rPr>
              <w:t>(3)(4)</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325 CAPITAL LLC</w:t>
              </w:r>
            </w:hyperlink>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757 THIRD AVENUE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20TH FLOOR</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10017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3"/>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5"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FRIEDBERG DANIEL M.</w:t>
              </w:r>
            </w:hyperlink>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757 THIRD AVENUE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20TH FLOOR</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10017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-5114925</wp:posOffset>
            </wp:positionV>
            <wp:extent cx="28575" cy="206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06184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292"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5252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0510" cy="525272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Shrivastava Anil K</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757 THIRD AVENUE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20TH FLOOR</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62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325 Capital Master Fund LP</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190 ELGIN AVENUE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GEORGE TOWN</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GRAND</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KY1-9008</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CAYMAN</w:t>
            </w:r>
          </w:p>
        </w:tc>
        <w:tc>
          <w:tcPr>
            <w:tcW w:w="1300" w:type="dxa"/>
            <w:vAlign w:val="bottom"/>
            <w:gridSpan w:val="3"/>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17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62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325 Capital GP,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757 THIRD AVENUE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20TH FLOOR</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20" w:right="12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issued on May 4, 2022 pursuant to the Company's 2014 Equity Incentive Plan, as Amended and Restated, vesting 25% annually commencing on the first anniversary date of the grant, that have converted to common stock on a one-for-one basis.</w:t>
      </w:r>
    </w:p>
    <w:p>
      <w:pPr>
        <w:spacing w:after="0" w:line="20" w:lineRule="exact"/>
        <w:rPr>
          <w:rFonts w:ascii="Times New Roman" w:cs="Times New Roman" w:eastAsia="Times New Roman" w:hAnsi="Times New Roman"/>
          <w:sz w:val="13"/>
          <w:szCs w:val="13"/>
          <w:color w:val="008000"/>
        </w:rPr>
      </w:pPr>
    </w:p>
    <w:p>
      <w:pPr>
        <w:jc w:val="both"/>
        <w:ind w:left="20" w:right="40" w:hanging="1"/>
        <w:spacing w:after="0" w:line="234"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is filed jointly by 325 Capital LLC, a Delaware limited liability company ("325"), 325 Capital Master Fund LP, a Cayman Islands exempted limited partnership ("325 Master Fund"), 325 Capital GP, LLC, a Delaware limited liability company registered as a foreign partnership in the Cayman Islands ("325 Capital GP"), Michael D. Braner, a citizen of the United States of America, Daniel M. Friedberg, a citizen of the United States of America, and Anil K. Shrivastava, a citizen of the United States of America (collectively, the "Reporting Persons"), each of whom may be deemed to have a pecuniary interest in the securities reported on this Form 4.</w:t>
      </w:r>
    </w:p>
    <w:p>
      <w:pPr>
        <w:spacing w:after="0" w:line="25" w:lineRule="exact"/>
        <w:rPr>
          <w:rFonts w:ascii="Times New Roman" w:cs="Times New Roman" w:eastAsia="Times New Roman" w:hAnsi="Times New Roman"/>
          <w:sz w:val="13"/>
          <w:szCs w:val="13"/>
          <w:color w:val="008000"/>
        </w:rPr>
      </w:pPr>
    </w:p>
    <w:p>
      <w:pPr>
        <w:ind w:left="20" w:hanging="1"/>
        <w:spacing w:after="0" w:line="232"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Daniel M. Friedberg, a Managing Member of 325 who serves on the board of directors of TransAct Technologies Incorporated (the "Company"). 325 is entitled to receive all of the economic interest in securities granted to Mr. Friedberg in respect of Mr. Friedberg's service on the board of directors, and may therefore be deemed to beneficially own these securities for purposes of Rule 16a-1(a) under the Securities Exchange Act of 1934, as amended. 325 Capital GP is the general partner of 325 Master Fund, 325 is the investment manager to 325 Master Fund, and each of Messrs. Braner, Friedberg and Shrivastava are Managing Members of 325. As a result, all of the Reporting Persons may be deemed to beneficially own the securities owned directly by Mr. Friedberg. The other Reporting Persons may also be deemed "directors by deputization" of the Company.</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any beneficial ownership of any of these securities, except to the extent of any pecuniary interest therein.</w:t>
      </w:r>
    </w:p>
    <w:p>
      <w:pPr>
        <w:spacing w:after="0" w:line="40" w:lineRule="exact"/>
        <w:rPr>
          <w:rFonts w:ascii="Times New Roman" w:cs="Times New Roman" w:eastAsia="Times New Roman" w:hAnsi="Times New Roman"/>
          <w:sz w:val="13"/>
          <w:szCs w:val="13"/>
          <w:color w:val="008000"/>
        </w:rPr>
      </w:pPr>
    </w:p>
    <w:p>
      <w:pPr>
        <w:ind w:left="20" w:right="30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325 Master Fund. As a result of the relationships described in Footnote (3) above, all of the Reporting Persons may be deemed to beneficially own the securities owned directly by 325 Master Fund.</w:t>
      </w:r>
    </w:p>
    <w:p>
      <w:pPr>
        <w:sectPr>
          <w:pgSz w:w="11900" w:h="16838" w:orient="portrait"/>
          <w:cols w:equalWidth="0" w:num="1">
            <w:col w:w="10920"/>
          </w:cols>
          <w:pgMar w:left="480" w:top="186" w:right="499" w:bottom="392" w:gutter="0" w:footer="0" w:header="0"/>
        </w:sectPr>
      </w:pP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10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657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828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FRIEDBERG DANIEL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142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Shrivastava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3423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Anil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313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10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10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831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William J. DeFrances,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056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Braner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138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Michael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624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680" w:space="100"/>
            <w:col w:w="2140"/>
          </w:cols>
          <w:pgMar w:left="480" w:top="186" w:right="499" w:bottom="392"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58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86" w:right="499" w:bottom="3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3" Type="http://schemas.openxmlformats.org/officeDocument/2006/relationships/hyperlink" Target="http://www.sec.gov/cgi-bin/browse-edgar?action=getcompany&amp;CIK=0001873893" TargetMode="External"/><Relationship Id="rId14" Type="http://schemas.openxmlformats.org/officeDocument/2006/relationships/hyperlink" Target="http://www.sec.gov/cgi-bin/browse-edgar?action=getcompany&amp;CIK=0001017303" TargetMode="External"/><Relationship Id="rId15" Type="http://schemas.openxmlformats.org/officeDocument/2006/relationships/hyperlink" Target="http://www.sec.gov/cgi-bin/browse-edgar?action=getcompany&amp;CIK=0001448795" TargetMode="External"/><Relationship Id="rId18" Type="http://schemas.openxmlformats.org/officeDocument/2006/relationships/hyperlink" Target="http://www.sec.gov/cgi-bin/browse-edgar?action=getcompany&amp;CIK=0001908019" TargetMode="External"/><Relationship Id="rId19" Type="http://schemas.openxmlformats.org/officeDocument/2006/relationships/hyperlink" Target="http://www.sec.gov/cgi-bin/browse-edgar?action=getcompany&amp;CIK=0001972759" TargetMode="External"/><Relationship Id="rId20" Type="http://schemas.openxmlformats.org/officeDocument/2006/relationships/hyperlink" Target="http://www.sec.gov/cgi-bin/browse-edgar?action=getcompany&amp;CIK=0001972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2026-05-04T16:20:22Z</dcterms:created>
  <dcterms:modified xsi:type="dcterms:W3CDTF">2026-05-04T16:20:22Z</dcterms:modified>
</cp:coreProperties>
</file>