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TRANSACT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Hitchcock Law Firm PLLC</w:t>
              <w:br/>
              <w:t>5614 Connecticut Avenue, N.W., No. 304</w:t>
              <w:br/>
              <w:t>Washington, DC, 20015</w:t>
              <w:br/>
              <w:t>(202) 489-4813</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Charles M. Gillman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521,841.00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521,841.00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521,841.00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5.1 %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Percent of class is calculated based on 10,276,279 shares of common stock, par value $0.01 (the "Common Stock"), of TransAct Technologies, Inc. (the "Issuer") outstanding as of April 30, 2026, as reported by the Issuer in its Quarterly Report on Form 10-Q filed with the U.S. Securities and Exchange Commission (the "SEC") on May 13, 2026 (the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Security and Issuer</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TRANSACT TECHNOLOGIES INC</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Hamden Center, 2319 Whitney Avenue, Suite 3B, Hamden, CONNECTICUT , 06518.</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Identity and Background</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spacing w:before="0" w:after="0"/>
              <w:jc w:val="left"/>
              <w:rPr/>
            </w:pPr>
            <w:r>
              <w:rPr/>
              <w:t>This statement is filed by Charles M. Gillman. Mr. Gillman is referred to as the Reporting Person.</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spacing w:before="0" w:after="0"/>
              <w:jc w:val="left"/>
              <w:rPr/>
            </w:pPr>
            <w:r>
              <w:rPr/>
              <w:t>The address of the principal office of the Reporting Person is 1223 Wilshire Boulevard, Unit 648, Santa Monica CA 90403.</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0"/>
              <w:jc w:val="left"/>
              <w:rPr/>
            </w:pPr>
            <w:r>
              <w:rPr/>
              <w:t>The principal occupation of Mr. Gillman is serving as the Executive Managing Director of IDWR Office.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spacing w:before="0" w:after="0"/>
              <w:jc w:val="left"/>
              <w:rPr/>
            </w:pPr>
            <w:r>
              <w:rPr/>
              <w:t>Mr. Gillman has not, during the last five years, been convicted in a criminal proceeding (excluding traffic violations or similar misdemeanors).</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0"/>
              <w:jc w:val="left"/>
              <w:rPr/>
            </w:pPr>
            <w:r>
              <w:rPr/>
              <w:t>Mr. Gillman has not,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38" w:type="dxa"/>
            <w:tcBorders/>
            <w:vAlign w:val="center"/>
          </w:tcPr>
          <w:p>
            <w:pPr>
              <w:pStyle w:val="TableContents"/>
              <w:bidi w:val="0"/>
              <w:spacing w:before="0" w:after="283"/>
              <w:jc w:val="left"/>
              <w:rPr/>
            </w:pPr>
            <w:r>
              <w:rPr/>
              <w:t>(f)</w:t>
            </w:r>
          </w:p>
        </w:tc>
        <w:tc>
          <w:tcPr>
            <w:tcW w:w="9067" w:type="dxa"/>
            <w:tcBorders/>
            <w:vAlign w:val="center"/>
          </w:tcPr>
          <w:p>
            <w:pPr>
              <w:pStyle w:val="TableContents"/>
              <w:bidi w:val="0"/>
              <w:spacing w:before="0" w:after="0"/>
              <w:jc w:val="left"/>
              <w:rPr/>
            </w:pPr>
            <w:r>
              <w:rPr/>
              <w:t>Mr. Gillman is a citizen of the United States of America.</w:t>
            </w:r>
          </w:p>
        </w:tc>
      </w:tr>
      <w:tr>
        <w:trPr/>
        <w:tc>
          <w:tcPr>
            <w:tcW w:w="1138" w:type="dxa"/>
            <w:tcBorders/>
            <w:vAlign w:val="center"/>
          </w:tcPr>
          <w:p>
            <w:pPr>
              <w:pStyle w:val="TableContents"/>
              <w:bidi w:val="0"/>
              <w:spacing w:before="0" w:after="283"/>
              <w:jc w:val="left"/>
              <w:rPr/>
            </w:pPr>
            <w:r>
              <w:rPr/>
              <w:t>Item 3.</w:t>
            </w:r>
          </w:p>
        </w:tc>
        <w:tc>
          <w:tcPr>
            <w:tcW w:w="9067" w:type="dxa"/>
            <w:tcBorders/>
            <w:vAlign w:val="center"/>
          </w:tcPr>
          <w:p>
            <w:pPr>
              <w:pStyle w:val="TableContents"/>
              <w:bidi w:val="0"/>
              <w:spacing w:before="0" w:after="283"/>
              <w:jc w:val="left"/>
              <w:rPr/>
            </w:pPr>
            <w:r>
              <w:rPr/>
              <w:t>Source and Amount of Funds or Other Consideration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The aggregate purchase price of the 521,841 Shares is approximately $2,453,646, excluding brokerage commissions.</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Purpose of Transaction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The purpose of the acquisition of the Common Stock is for investment, and the acquisitions of the Common Stock were made in the ordinary course of business and were not made for the purpose of acquiring control of the Issuer. Although no Reporting Person has any specific plan or proposal to acquire or dispose of the Common Stock, consistent with its investment purpose, each Reporting Person at any time and from time to time may acquire additional Common Stock or dispose of any or all of its Common Stock depending upon an ongoing evaluation of the investment in the Common Stock, prevailing market conditions, other investment opportunities, liquidity requirements of the Reporting Persons, and/or other investment considerations. Also, consistent with the investment purpose, the Reporting Persons may engage in communications with one or more shareholders of the Issuer, one or more officers of the Issuer and/or one or more members of the board of directors of the Issuer and/or one or more representatives of the Issuer regarding the Issuer, including but not limited to its operations. The Reporting Persons may discuss ideas that, if effected, may result in any of the following: the acquisition by persons of additional Common Stock of the Issuer, an extraordinary corporate transaction involving the Issuer, and/or changes in the board of directors or management of the Issuer. Except to the extent the foregoing may be deemed a plan or proposal, none of the Reporting Persons has any plans or proposals which relate to, or could result in, any of the matters referred to in paragraphs (a) through (j), inclusive, of the instructions to Item 4 of Schedule 13D. The Reporting Persons may, at any time and from time to time, review or reconsider their position and/or change their purpose and/or formulate plans or proposals with respect thereto.</w:t>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Interest in Securities of the Issuer</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spacing w:before="0" w:after="0"/>
              <w:jc w:val="left"/>
              <w:rPr/>
            </w:pPr>
            <w:r>
              <w:rPr/>
              <w:t>The aggregate percentage of Shares reported owned by the Reporting Person is based upon 10,276,279 shares outstanding as of April 30, 2026, as reported by the Issuer in its Quarterly Report on Form 10-Q filed with the SEC on May 13, 2026.</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spacing w:before="0" w:after="0"/>
              <w:jc w:val="left"/>
              <w:rPr/>
            </w:pPr>
            <w:r>
              <w:rPr/>
              <w:t>1. Sole power to vote or direct vote: 521,841 2. Shared power to vote or direct vote: 0 3. Sole power to dispose or direct the disposition: 521,841 4. Shared power to dispose or direct the disposition: 0</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0"/>
              <w:jc w:val="left"/>
              <w:rPr/>
            </w:pPr>
            <w:r>
              <w:rPr/>
              <w:t>See Exhibit 99.1 for details.</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spacing w:before="0" w:after="0"/>
              <w:jc w:val="left"/>
              <w:rPr/>
            </w:pPr>
            <w:r>
              <w:rPr/>
              <w:t>No person other than the Reporting Persons is known to have the right to receive, or the power to direct the receipt of dividends from, or proceeds from the sale of, the Shares.</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0"/>
              <w:jc w:val="left"/>
              <w:rPr/>
            </w:pPr>
            <w:r>
              <w:rPr/>
              <w:t>Not applicable</w:t>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Other than as described herein, there are no contracts, arrangements, understandings or relationships among the Reporting Person, or between the Reporting Person and any other person, with respect to the securities of the Issuer.</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Material to be Filed as Exhibits.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Item 5(c) information being filed as Exhibit 99.1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332" w:type="dxa"/>
        <w:jc w:val="left"/>
        <w:tblInd w:w="0" w:type="dxa"/>
        <w:tblLayout w:type="fixed"/>
        <w:tblCellMar>
          <w:top w:w="28" w:type="dxa"/>
          <w:left w:w="28" w:type="dxa"/>
          <w:bottom w:w="28" w:type="dxa"/>
          <w:right w:w="28" w:type="dxa"/>
        </w:tblCellMar>
      </w:tblPr>
      <w:tblGrid>
        <w:gridCol w:w="2166"/>
        <w:gridCol w:w="2166"/>
      </w:tblGrid>
      <w:tr>
        <w:trPr/>
        <w:tc>
          <w:tcPr>
            <w:tcW w:w="2166" w:type="dxa"/>
            <w:tcBorders/>
            <w:vAlign w:val="center"/>
          </w:tcPr>
          <w:p>
            <w:pPr>
              <w:pStyle w:val="TableContents"/>
              <w:bidi w:val="0"/>
              <w:spacing w:before="0" w:after="0"/>
              <w:jc w:val="left"/>
              <w:rPr/>
            </w:pPr>
            <w:r>
              <w:rPr/>
              <w:t> </w:t>
            </w:r>
          </w:p>
          <w:tbl>
            <w:tblPr>
              <w:tblW w:w="2041" w:type="dxa"/>
              <w:jc w:val="left"/>
              <w:tblInd w:w="0" w:type="dxa"/>
              <w:tblLayout w:type="fixed"/>
              <w:tblCellMar>
                <w:top w:w="28" w:type="dxa"/>
                <w:left w:w="28" w:type="dxa"/>
                <w:bottom w:w="28" w:type="dxa"/>
                <w:right w:w="28" w:type="dxa"/>
              </w:tblCellMar>
            </w:tblPr>
            <w:tblGrid>
              <w:gridCol w:w="2041"/>
            </w:tblGrid>
            <w:tr>
              <w:trPr/>
              <w:tc>
                <w:tcPr>
                  <w:tcW w:w="2041" w:type="dxa"/>
                  <w:tcBorders/>
                  <w:vAlign w:val="center"/>
                </w:tcPr>
                <w:p>
                  <w:pPr>
                    <w:pStyle w:val="TableContents"/>
                    <w:bidi w:val="0"/>
                    <w:spacing w:before="0" w:after="0"/>
                    <w:jc w:val="left"/>
                    <w:rPr/>
                  </w:pPr>
                  <w:r>
                    <w:rPr/>
                    <w:t>Charles M. Gillman</w:t>
                  </w:r>
                </w:p>
              </w:tc>
            </w:tr>
          </w:tbl>
          <w:p>
            <w:pPr>
              <w:pStyle w:val="TableContents"/>
              <w:bidi w:val="0"/>
              <w:spacing w:before="0" w:after="283"/>
              <w:jc w:val="left"/>
              <w:rPr/>
            </w:pPr>
            <w:r>
              <w:rPr/>
            </w:r>
          </w:p>
        </w:tc>
        <w:tc>
          <w:tcPr>
            <w:tcW w:w="2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5"/>
        <w:gridCol w:w="4330"/>
      </w:tblGrid>
      <w:tr>
        <w:trPr/>
        <w:tc>
          <w:tcPr>
            <w:tcW w:w="58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Charles M Gillman</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Executive Managing Director</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330"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14" w:name="ex99_1.htm"/>
      <w:bookmarkStart w:id="15" w:name="ksex99_1"/>
      <w:bookmarkEnd w:id="14"/>
      <w:bookmarkEnd w:id="15"/>
      <w:r>
        <w:rPr/>
        <w:t> </w:t>
      </w:r>
      <w:r>
        <w:br w:type="page"/>
      </w:r>
    </w:p>
    <w:p>
      <w:pPr>
        <w:pStyle w:val="TextBody"/>
        <w:bidi w:val="0"/>
        <w:spacing w:before="0" w:after="0"/>
        <w:ind w:left="0" w:right="0" w:hanging="0"/>
        <w:jc w:val="right"/>
        <w:rPr>
          <w:rFonts w:ascii="Times New Roman" w:hAnsi="Times New Roman"/>
          <w:b/>
          <w:i w:val="false"/>
          <w:caps w:val="false"/>
          <w:smallCaps w:val="false"/>
          <w:sz w:val="20"/>
        </w:rPr>
      </w:pPr>
      <w:r>
        <w:rPr>
          <w:rFonts w:ascii="Times New Roman" w:hAnsi="Times New Roman"/>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val="false"/>
          <w:caps w:val="false"/>
          <w:smallCaps w:val="false"/>
          <w:sz w:val="20"/>
        </w:rPr>
      </w:pPr>
      <w:r>
        <w:rPr>
          <w:rFonts w:ascii="Times New Roman" w:hAnsi="Times New Roman"/>
          <w:b/>
          <w:i w:val="false"/>
          <w:caps w:val="false"/>
          <w:smallCaps w:val="false"/>
          <w:sz w:val="20"/>
        </w:rPr>
        <w:t>Item 5(c) Transaction Description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sets forth all transactions with respect to Shares effected during the past sixty (60) days by Charles M. Gillman. All such transactions were purchases of Shares effected in the open market, and the table includes commissions paid in per share prices.</w:t>
      </w:r>
    </w:p>
    <w:p>
      <w:pPr>
        <w:pStyle w:val="TextBody"/>
        <w:bidi w:val="0"/>
        <w:spacing w:before="0" w:after="0"/>
        <w:ind w:left="0" w:right="0" w:hanging="0"/>
        <w:jc w:val="left"/>
        <w:rPr>
          <w:caps w:val="false"/>
          <w:smallCaps w:val="false"/>
          <w:color w:val="284F87"/>
        </w:rPr>
      </w:pPr>
      <w:r>
        <w:rPr>
          <w:caps w:val="false"/>
          <w:smallCaps w:val="false"/>
          <w:color w:val="284F87"/>
        </w:rPr>
        <w:t> </w:t>
      </w:r>
    </w:p>
    <w:tbl>
      <w:tblPr>
        <w:tblW w:w="4535" w:type="dxa"/>
        <w:jc w:val="left"/>
        <w:tblInd w:w="-10" w:type="dxa"/>
        <w:tblLayout w:type="fixed"/>
        <w:tblCellMar>
          <w:top w:w="28" w:type="dxa"/>
          <w:left w:w="28" w:type="dxa"/>
          <w:bottom w:w="28" w:type="dxa"/>
          <w:right w:w="28" w:type="dxa"/>
        </w:tblCellMar>
      </w:tblPr>
      <w:tblGrid>
        <w:gridCol w:w="995"/>
        <w:gridCol w:w="2255"/>
        <w:gridCol w:w="740"/>
        <w:gridCol w:w="545"/>
      </w:tblGrid>
      <w:tr>
        <w:trPr/>
        <w:tc>
          <w:tcPr>
            <w:tcW w:w="9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Date</w:t>
            </w:r>
          </w:p>
        </w:tc>
        <w:tc>
          <w:tcPr>
            <w:tcW w:w="22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 xml:space="preserve">Action </w:t>
            </w:r>
          </w:p>
        </w:tc>
        <w:tc>
          <w:tcPr>
            <w:tcW w:w="7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Quantity</w:t>
            </w:r>
          </w:p>
        </w:tc>
        <w:tc>
          <w:tcPr>
            <w:tcW w:w="5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Price</w:t>
            </w:r>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07-01-2026</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Purchase of Common Stock</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62,064</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 xml:space="preserve">$5.80 </w:t>
            </w:r>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06-30-2026</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Purchase of Common Stock</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37,936</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 xml:space="preserve">$5.76 </w:t>
            </w:r>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06-29-2026</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Purchase of Common Stock</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1,603</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 xml:space="preserve">$5.21 </w:t>
            </w:r>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06-26-2026</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Purchase of Common Stock</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3,351</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 xml:space="preserve">$5.18 </w:t>
            </w:r>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06-23-2026</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Purchase of Common Stock</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100,000</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 xml:space="preserve">$5.21 </w:t>
            </w:r>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06-22-2026</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Purchase of Common Stock</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49,627</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 xml:space="preserve">$5.30 </w:t>
            </w:r>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06-18-2026</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Purchase of Common Stock</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373</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 xml:space="preserve">$5.27 </w:t>
            </w:r>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06-17-2026</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Purchase of Common Stock</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14,761</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 xml:space="preserve">$5.14 </w:t>
            </w:r>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06-12-2026</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Purchase of Common Stock</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20,214</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 xml:space="preserve">$4.99 </w:t>
            </w:r>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06-11-2026</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Purchase of Common Stock</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10,000</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 xml:space="preserve">$5.10 </w:t>
            </w:r>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05-29-2026</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Purchase of Common Stock</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28,022</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 xml:space="preserve">$4.38 </w:t>
            </w:r>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05-21-2026</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Purchase of Common Stock</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150,000</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 xml:space="preserve">$3.73 </w:t>
            </w:r>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05-15-2026</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Purchase of Common Stock</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43,890</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 xml:space="preserve">$3.50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1295</Words>
  <Characters>6746</Characters>
  <CharactersWithSpaces>7940</CharactersWithSpaces>
  <Paragraphs>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