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142875</wp:posOffset>
            </wp:positionV>
            <wp:extent cx="3696335" cy="875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963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24"/>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40" w:type="dxa"/>
            <w:vAlign w:val="bottom"/>
          </w:tcPr>
          <w:p>
            <w:pPr>
              <w:spacing w:after="0"/>
              <w:rPr>
                <w:sz w:val="19"/>
                <w:szCs w:val="19"/>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45"/>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2"/>
          </w:tcPr>
          <w:p>
            <w:pPr>
              <w:jc w:val="right"/>
              <w:ind w:right="2450"/>
              <w:spacing w:after="0"/>
              <w:rPr>
                <w:sz w:val="20"/>
                <w:szCs w:val="20"/>
                <w:color w:val="auto"/>
              </w:rPr>
            </w:pPr>
            <w:r>
              <w:rPr>
                <w:rFonts w:ascii="Arial" w:cs="Arial" w:eastAsia="Arial" w:hAnsi="Arial"/>
                <w:sz w:val="18"/>
                <w:szCs w:val="18"/>
                <w:b w:val="1"/>
                <w:bCs w:val="1"/>
                <w:color w:val="auto"/>
              </w:rPr>
              <w:t>06518</w:t>
            </w:r>
          </w:p>
        </w:tc>
      </w:tr>
      <w:tr>
        <w:trPr>
          <w:trHeight w:val="224"/>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19"/>
                <w:szCs w:val="19"/>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87" w:right="239" w:bottom="1440" w:gutter="0" w:footer="0" w:header="0"/>
        </w:sectPr>
      </w:pPr>
    </w:p>
    <w:p>
      <w:pPr>
        <w:spacing w:after="0" w:line="216" w:lineRule="exact"/>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(Do not check if a smaller reporting company)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65" w:lineRule="exact"/>
        <w:rPr>
          <w:sz w:val="24"/>
          <w:szCs w:val="24"/>
          <w:color w:val="auto"/>
        </w:rPr>
      </w:pPr>
    </w:p>
    <w:p>
      <w:pPr>
        <w:sectPr>
          <w:pgSz w:w="11900" w:h="16838" w:orient="portrait"/>
          <w:cols w:equalWidth="0" w:num="2">
            <w:col w:w="8500" w:space="100"/>
            <w:col w:w="2820"/>
          </w:cols>
          <w:pgMar w:left="240" w:top="287"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9" w:lineRule="exact"/>
        <w:rPr>
          <w:sz w:val="24"/>
          <w:szCs w:val="24"/>
          <w:color w:val="auto"/>
        </w:rPr>
      </w:pPr>
    </w:p>
    <w:p>
      <w:pPr>
        <w:sectPr>
          <w:pgSz w:w="11900" w:h="16838" w:orient="portrait"/>
          <w:cols w:equalWidth="0" w:num="3">
            <w:col w:w="8500" w:space="120"/>
            <w:col w:w="460" w:space="120"/>
            <w:col w:w="2220"/>
          </w:cols>
          <w:pgMar w:left="240" w:top="287"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As of April 30, 2012, the number of shares outstanding of the Company’s common stock, $0.01 par value, was 9,012,626.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464820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5"/>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gridSpan w:val="2"/>
          </w:tcPr>
          <w:p>
            <w:pPr>
              <w:spacing w:after="0"/>
              <w:rPr>
                <w:sz w:val="24"/>
                <w:szCs w:val="24"/>
                <w:color w:val="auto"/>
              </w:rPr>
            </w:pPr>
          </w:p>
        </w:tc>
        <w:tc>
          <w:tcPr>
            <w:tcW w:w="45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80" w:type="dxa"/>
            <w:vAlign w:val="bottom"/>
          </w:tcPr>
          <w:p>
            <w:pPr>
              <w:spacing w:after="0" w:line="20" w:lineRule="exact"/>
              <w:rPr>
                <w:sz w:val="1"/>
                <w:szCs w:val="1"/>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10"/>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2"/>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10"/>
            <w:vMerge w:val="continue"/>
          </w:tcPr>
          <w:p>
            <w:pPr>
              <w:spacing w:after="0"/>
              <w:rPr>
                <w:sz w:val="24"/>
                <w:szCs w:val="24"/>
                <w:color w:val="auto"/>
              </w:rPr>
            </w:pPr>
          </w:p>
        </w:tc>
        <w:tc>
          <w:tcPr>
            <w:tcW w:w="7120" w:type="dxa"/>
            <w:vAlign w:val="bottom"/>
            <w:gridSpan w:val="12"/>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2012 and December 31, 2011</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for the three months ended March 31, 2012 and 2011</w:t>
              </w:r>
            </w:hyperlink>
          </w:p>
        </w:tc>
        <w:tc>
          <w:tcPr>
            <w:tcW w:w="222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for the three months ended March 31, 2012 and 2011</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58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2012 and 2011</w:t>
              </w:r>
            </w:hyperlink>
          </w:p>
        </w:tc>
        <w:tc>
          <w:tcPr>
            <w:tcW w:w="8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Quantitative and Qualitative Disclosures About Market Risk</w:t>
              </w:r>
            </w:hyperlink>
          </w:p>
        </w:tc>
        <w:tc>
          <w:tcPr>
            <w:tcW w:w="51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420" w:type="dxa"/>
            <w:vAlign w:val="bottom"/>
            <w:tcBorders>
              <w:top w:val="single" w:sz="8" w:color="0000EE"/>
            </w:tcBorders>
            <w:gridSpan w:val="4"/>
          </w:tcPr>
          <w:p>
            <w:pPr>
              <w:spacing w:after="0"/>
              <w:rPr>
                <w:sz w:val="24"/>
                <w:szCs w:val="24"/>
                <w:color w:val="auto"/>
              </w:rPr>
            </w:pPr>
          </w:p>
        </w:tc>
        <w:tc>
          <w:tcPr>
            <w:tcW w:w="818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51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774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Exhibits</w:t>
              </w:r>
            </w:hyperlink>
          </w:p>
        </w:tc>
        <w:tc>
          <w:tcPr>
            <w:tcW w:w="700" w:type="dxa"/>
            <w:vAlign w:val="bottom"/>
            <w:tcBorders>
              <w:top w:val="single" w:sz="8" w:color="0000EE"/>
            </w:tcBorders>
            <w:gridSpan w:val="4"/>
          </w:tcPr>
          <w:p>
            <w:pPr>
              <w:spacing w:after="0"/>
              <w:rPr>
                <w:sz w:val="24"/>
                <w:szCs w:val="24"/>
                <w:color w:val="auto"/>
              </w:rPr>
            </w:pPr>
          </w:p>
        </w:tc>
        <w:tc>
          <w:tcPr>
            <w:tcW w:w="82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SIGNATURES</w:t>
              </w:r>
            </w:hyperlink>
          </w:p>
        </w:tc>
        <w:tc>
          <w:tcPr>
            <w:tcW w:w="9300" w:type="dxa"/>
            <w:vAlign w:val="bottom"/>
            <w:gridSpan w:val="2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871"/>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gridSpan w:val="15"/>
          </w:tcPr>
          <w:p>
            <w:pPr>
              <w:jc w:val="center"/>
              <w:ind w:left="4250"/>
              <w:spacing w:after="0"/>
              <w:rPr>
                <w:sz w:val="20"/>
                <w:szCs w:val="20"/>
                <w:color w:val="auto"/>
              </w:rPr>
            </w:pPr>
            <w:r>
              <w:rPr>
                <w:rFonts w:ascii="Arial" w:cs="Arial" w:eastAsia="Arial" w:hAnsi="Arial"/>
                <w:sz w:val="18"/>
                <w:szCs w:val="18"/>
                <w:color w:val="auto"/>
                <w:w w:val="99"/>
              </w:rPr>
              <w:t>2</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360" w:type="dxa"/>
            <w:vAlign w:val="bottom"/>
          </w:tcPr>
          <w:p>
            <w:pPr>
              <w:jc w:val="center"/>
              <w:ind w:left="1050"/>
              <w:spacing w:after="0"/>
              <w:rPr>
                <w:sz w:val="20"/>
                <w:szCs w:val="20"/>
                <w:color w:val="auto"/>
              </w:rPr>
            </w:pPr>
            <w:r>
              <w:rPr>
                <w:rFonts w:ascii="Arial" w:cs="Arial" w:eastAsia="Arial" w:hAnsi="Arial"/>
                <w:sz w:val="18"/>
                <w:szCs w:val="18"/>
                <w:b w:val="1"/>
                <w:bCs w:val="1"/>
                <w:color w:val="auto"/>
              </w:rPr>
              <w:t>TRANSACT TECHNOLOGIES INCORPORATED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60" w:type="dxa"/>
            <w:vAlign w:val="bottom"/>
          </w:tcPr>
          <w:p>
            <w:pPr>
              <w:jc w:val="center"/>
              <w:ind w:left="10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36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4"/>
        </w:trPr>
        <w:tc>
          <w:tcPr>
            <w:tcW w:w="1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7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60" w:type="dxa"/>
            <w:vAlign w:val="bottom"/>
            <w:gridSpan w:val="2"/>
            <w:vMerge w:val="continue"/>
          </w:tcPr>
          <w:p>
            <w:pPr>
              <w:spacing w:after="0"/>
              <w:rPr>
                <w:sz w:val="16"/>
                <w:szCs w:val="16"/>
                <w:color w:val="auto"/>
              </w:rPr>
            </w:pPr>
          </w:p>
        </w:tc>
        <w:tc>
          <w:tcPr>
            <w:tcW w:w="7360" w:type="dxa"/>
            <w:vAlign w:val="bottom"/>
          </w:tcPr>
          <w:p>
            <w:pPr>
              <w:spacing w:after="0"/>
              <w:rPr>
                <w:sz w:val="16"/>
                <w:szCs w:val="16"/>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w w:val="98"/>
              </w:rPr>
              <w:t>(In thousands,</w:t>
            </w:r>
          </w:p>
        </w:tc>
        <w:tc>
          <w:tcPr>
            <w:tcW w:w="1360" w:type="dxa"/>
            <w:vAlign w:val="bottom"/>
            <w:gridSpan w:val="4"/>
          </w:tcPr>
          <w:p>
            <w:pPr>
              <w:jc w:val="right"/>
              <w:ind w:right="10"/>
              <w:spacing w:after="0" w:line="195" w:lineRule="exact"/>
              <w:rPr>
                <w:sz w:val="20"/>
                <w:szCs w:val="20"/>
                <w:color w:val="auto"/>
              </w:rPr>
            </w:pPr>
            <w:r>
              <w:rPr>
                <w:rFonts w:ascii="Arial" w:cs="Arial" w:eastAsia="Arial" w:hAnsi="Arial"/>
                <w:sz w:val="18"/>
                <w:szCs w:val="18"/>
                <w:i w:val="1"/>
                <w:iCs w:val="1"/>
                <w:color w:val="auto"/>
                <w:w w:val="83"/>
              </w:rPr>
              <w:t>except share data)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7,873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12,830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Refundable income taxes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Goodwill</w:t>
            </w: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0"/>
              </w:rPr>
              <w:t>Deferred tax assets</w:t>
            </w:r>
          </w:p>
        </w:tc>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$877 and $730, respectively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44,253</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Current liabilities:</w:t>
            </w: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8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Accrued contingent consideration (Note 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ind w:left="480"/>
              <w:spacing w:after="0" w:line="201" w:lineRule="exact"/>
              <w:rPr>
                <w:sz w:val="20"/>
                <w:szCs w:val="20"/>
                <w:color w:val="auto"/>
              </w:rPr>
            </w:pPr>
            <w:r>
              <w:rPr>
                <w:rFonts w:ascii="Arial" w:cs="Arial" w:eastAsia="Arial" w:hAnsi="Arial"/>
                <w:sz w:val="18"/>
                <w:szCs w:val="18"/>
                <w:color w:val="auto"/>
                <w:w w:val="97"/>
              </w:rPr>
              <w:t>Common stock, $0.01 par value, 20,000,000 shares authorized; 10,868,702 and 10,851,955 shares issued,</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800"/>
              <w:spacing w:after="0"/>
              <w:rPr>
                <w:sz w:val="20"/>
                <w:szCs w:val="20"/>
                <w:color w:val="auto"/>
              </w:rPr>
            </w:pPr>
            <w:r>
              <w:rPr>
                <w:rFonts w:ascii="Arial" w:cs="Arial" w:eastAsia="Arial" w:hAnsi="Arial"/>
                <w:sz w:val="18"/>
                <w:szCs w:val="18"/>
                <w:color w:val="auto"/>
              </w:rPr>
              <w:t>respectively; 9,386,854 and 9,390,262 shares outstanding, respectively</w:t>
            </w: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22,821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Treasury stock, at cost, 1,481,848 and 1,461,693 shares, respectively</w:t>
            </w: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36,743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44,253</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5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480" w:type="dxa"/>
            <w:vAlign w:val="bottom"/>
          </w:tcPr>
          <w:p>
            <w:pPr>
              <w:jc w:val="center"/>
              <w:ind w:left="1810"/>
              <w:spacing w:after="0"/>
              <w:rPr>
                <w:sz w:val="20"/>
                <w:szCs w:val="20"/>
                <w:color w:val="auto"/>
              </w:rPr>
            </w:pPr>
            <w:r>
              <w:rPr>
                <w:rFonts w:ascii="Arial" w:cs="Arial" w:eastAsia="Arial" w:hAnsi="Arial"/>
                <w:sz w:val="18"/>
                <w:szCs w:val="18"/>
                <w:b w:val="1"/>
                <w:bCs w:val="1"/>
                <w:color w:val="auto"/>
              </w:rPr>
              <w:t>TRANSACT TECHNOLOGIES INCORPORATED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8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8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i w:val="1"/>
                <w:iCs w:val="1"/>
                <w:color w:val="auto"/>
                <w:w w:val="87"/>
              </w:rPr>
              <w:t>(In thousands,</w:t>
            </w:r>
          </w:p>
        </w:tc>
        <w:tc>
          <w:tcPr>
            <w:tcW w:w="220" w:type="dxa"/>
            <w:vAlign w:val="bottom"/>
          </w:tcPr>
          <w:p>
            <w:pPr>
              <w:spacing w:after="0"/>
              <w:rPr>
                <w:sz w:val="16"/>
                <w:szCs w:val="16"/>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except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data)</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17,559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10,781</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6,778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Engineering, design and product development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1,213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8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1,601</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2,000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80"/>
              <w:spacing w:after="0"/>
              <w:rPr>
                <w:sz w:val="20"/>
                <w:szCs w:val="20"/>
                <w:color w:val="auto"/>
              </w:rPr>
            </w:pPr>
            <w:r>
              <w:rPr>
                <w:rFonts w:ascii="Arial" w:cs="Arial" w:eastAsia="Arial" w:hAnsi="Arial"/>
                <w:sz w:val="18"/>
                <w:szCs w:val="18"/>
                <w:color w:val="auto"/>
              </w:rPr>
              <w:t>Business consolidation and restructuring (Note 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4,868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Interest and other (expense) income:</w:t>
            </w: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Interest,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1,888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1,208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8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per-share calculation: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9,427</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9,532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6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20"/>
                <w:szCs w:val="20"/>
                <w:color w:val="auto"/>
              </w:rPr>
            </w:pPr>
          </w:p>
        </w:tc>
      </w:tr>
      <w:tr>
        <w:trPr>
          <w:trHeight w:val="224"/>
        </w:trPr>
        <w:tc>
          <w:tcPr>
            <w:tcW w:w="63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6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0"/>
        </w:trPr>
        <w:tc>
          <w:tcPr>
            <w:tcW w:w="6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1,219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w:t>
            </w:r>
          </w:p>
        </w:tc>
      </w:tr>
      <w:tr>
        <w:trPr>
          <w:trHeight w:val="41"/>
        </w:trPr>
        <w:tc>
          <w:tcPr>
            <w:tcW w:w="632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1020" w:type="dxa"/>
            <w:vAlign w:val="bottom"/>
            <w:tcBorders>
              <w:top w:val="single" w:sz="8" w:color="0000EE"/>
            </w:tcBorders>
          </w:tcPr>
          <w:p>
            <w:pPr>
              <w:spacing w:after="0"/>
              <w:rPr>
                <w:sz w:val="24"/>
                <w:szCs w:val="24"/>
                <w:color w:val="auto"/>
              </w:rPr>
            </w:pPr>
          </w:p>
        </w:tc>
        <w:tc>
          <w:tcPr>
            <w:tcW w:w="7600" w:type="dxa"/>
            <w:vAlign w:val="bottom"/>
          </w:tcPr>
          <w:p>
            <w:pPr>
              <w:jc w:val="center"/>
              <w:ind w:left="1690"/>
              <w:spacing w:after="0"/>
              <w:rPr>
                <w:sz w:val="20"/>
                <w:szCs w:val="20"/>
                <w:color w:val="auto"/>
              </w:rPr>
            </w:pPr>
            <w:r>
              <w:rPr>
                <w:rFonts w:ascii="Arial" w:cs="Arial" w:eastAsia="Arial" w:hAnsi="Arial"/>
                <w:sz w:val="18"/>
                <w:szCs w:val="18"/>
                <w:b w:val="1"/>
                <w:bCs w:val="1"/>
                <w:color w:val="auto"/>
              </w:rPr>
              <w:t>TRANSACT TECHNOLOGIES INCORPORATED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00" w:type="dxa"/>
            <w:vAlign w:val="bottom"/>
          </w:tcPr>
          <w:p>
            <w:pPr>
              <w:jc w:val="center"/>
              <w:ind w:left="17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7600" w:type="dxa"/>
            <w:vAlign w:val="bottom"/>
          </w:tcPr>
          <w:p>
            <w:pPr>
              <w:jc w:val="center"/>
              <w:ind w:left="169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0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6"/>
              </w:rPr>
              <w:t>March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1,208</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8620" w:type="dxa"/>
            <w:vAlign w:val="bottom"/>
            <w:gridSpan w:val="2"/>
          </w:tcPr>
          <w:p>
            <w:pPr>
              <w:ind w:left="50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620" w:type="dxa"/>
            <w:vAlign w:val="bottom"/>
            <w:gridSpan w:val="2"/>
          </w:tcPr>
          <w:p>
            <w:pPr>
              <w:ind w:left="980"/>
              <w:spacing w:after="0"/>
              <w:rPr>
                <w:sz w:val="20"/>
                <w:szCs w:val="20"/>
                <w:color w:val="auto"/>
              </w:rPr>
            </w:pPr>
            <w:r>
              <w:rPr>
                <w:rFonts w:ascii="Arial" w:cs="Arial" w:eastAsia="Arial" w:hAnsi="Arial"/>
                <w:sz w:val="18"/>
                <w:szCs w:val="18"/>
                <w:color w:val="auto"/>
              </w:rPr>
              <w:t>Incremental tax benefits from stock options exercised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8620" w:type="dxa"/>
            <w:vAlign w:val="bottom"/>
            <w:gridSpan w:val="2"/>
          </w:tcPr>
          <w:p>
            <w:pPr>
              <w:ind w:left="980"/>
              <w:spacing w:after="0"/>
              <w:rPr>
                <w:sz w:val="20"/>
                <w:szCs w:val="20"/>
                <w:color w:val="auto"/>
              </w:rPr>
            </w:pPr>
            <w:r>
              <w:rPr>
                <w:rFonts w:ascii="Arial" w:cs="Arial" w:eastAsia="Arial" w:hAnsi="Arial"/>
                <w:sz w:val="18"/>
                <w:szCs w:val="18"/>
                <w:color w:val="auto"/>
              </w:rPr>
              <w:t>Loss on sale of fixed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Foreign currency transaction losses (gains)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620" w:type="dxa"/>
            <w:vAlign w:val="bottom"/>
            <w:gridSpan w:val="2"/>
          </w:tcPr>
          <w:p>
            <w:pPr>
              <w:ind w:left="98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0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Refundable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00" w:type="dxa"/>
            <w:vAlign w:val="bottom"/>
          </w:tcPr>
          <w:p>
            <w:pPr>
              <w:ind w:left="440"/>
              <w:spacing w:after="0"/>
              <w:rPr>
                <w:sz w:val="20"/>
                <w:szCs w:val="20"/>
                <w:color w:val="auto"/>
              </w:rPr>
            </w:pPr>
            <w:r>
              <w:rPr>
                <w:rFonts w:ascii="Arial" w:cs="Arial" w:eastAsia="Arial" w:hAnsi="Arial"/>
                <w:sz w:val="18"/>
                <w:szCs w:val="18"/>
                <w:color w:val="auto"/>
              </w:rPr>
              <w:t>Other current and long term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7600" w:type="dxa"/>
            <w:vAlign w:val="bottom"/>
          </w:tcPr>
          <w:p>
            <w:pPr>
              <w:ind w:left="440"/>
              <w:spacing w:after="0"/>
              <w:rPr>
                <w:sz w:val="20"/>
                <w:szCs w:val="20"/>
                <w:color w:val="auto"/>
              </w:rPr>
            </w:pPr>
            <w:r>
              <w:rPr>
                <w:rFonts w:ascii="Arial" w:cs="Arial" w:eastAsia="Arial" w:hAnsi="Arial"/>
                <w:sz w:val="18"/>
                <w:szCs w:val="18"/>
                <w:color w:val="auto"/>
              </w:rPr>
              <w:t>Accrued liabilities and other liabilities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1,155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7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expenditures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to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jc w:val="right"/>
        <w:ind w:right="454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160" w:hanging="1259"/>
        <w:spacing w:after="0"/>
        <w:tabs>
          <w:tab w:leader="none" w:pos="21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(122)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(318)</w:t>
            </w:r>
          </w:p>
        </w:tc>
      </w:tr>
      <w:tr>
        <w:trPr>
          <w:trHeight w:val="210"/>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p>
    <w:p>
      <w:pPr>
        <w:sectPr>
          <w:pgSz w:w="11900" w:h="16838" w:orient="portrait"/>
          <w:cols w:equalWidth="0" w:num="2">
            <w:col w:w="8100" w:space="720"/>
            <w:col w:w="2600"/>
          </w:cols>
          <w:pgMar w:left="240" w:top="11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stock option exercises</w:t>
            </w:r>
          </w:p>
        </w:tc>
        <w:tc>
          <w:tcPr>
            <w:tcW w:w="2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2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Incremental tax benefits from stock options exercised</w:t>
            </w:r>
          </w:p>
        </w:tc>
        <w:tc>
          <w:tcPr>
            <w:tcW w:w="2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960"/>
              <w:spacing w:after="0"/>
              <w:rPr>
                <w:sz w:val="20"/>
                <w:szCs w:val="20"/>
                <w:color w:val="auto"/>
              </w:rPr>
            </w:pPr>
            <w:r>
              <w:rPr>
                <w:rFonts w:ascii="Arial" w:cs="Arial" w:eastAsia="Arial" w:hAnsi="Arial"/>
                <w:sz w:val="18"/>
                <w:szCs w:val="18"/>
                <w:color w:val="auto"/>
              </w:rPr>
              <w:t>Net cash used in financing activities</w:t>
            </w:r>
          </w:p>
        </w:tc>
        <w:tc>
          <w:tcPr>
            <w:tcW w:w="2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6,863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6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7,873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The December 31, 2011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2011 included in our Annual Report on Form 10-K.</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position and results of operations of our U.K. foreign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in the Condensed Consolidated Balance Sheets. Transaction gains and losses are included in other income in the Condensed Consolidated Statements of Income.</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results of operations for the three months ended March 31, 2012 are not necessarily indicative of the results to be expected for the full year. Certain prior period amounts in the Condensed Consolidated Financial Statements have been reclassified to conform with the current period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Intangibles – Goodwill and Other: </w:t>
      </w:r>
      <w:r>
        <w:rPr>
          <w:rFonts w:ascii="Arial" w:cs="Arial" w:eastAsia="Arial" w:hAnsi="Arial"/>
          <w:sz w:val="18"/>
          <w:szCs w:val="18"/>
          <w:color w:val="auto"/>
        </w:rPr>
        <w:t>In September 2011, the FASB issued ASU 2011-08, “Intangibles — Goodwill and Other (Topic 350) — Testing Goodwill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Impairment (revised standard).” The revised standard is intended to reduce the costs and complexity of the annual goodwill impairment test by providing entities an option to perform a “qualitative” assessment to determine whether further impairment testing is necessary. This ASU is effective for annual and interim goodwill impairment tests performed for fiscal years beginning after December 15, 2011. We will consider this new guidance as we conduct our annual goodwill impairment testing in 2012 though we do not anticipate that it will have a material impact on our Condensed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August 19, 2011, we completed our acquisition of Printrex, Inc. (“Printrex”), a leading manufacturer of specialty printers primarily sold into the oil and gas exploration and medical markets which serves commercial and industrial customers primarily in the United States, Canada, Europe and Asia. We have included the financial results of Printrex in our Condensed Consolidated Financial Statements from the date of acquisition. The total purchase price for Printrex was $4,000,000 in cash and potential future contingent consideration. As of December 31, 2011, we recorded $2,280,000 of identifiable intangible assets, $1,351,000 of net tangible assets, $680,000 of contingent consideration, each based on their estimated fair values, and $1,049,000 of residual goodwill.</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in the process of completing its analysis of fair value attributes of the assets acquired through the Printrex acquisition and anticipates that the final assessment of values will not differ materially from the preliminary assessment.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March 31, 2012, we recorded a purchase price adjustment to the fair value of inventory of $103,000 which increased the carrying value of Goodwill related to the Printrex acquisition to $1,152,000.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acquisition of Printrex, we entered into a contingent consideration arrangement which resulted in a liability, at fair value, of $680,000 at March 31, 2012, unchanged since December 31, 2011. The undiscounted fair value related to the contingent liability could range from $100,000 to $1,800,000. Refer to Note 4, Business acquisitions, of the Company’s 2011 Annual Report on Form 10-K for the year ended December 31, 2011 for the specific terms of this contingent consideration arrangement.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unaudited pro forma consolidated results of operations are provided for illustrative purposes only and assume that the acquisition of Printrex occurred on January 1, 2010. This unaudited pro forma information should not be relied upon as being indicative of the historical results that would have been obtained if the acquisition had occurred on that date, nor of the results that may be obtained in the future.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(In thousands)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1">
            <w:col w:w="11420"/>
          </w:cols>
          <w:pgMar w:left="240" w:top="121" w:right="239" w:bottom="1440" w:gutter="0" w:footer="0" w:header="0"/>
        </w:sect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4. Inventories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i w:val="1"/>
                <w:iCs w:val="1"/>
                <w:color w:val="auto"/>
              </w:rPr>
              <w:t>(In</w:t>
            </w:r>
          </w:p>
        </w:tc>
        <w:tc>
          <w:tcPr>
            <w:tcW w:w="1340" w:type="dxa"/>
            <w:vAlign w:val="bottom"/>
            <w:gridSpan w:val="3"/>
          </w:tcPr>
          <w:p>
            <w:pPr>
              <w:jc w:val="right"/>
              <w:ind w:right="650"/>
              <w:spacing w:after="0"/>
              <w:rPr>
                <w:sz w:val="20"/>
                <w:szCs w:val="20"/>
                <w:color w:val="auto"/>
              </w:rPr>
            </w:pPr>
            <w:r>
              <w:rPr>
                <w:rFonts w:ascii="Arial" w:cs="Arial" w:eastAsia="Arial" w:hAnsi="Arial"/>
                <w:sz w:val="16"/>
                <w:szCs w:val="16"/>
                <w:i w:val="1"/>
                <w:iCs w:val="1"/>
                <w:color w:val="auto"/>
                <w:w w:val="73"/>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11,822</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8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40" w:type="dxa"/>
            <w:vAlign w:val="bottom"/>
            <w:tcBorders>
              <w:right w:val="single" w:sz="8" w:color="auto"/>
            </w:tcBorders>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product warranty liability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 during the three months ended March 31, 2012: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(In</w:t>
            </w:r>
          </w:p>
        </w:tc>
      </w:tr>
      <w:tr>
        <w:trPr>
          <w:trHeight w:val="230"/>
        </w:trPr>
        <w:tc>
          <w:tcPr>
            <w:tcW w:w="68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thousands)</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Accruals for warranties issued during the period</w:t>
            </w: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w:t>
            </w: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0"/>
        </w:trPr>
        <w:tc>
          <w:tcPr>
            <w:tcW w:w="6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3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r>
      <w:tr>
        <w:trPr>
          <w:trHeight w:val="20"/>
        </w:trPr>
        <w:tc>
          <w:tcPr>
            <w:tcW w:w="68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Approximately $79,000 of the accrued product warranty liability is classified as long-term in Other liabilities at March 31, 2012 in the Condensed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business consolidation and restructuring expenses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4, Business acquisitions, of the Company’s 2011 Annual Report on Form 10-K for the year ended December 31, 2011, in January 2012, we determined that we no longer need to maintain the existing Printrex manufacturing facility in San Jose, California, along with certain redundant headcount. We estimate that these restructuring activities will cause us to incur costs of approximately $151,000 in 2012 for employee termination benefits related to these employee reductions as well as moving costs. During the three months ended March 31, 2012, we recorded a restructuring charge of $54,000, in accordance with ASC 420-10-25-4 “Exit or Disposal Cost Obligations.” This charge has been included within Business consolidation and restructuring expenses in the accompanying Condensed Consolidated Statements of Income. Cash payments to be made under this restructuring plan are expected to be complete by October 2012.</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2011, we closed our New Britain, CT service facility which primarily serviced our first generation legacy lottery printers for GTECH Corporation (“GTECH”) and incurred $184,000 in facility closure and severance costs in the second quarter of 2011. These restructuring activities reduced the number of employees and closed a facility, which caused us to incur costs for employee termination benefits related to these employee reductions as well as lease termination costs and the disposal of fixed assets. Cash payments to be made under this restructuring plan will be complete by April 2012.</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recorded in accrued restructuring expenses during the three months ended March 31, 2012 and is included in Accrued liabilities in the accompanying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0"/>
              </w:rPr>
              <w:t>(In thousands)</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Severance and moving charges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30"/>
        </w:trPr>
        <w:tc>
          <w:tcPr>
            <w:tcW w:w="20" w:type="dxa"/>
            <w:vAlign w:val="bottom"/>
          </w:tcPr>
          <w:p>
            <w:pPr>
              <w:spacing w:after="0"/>
              <w:rPr>
                <w:sz w:val="20"/>
                <w:szCs w:val="20"/>
                <w:color w:val="auto"/>
              </w:rPr>
            </w:pPr>
          </w:p>
        </w:tc>
        <w:tc>
          <w:tcPr>
            <w:tcW w:w="10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Accrual balance,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59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i w:val="1"/>
                <w:iCs w:val="1"/>
                <w:color w:val="auto"/>
                <w:w w:val="89"/>
              </w:rPr>
              <w:t>(In thousands,</w:t>
            </w:r>
          </w:p>
        </w:tc>
        <w:tc>
          <w:tcPr>
            <w:tcW w:w="1360" w:type="dxa"/>
            <w:vAlign w:val="bottom"/>
            <w:gridSpan w:val="4"/>
          </w:tcPr>
          <w:p>
            <w:pPr>
              <w:jc w:val="right"/>
              <w:ind w:right="30"/>
              <w:spacing w:after="0" w:line="195" w:lineRule="exact"/>
              <w:rPr>
                <w:sz w:val="20"/>
                <w:szCs w:val="20"/>
                <w:color w:val="auto"/>
              </w:rPr>
            </w:pPr>
            <w:r>
              <w:rPr>
                <w:rFonts w:ascii="Arial" w:cs="Arial" w:eastAsia="Arial" w:hAnsi="Arial"/>
                <w:sz w:val="18"/>
                <w:szCs w:val="18"/>
                <w:i w:val="1"/>
                <w:iCs w:val="1"/>
                <w:color w:val="auto"/>
                <w:w w:val="90"/>
              </w:rPr>
              <w:t>except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tcPr>
          <w:p>
            <w:pPr>
              <w:jc w:val="center"/>
              <w:ind w:left="610"/>
              <w:spacing w:after="0"/>
              <w:rPr>
                <w:sz w:val="20"/>
                <w:szCs w:val="20"/>
                <w:color w:val="auto"/>
              </w:rPr>
            </w:pPr>
            <w:r>
              <w:rPr>
                <w:rFonts w:ascii="Arial" w:cs="Arial" w:eastAsia="Arial" w:hAnsi="Arial"/>
                <w:sz w:val="18"/>
                <w:szCs w:val="18"/>
                <w:i w:val="1"/>
                <w:iCs w:val="1"/>
                <w:color w:val="auto"/>
                <w:w w:val="92"/>
              </w:rPr>
              <w:t>data)</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9,427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w w:val="97"/>
              </w:rPr>
              <w:t>Add: Dilutive effect of outstanding options and restricted stock as determined by the treasury stock method</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Diluted: Weighted average common and common equivalent shares outstanding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9,532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480"/>
              <w:spacing w:after="0"/>
              <w:rPr>
                <w:sz w:val="20"/>
                <w:szCs w:val="20"/>
                <w:color w:val="auto"/>
              </w:rPr>
            </w:pPr>
            <w:r>
              <w:rPr>
                <w:rFonts w:ascii="Arial" w:cs="Arial" w:eastAsia="Arial" w:hAnsi="Arial"/>
                <w:sz w:val="18"/>
                <w:szCs w:val="18"/>
                <w:color w:val="auto"/>
              </w:rPr>
              <w:t>Diluted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0.13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Unvested restricted stock is excluded from the calculation of weighted average common shares for basic EPS. For diluted EPS, weighted average common shares include the impact of unvested restricted stock under the treasury stock method.</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March 31, 2012 and 2011, there were 597,750 and 149,750, respectively, potentially dilutive shares consisting of stock options and nonvested restricted stock (for the three months ended March 31, 2011 only), that were excluded from the calculation of earnings per diluted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8. Shareholders’ equity</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8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three months ended March 31, 2012 were as follows (in thousands):</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Issuance of deferred stock units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 from exercise of stock options</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related to employee stock sales and vesting of restricted stock</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Purchases of common stock for treasury</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paid a portion of the 2011 incentive bonus for the chief executive officer and chief financial officer in the form of deferred stock units. Such deferred stock units were granted in March 2012 and were fully vested at the time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an income tax provision for the first quarter of 2012 of $680,000 at an effective tax rate of 36.0%, compared to an income tax provision during the first quarter of 2011 of $982,000 at an effective tax rate of 35.0%. Our effective tax rate for the first quarter of 2012 is higher than the first quarter of 2011 because it does not include any benefit from the federal research and development credit that expired at the end of 2011.</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U.S. federal income tax as well as income tax of certain state and foreign jurisdictions. We have substantially concluded all U.S. federal income tax, state and local, and foreign tax matters through 2003. During 2008, a limited scope examination of our 2005 and 2006 federal tax returns was completed. However, our federal tax returns for the years 2004 through 2011 remain open to examination. Various state and foreign tax jurisdiction tax years remain open to examination as well, though we believe that any additional assessment would be immaterial to the condensed consolidated financial statements. No federal, state or foreign tax jurisdiction income tax returns are currently under examination. As of March 31, 2012, we had $228,000 of total gross unrecognized tax benefits that, if recognized, would favorably affect the effective income tax rate in any future periods.</w:t>
      </w:r>
    </w:p>
    <w:p>
      <w:pPr>
        <w:sectPr>
          <w:pgSz w:w="11900" w:h="16838" w:orient="portrait"/>
          <w:cols w:equalWidth="0" w:num="1">
            <w:col w:w="11420"/>
          </w:cols>
          <w:pgMar w:left="240" w:top="121"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TransAct Technologies Incorporated (“TransAct”) designs, develops and sells market-specific solutions, including printers, terminals, software and other products for transaction-based and other industries. These world-class products are sold under the Epic,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Ithaca® and Printrex® brand names. Known and respected worldwide for innovative designs and real-world service reliability, our thermal, inkjet and impact printers generate top-quality transaction records such as receipts, tickets, coupons, register journals and other documents as well as printed logging and plotting of data. We focus on the following core markets: banking and point-of-sale (“POS”), casino and gaming, lottery, oil and gas and medical and mobile. We sell our products to original equipment manufacturers (“OEMs”), value-added resellers ("VARs"), selected distributors, as well as directly to end-users. Our product distribution spans across the Americas, Europe, the Middle East, Africa, Asia, Australia, the Caribbean Islands and the South Pacific. Beyond printers, TransAct is a leader in providing printing supplies to the full transaction printer market. Through our TransAct Services Group (“TSG”) we provide a complete range of supplies and consumables used in the printing and scanning activities of customers in the hospitality, banking, retail,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on-line demand for these products. We operate in one reportable segment: the design, development, assembly and marketing of transaction printers and providing printer-related services, supplies and spare parts.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19, 2011, we completed the acquisition of Printrex, Inc. (“Printrex”) for $4,000,000 in cash and potential future contingent consideration. Printrex is a leading manufacturer of specialty printers primarily sold into the oil and gas exploration and medical and mobile markets. Printrex serves commercial and industrial customers primarily in the United States, Canada, Europe and Asia. This acquisition was completed to complement our existing product offerings.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2011. We have reviewed those policies and determined that they remain our critical accounting policies for the three months ended March 31, 2012.</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have developed a new software solution, the EPICENTRAL</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Print System (“EPICENTRAL</w:t>
      </w:r>
      <w:r>
        <w:rPr>
          <w:rFonts w:ascii="Arial" w:cs="Arial" w:eastAsia="Arial" w:hAnsi="Arial"/>
          <w:sz w:val="22"/>
          <w:szCs w:val="22"/>
          <w:color w:val="auto"/>
          <w:vertAlign w:val="superscript"/>
        </w:rPr>
        <w:t>TM</w:t>
      </w:r>
      <w:r>
        <w:rPr>
          <w:rFonts w:ascii="Arial" w:cs="Arial" w:eastAsia="Arial" w:hAnsi="Arial"/>
          <w:sz w:val="16"/>
          <w:szCs w:val="16"/>
          <w:color w:val="auto"/>
        </w:rPr>
        <w:t>”), that will enable casino operators</w:t>
      </w:r>
      <w:r>
        <w:rPr>
          <w:rFonts w:ascii="Arial" w:cs="Arial" w:eastAsia="Arial" w:hAnsi="Arial"/>
          <w:sz w:val="16"/>
          <w:szCs w:val="16"/>
          <w:i w:val="1"/>
          <w:iCs w:val="1"/>
          <w:color w:val="auto"/>
        </w:rPr>
        <w:t xml:space="preserve"> </w:t>
      </w:r>
      <w:r>
        <w:rPr>
          <w:rFonts w:ascii="Arial" w:cs="Arial" w:eastAsia="Arial" w:hAnsi="Arial"/>
          <w:sz w:val="16"/>
          <w:szCs w:val="16"/>
          <w:color w:val="auto"/>
        </w:rPr>
        <w:t>to create promotional coupons and marketing messages and to print them in real-time at the slot machine. Revenue arrangements for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include multiple deliverables and as a result such arrangements are accounted for in accordance with both ASC 605-25, “Multiple-Element Arrangements” and ASC 985-605, “Software.”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is primarily comprised of both a software component, which is licensed, and a hardware component, which can either be leased or sold to end users, and both components are integrated to deliver the system’s full functionality. Under leasing arrangements, revenue is generally recognized ratably over the lease term, excluding revenue allocated to installation, which is recognized upon completion. In an arrangement where the hardware is purchased, revenue, inclusive of software license fees, is generally recognized upon installation and formal acceptance by the customer. Also, refer to the Revenue Recognition policy included in Item 7 - Management’s Discussion and Analysis of Financial Condition and Results of Operations, “Critical Accounting Policies and Estimates,” included in our Annual Report on Form 10-K for the year ended December 31, 2011 for further discussion.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March 31, 2012 compared to three months ended March 31, 2011</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and software sales as well as sales of replacement parts, consumables and repair services, by market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2012 and 2011 were as follows (in thousands, except percentages):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3"/>
              </w:rPr>
              <w:t>March 31, 2012</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March 31, 2011</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Banking and point-of-sale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Casino and gaming</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9,411</w:t>
            </w: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6,954</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2,457</w:t>
            </w: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7,542</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Printrex</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1,239</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1,239</w:t>
            </w: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3,736</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17,559</w:t>
            </w: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20,694</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(3,135)</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International *</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6,222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5,422</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right="660" w:firstLine="8"/>
        <w:spacing w:after="0" w:line="261"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sales for the first quarter of 2012 decreased $3,135,000, or 15%, from the same period in 2011 due primarily to lower printer sales in our lottery market (a decrease of approximately $6,512,000, or 86%), and to a lesser extent from lower sales in the banking and point-of-sale market and in TSG. These lower sales were partially offset by an increase in sales from our casino and gaming market of approximately $2,457,000, or 35%, and $1,239,000 of sales of printers resulting from the acquisition of Printrex. Printer sales volume decreased 31% to approximately 49,000 units in the first quarter of 2012 compared to the first quarter of 2011. The decrease in unit volume was driven primarily by the lottery market where our unit volume decreased 86% compared to 2011, partially offset by a 33% increase in unit volume from the casino and gaming market as well as the addition of Printrex units. The average selling price of our printers increased 20% in the first quarter of 2012 compared to the first quarter of 2011 due to (1) significantly lower sales of lottery printers which have lower average selling prices than our other printers and (2) sales of Printrex printers which have significantly higher average selling prices than all our other printers. Overall, international sales increased $800,000, or 15%, primarily driven by higher sales to the casino and gaming market.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and POS: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the banking and POS market includes sales of printers used by banks, credit unions, and other financial institutions to print and/or validate receipts at bank teller stations.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A summary of sales of our worldwide banking and POS printers for the three months ended March 31, 2012 and 2011 is as follows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3"/>
              </w:rPr>
              <w:t>March 31, 2012</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March 31, 2011</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International</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7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3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r>
      <w:tr>
        <w:trPr>
          <w:trHeight w:val="20"/>
        </w:trPr>
        <w:tc>
          <w:tcPr>
            <w:tcW w:w="2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0"/>
        </w:trPr>
        <w:tc>
          <w:tcPr>
            <w:tcW w:w="20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0"/>
        </w:trPr>
        <w:tc>
          <w:tcPr>
            <w:tcW w:w="20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domestic banking and POS printer revenue from the first quarter of 2011 was primarily driven by higher sales of our banking printers mainly due to the shipment of the first half of a large order for our Ithaca® 280 thermal receipt printer to a new banking customer. We expect to ship the remaining half of the units for this order over the second and third quarters of 2012. This increase in sales of banking printers was largely offset by a decrease in U.S. sales of our two POS printer products to McDonald’s, the Ithaca® 8000 and Ithaca® 8040, for its combined beverage initiative and its POS system upgrade which includes grill initiative printer upgrades. We expect U.S. sales for McDonald’s to be lower in 2012 compared to 2011 as McDonald’s substantially completed the roll out of printers to its 14,000 U.S. stores during 2011. Although we are currently pursuing several banking opportunities, due to the project-oriented nature of these sales, we cannot predict the level of future sales.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International banking and POS printer sales for the first quarter of 2012 decreased 83% from 2011 due primarily to lower sales for the aforementioned McDonald’s POS system upgrade and grill initiative as well as the combined beverage initiative to its Canadian stores in 2012 compared to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and royalties related to our patented casino and gaming technology. In addition, casino and gaming market revenue includes sales of our new software solution, the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print system, that enables casino operators to create promotional coupons and marketing messages and to print them real-time at the slot machine. A summary of sales of our worldwide casino and gaming printers for the three months ended March 31, 2012 and 2011 is as follows (in thousands, except percentages):</w:t>
      </w:r>
    </w:p>
    <w:p>
      <w:pPr>
        <w:sectPr>
          <w:pgSz w:w="11900" w:h="16838" w:orient="portrait"/>
          <w:cols w:equalWidth="0" w:num="1">
            <w:col w:w="11420"/>
          </w:cols>
          <w:pgMar w:left="240" w:top="122"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3"/>
              </w:rPr>
              <w:t>March 31, 2012</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March 31, 2011</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3,827</w:t>
            </w:r>
          </w:p>
        </w:tc>
        <w:tc>
          <w:tcPr>
            <w:tcW w:w="7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5,584</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4,604</w:t>
            </w:r>
          </w:p>
        </w:tc>
        <w:tc>
          <w:tcPr>
            <w:tcW w:w="7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66.2%</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980</w:t>
            </w:r>
          </w:p>
        </w:tc>
        <w:tc>
          <w:tcPr>
            <w:tcW w:w="3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0"/>
        </w:trPr>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6,954</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2,457</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increase in domestic sales of our casino and gaming products is primarily due to an increase of 65% in sales of our thermal casino printers. We believe that our increased casino printer sales during the first quarter of 2012 resulted from a combination of new casino openings and continued market share gains. Revenue in the first quarter of 2012 also benefited from the first contribution of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software sales. Even though we anticipate improvement in the domestic slot machine replacement cycle in 2012, we expect our domestic casino sales to be higher in 2012 than in 2011 as we expect to continue to gain market share and also benefit from new casino openings we won in 2011 and will install in 2012.</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International casino and gaming printer sales increased due primarily to a 20% increase in casino ticket printer sales as the pace of the government-approved installation of approximately 50,000 video lottery terminal (“VLT”) gaming machines into Italy increased during the first quarter of 2012 following a significant slowdown during 2011. Although we expect sales of printers for the Italian VLT market to continue in 2012, we cannot predict the future level of these sales as they are dependent on the Italian regulatory environment. In addition to increased casino ticket printer sales, sales of our off-premise thermal gaming printers also increased 24% in the first quarter of 2012 compared to 2011 due primarily to a 91% increase in sales to our European distributor partially offset by a 40% decrease in sales to our customers in Australia and Asia.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Revenue from the lottery market includes sales of thermal on-line and other lottery printers to GTECH for various lottery applications. A summary of sales of our worldwide lottery printers for the three months ended March 31, 2012 and 2011 is as follows (in thousands,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3"/>
              </w:rPr>
              <w:t>March 31, 2012</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March 31, 2011</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7,395</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International</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r>
      <w:tr>
        <w:trPr>
          <w:trHeight w:val="20"/>
        </w:trPr>
        <w:tc>
          <w:tcPr>
            <w:tcW w:w="2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0"/>
        </w:trPr>
        <w:tc>
          <w:tcPr>
            <w:tcW w:w="20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7,542</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(6,512)</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r>
      <w:tr>
        <w:trPr>
          <w:trHeight w:val="20"/>
        </w:trPr>
        <w:tc>
          <w:tcPr>
            <w:tcW w:w="20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we expect total sales to GTECH for 2012 to be significantly lower than the near record level of sales reported during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Sales of the Printrex branded printers are sold into markets that include wide format, rack mounted and vehicle mounted thermal printers used by customers to log and plot oil field and down hole well drilling data in the oil and gas exploration industry. Sales in this market also include wide format printers used to print test results in ophthalmology devices in the medical industry, as well as vehicle mounted printers used to print schematics and certain other critical information in emergency services vehicles. A summary of sales of our worldwide Printrex printers is as follows (in thousands,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8"/>
              </w:rPr>
              <w:t>Three months ended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3"/>
              </w:rPr>
              <w:t>March 31, 2012</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1,075</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International</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0"/>
        </w:trPr>
        <w:tc>
          <w:tcPr>
            <w:tcW w:w="2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100.0%</w:t>
            </w:r>
          </w:p>
        </w:tc>
      </w:tr>
      <w:tr>
        <w:trPr>
          <w:trHeight w:val="41"/>
        </w:trPr>
        <w:tc>
          <w:tcPr>
            <w:tcW w:w="21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Printrex was acquired during the third quarter of 2011, no Printrex printer sales were included in our results for the first quarter of 2011. We expect sales of Printrex printers for 2012 to be between approximately $5,000,000 and $5,500,000.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TSG includes sales of consumable products (inkjet cartridges, ribbons, receipt paper and other printing supplies), replacement parts, maintenance and repair services, paper testing services, refurbished printers, and shipping and handling charges. A summary of sales in our worldwide TSG market for the three months ended March 31, 2012 and 2011 is as follows (in thousands, except percentages):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3"/>
              </w:rPr>
              <w:t>March 31, 2012</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2"/>
              </w:rPr>
              <w:t>March 31, 2011</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3,443</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International</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7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r>
      <w:tr>
        <w:trPr>
          <w:trHeight w:val="20"/>
        </w:trPr>
        <w:tc>
          <w:tcPr>
            <w:tcW w:w="2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0"/>
        </w:trPr>
        <w:tc>
          <w:tcPr>
            <w:tcW w:w="20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3,736</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0"/>
        </w:trPr>
        <w:tc>
          <w:tcPr>
            <w:tcW w:w="20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domestic revenue from TSG is primarily due to a 20% decrease in sales of consumables from a loss of sales to two OEM customers, partially offset by service revenue from several new contracts for paper testing services that did not occur in the first quarter of 2011 as well as Printrex TSG sales of approximately $103,000. Internationally, TSG revenue increased due primarily to higher sales of replacement parts as compared to the first quarter of 2011. We expect TSG sales in 2012 to be lower than in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1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gridSpan w:val="2"/>
          </w:tcPr>
          <w:p>
            <w:pPr>
              <w:ind w:left="620"/>
              <w:spacing w:after="0"/>
              <w:rPr>
                <w:sz w:val="20"/>
                <w:szCs w:val="20"/>
                <w:color w:val="auto"/>
              </w:rPr>
            </w:pPr>
            <w:r>
              <w:rPr>
                <w:rFonts w:ascii="Arial" w:cs="Arial" w:eastAsia="Arial" w:hAnsi="Arial"/>
                <w:sz w:val="18"/>
                <w:szCs w:val="18"/>
                <w:b w:val="1"/>
                <w:bCs w:val="1"/>
                <w:color w:val="auto"/>
              </w:rPr>
              <w:t>Percent</w:t>
            </w:r>
          </w:p>
        </w:tc>
        <w:tc>
          <w:tcPr>
            <w:tcW w:w="2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Percent of</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6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2011</w:t>
            </w:r>
          </w:p>
        </w:tc>
        <w:tc>
          <w:tcPr>
            <w:tcW w:w="360" w:type="dxa"/>
            <w:vAlign w:val="bottom"/>
          </w:tcPr>
          <w:p>
            <w:pPr>
              <w:spacing w:after="0"/>
              <w:rPr>
                <w:sz w:val="18"/>
                <w:szCs w:val="18"/>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40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- 2011</w:t>
            </w: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6,778</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6,932</w:t>
            </w: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is measured as revenue less cost of sales, which includes primarily the cost of all raw materials and component parts, direct labor and the associated manufacturing overhead expenses, and the cost of finished products purchased directly from our contract manufacturers. While gross profit decreased $154,000, or 2%, our gross margin significantly improved by 510 basis points due primarily to a favorable sales mix as we sold more higher margin casino and gaming and Printrex printers, and significantly fewer lower margin lottery printers, in the first quarter of 2012 compared to the first quarter of 2011. We expect our gross margin for the remainder of 2012 to continue to be higher than in 2011.</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Three months ended</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1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gridSpan w:val="2"/>
          </w:tcPr>
          <w:p>
            <w:pPr>
              <w:ind w:left="640"/>
              <w:spacing w:after="0"/>
              <w:rPr>
                <w:sz w:val="20"/>
                <w:szCs w:val="20"/>
                <w:color w:val="auto"/>
              </w:rPr>
            </w:pPr>
            <w:r>
              <w:rPr>
                <w:rFonts w:ascii="Arial" w:cs="Arial" w:eastAsia="Arial" w:hAnsi="Arial"/>
                <w:sz w:val="18"/>
                <w:szCs w:val="18"/>
                <w:b w:val="1"/>
                <w:bCs w:val="1"/>
                <w:color w:val="auto"/>
              </w:rPr>
              <w:t>Percent</w:t>
            </w:r>
          </w:p>
        </w:tc>
        <w:tc>
          <w:tcPr>
            <w:tcW w:w="2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Percent of</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4"/>
              </w:rPr>
              <w:t>2011</w:t>
            </w:r>
          </w:p>
        </w:tc>
        <w:tc>
          <w:tcPr>
            <w:tcW w:w="340" w:type="dxa"/>
            <w:vAlign w:val="bottom"/>
          </w:tcPr>
          <w:p>
            <w:pPr>
              <w:spacing w:after="0"/>
              <w:rPr>
                <w:sz w:val="18"/>
                <w:szCs w:val="18"/>
                <w:color w:val="auto"/>
              </w:rPr>
            </w:pPr>
          </w:p>
        </w:tc>
        <w:tc>
          <w:tcPr>
            <w:tcW w:w="18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40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42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1,213</w:t>
            </w:r>
          </w:p>
        </w:tc>
        <w:tc>
          <w:tcPr>
            <w:tcW w:w="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769</w:t>
            </w:r>
          </w:p>
        </w:tc>
        <w:tc>
          <w:tcPr>
            <w:tcW w:w="2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w:t>
            </w:r>
          </w:p>
        </w:tc>
        <w:tc>
          <w:tcPr>
            <w:tcW w:w="2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increased $444,000, or 58%, which was due primarily to the addition of engineering staff and related expenses from the acquisition of Printrex of approximately $166,000 and higher outside testing and pre-production expenses related to new product development as we prepare to launch five new products in the second quarter of 2012. We expect engineering, design and product development expenses to be higher in 2012 than in 2011 due largely to the full year effect of the Printrex acquisition.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Three months ended</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1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gridSpan w:val="2"/>
          </w:tcPr>
          <w:p>
            <w:pPr>
              <w:ind w:left="640"/>
              <w:spacing w:after="0"/>
              <w:rPr>
                <w:sz w:val="20"/>
                <w:szCs w:val="20"/>
                <w:color w:val="auto"/>
              </w:rPr>
            </w:pPr>
            <w:r>
              <w:rPr>
                <w:rFonts w:ascii="Arial" w:cs="Arial" w:eastAsia="Arial" w:hAnsi="Arial"/>
                <w:sz w:val="18"/>
                <w:szCs w:val="18"/>
                <w:b w:val="1"/>
                <w:bCs w:val="1"/>
                <w:color w:val="auto"/>
              </w:rPr>
              <w:t>Percent</w:t>
            </w:r>
          </w:p>
        </w:tc>
        <w:tc>
          <w:tcPr>
            <w:tcW w:w="2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Percent of</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4"/>
              </w:rPr>
              <w:t>2011</w:t>
            </w:r>
          </w:p>
        </w:tc>
        <w:tc>
          <w:tcPr>
            <w:tcW w:w="340" w:type="dxa"/>
            <w:vAlign w:val="bottom"/>
          </w:tcPr>
          <w:p>
            <w:pPr>
              <w:spacing w:after="0"/>
              <w:rPr>
                <w:sz w:val="18"/>
                <w:szCs w:val="18"/>
                <w:color w:val="auto"/>
              </w:rPr>
            </w:pPr>
          </w:p>
        </w:tc>
        <w:tc>
          <w:tcPr>
            <w:tcW w:w="18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40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42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1,601</w:t>
            </w:r>
          </w:p>
        </w:tc>
        <w:tc>
          <w:tcPr>
            <w:tcW w:w="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1,519</w:t>
            </w:r>
          </w:p>
        </w:tc>
        <w:tc>
          <w:tcPr>
            <w:tcW w:w="2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2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by 5% in the first quarter of 2012 compared to the first quarter of 2011 primarily due to higher expenses associated with the Printrex acquisition somewhat offset by lower tradeshow and promotional marketing expenses. We expect selling and marketing expenses to be higher in 2012 than in 2011 due to the full year effect of the Printrex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Three months ended</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1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gridSpan w:val="2"/>
          </w:tcPr>
          <w:p>
            <w:pPr>
              <w:ind w:left="640"/>
              <w:spacing w:after="0"/>
              <w:rPr>
                <w:sz w:val="20"/>
                <w:szCs w:val="20"/>
                <w:color w:val="auto"/>
              </w:rPr>
            </w:pPr>
            <w:r>
              <w:rPr>
                <w:rFonts w:ascii="Arial" w:cs="Arial" w:eastAsia="Arial" w:hAnsi="Arial"/>
                <w:sz w:val="18"/>
                <w:szCs w:val="18"/>
                <w:b w:val="1"/>
                <w:bCs w:val="1"/>
                <w:color w:val="auto"/>
              </w:rPr>
              <w:t>Percent</w:t>
            </w:r>
          </w:p>
        </w:tc>
        <w:tc>
          <w:tcPr>
            <w:tcW w:w="2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Percent of</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4"/>
              </w:rPr>
              <w:t>2011</w:t>
            </w:r>
          </w:p>
        </w:tc>
        <w:tc>
          <w:tcPr>
            <w:tcW w:w="340" w:type="dxa"/>
            <w:vAlign w:val="bottom"/>
          </w:tcPr>
          <w:p>
            <w:pPr>
              <w:spacing w:after="0"/>
              <w:rPr>
                <w:sz w:val="18"/>
                <w:szCs w:val="18"/>
                <w:color w:val="auto"/>
              </w:rPr>
            </w:pPr>
          </w:p>
        </w:tc>
        <w:tc>
          <w:tcPr>
            <w:tcW w:w="18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40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42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w:t>
            </w:r>
          </w:p>
        </w:tc>
        <w:tc>
          <w:tcPr>
            <w:tcW w:w="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1,856</w:t>
            </w:r>
          </w:p>
        </w:tc>
        <w:tc>
          <w:tcPr>
            <w:tcW w:w="2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2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increased $144,000, or 8%, due primarily to amortization of intangible assets acquired in the acquisition of Printrex of approximately $95,000. We expect general and administrative expenses to be higher in 2012 than in 2011 due to the full year effect of the Printrex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Business Consolidation and Restructuring. </w:t>
      </w:r>
      <w:r>
        <w:rPr>
          <w:rFonts w:ascii="Arial" w:cs="Arial" w:eastAsia="Arial" w:hAnsi="Arial"/>
          <w:sz w:val="16"/>
          <w:szCs w:val="16"/>
          <w:color w:val="auto"/>
        </w:rPr>
        <w:t>Business consolidation and restructuring information is summarized below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Three months ended</w:t>
            </w:r>
          </w:p>
        </w:tc>
        <w:tc>
          <w:tcPr>
            <w:tcW w:w="420" w:type="dxa"/>
            <w:vAlign w:val="bottom"/>
          </w:tcPr>
          <w:p>
            <w:pPr>
              <w:spacing w:after="0"/>
              <w:rPr>
                <w:sz w:val="18"/>
                <w:szCs w:val="18"/>
                <w:color w:val="auto"/>
              </w:rPr>
            </w:pPr>
          </w:p>
        </w:tc>
        <w:tc>
          <w:tcPr>
            <w:tcW w:w="19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March 31, 2012</w:t>
            </w:r>
          </w:p>
        </w:tc>
        <w:tc>
          <w:tcPr>
            <w:tcW w:w="42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20"/>
                <w:szCs w:val="20"/>
                <w:color w:val="auto"/>
              </w:rPr>
            </w:pPr>
          </w:p>
        </w:tc>
      </w:tr>
      <w:tr>
        <w:trPr>
          <w:trHeight w:val="210"/>
        </w:trPr>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6 to the Condensed Consolidated Financial Statements, in January 2012, we determined that we no longer needed to maintain the existing Printrex manufacturing facility in San Jose, California, along with certain redundant headcount. During the three months ended March 31, 2012, we recorded a restructuring charge of $54,000 for employee termination benefits related to these employee reductions as well as moving costs. We expect to incur total costs of approximately $151,000 in 2012 in connection with these restructuring activities.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1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gridSpan w:val="2"/>
          </w:tcPr>
          <w:p>
            <w:pPr>
              <w:ind w:left="620"/>
              <w:spacing w:after="0"/>
              <w:rPr>
                <w:sz w:val="20"/>
                <w:szCs w:val="20"/>
                <w:color w:val="auto"/>
              </w:rPr>
            </w:pPr>
            <w:r>
              <w:rPr>
                <w:rFonts w:ascii="Arial" w:cs="Arial" w:eastAsia="Arial" w:hAnsi="Arial"/>
                <w:sz w:val="18"/>
                <w:szCs w:val="18"/>
                <w:b w:val="1"/>
                <w:bCs w:val="1"/>
                <w:color w:val="auto"/>
              </w:rPr>
              <w:t>Percent</w:t>
            </w:r>
          </w:p>
        </w:tc>
        <w:tc>
          <w:tcPr>
            <w:tcW w:w="2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Percent of</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6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2011</w:t>
            </w:r>
          </w:p>
        </w:tc>
        <w:tc>
          <w:tcPr>
            <w:tcW w:w="360" w:type="dxa"/>
            <w:vAlign w:val="bottom"/>
          </w:tcPr>
          <w:p>
            <w:pPr>
              <w:spacing w:after="0"/>
              <w:rPr>
                <w:sz w:val="18"/>
                <w:szCs w:val="18"/>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40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- 2011</w:t>
            </w: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1,910</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2,788</w:t>
            </w: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w:t>
            </w:r>
          </w:p>
        </w:tc>
        <w:tc>
          <w:tcPr>
            <w:tcW w:w="2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our operating income and operating margin was primarily due to higher operating expenses attributable to the Printrex acquisition of approximately $418,000 in addition to higher engineering, design and new product development expenses.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We recorded net interest income of $2,000 in the first quarter of 2012 compared to net interest income of $4,000 in the first quarter of 2011.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related to the unused revolving credit line fee and amortization of the deferred financing costs on our revolving credit facility with TD Bank remained consistent in the first quarter of 2012 compared to the first quarter of 2011. See “Liquidity and Capital Resources” below for more information.</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$24,000 in the first quarter of 2012 compared to other income of $15,000 in the first quarter of 2011. The 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due to foreign currency transaction exchange losses recorded by our U.K. subsidiary in the first quarter of 2012 compared to gains recorded in the first quarter of 2011.</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recorded an income tax provision for the first quarter of 2012 of $680,000 at an effective tax rate of 36.0%, compared to an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 during the first quarter of 2011 of $982,000 at an effective tax rate of 35.0%. Our effective tax rate for the first quarter of 2012 is higher because it does not include a benefit from the federal research and development credit, which is normally included in our tax rate, as this credit that expired at the end of 2011. If this credit is not reinstated, we expect our annual effective tax rate for 2012 to be between 36% and 37%.</w:t>
      </w:r>
    </w:p>
    <w:p>
      <w:pPr>
        <w:spacing w:after="0" w:line="19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quarter of 2012 of $1,208,000, or $0.13 per diluted share, compared to $1,825,000, or $0.19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first quarter of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first three months of 2012, our cash and cash equivalents balance increased $1,010,000, or 15%, from December 31, 2011 and we ended the first quarter of 2012 with $7,873,000 in cash and cash equivalents and no debt outstanding.</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$1,155,000 in the first three months of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used in operating activities of $1,258,000 in the first three months of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2012:</w:t>
      </w:r>
    </w:p>
    <w:p>
      <w:pPr>
        <w:spacing w:after="0" w:line="23" w:lineRule="exact"/>
        <w:rPr>
          <w:sz w:val="20"/>
          <w:szCs w:val="20"/>
          <w:color w:val="auto"/>
        </w:rPr>
      </w:pPr>
    </w:p>
    <w:p>
      <w:pPr>
        <w:ind w:left="1140" w:hanging="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$1,208,000.</w:t>
      </w:r>
    </w:p>
    <w:p>
      <w:pPr>
        <w:spacing w:after="0" w:line="9" w:lineRule="exact"/>
        <w:rPr>
          <w:rFonts w:ascii="Arial" w:cs="Arial" w:eastAsia="Arial" w:hAnsi="Arial"/>
          <w:sz w:val="18"/>
          <w:szCs w:val="18"/>
          <w:color w:val="auto"/>
        </w:rPr>
      </w:pPr>
    </w:p>
    <w:p>
      <w:pPr>
        <w:ind w:left="1140" w:hanging="132"/>
        <w:spacing w:after="0" w:line="261"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$604,000, including $95,000 of amortization related to intangible assets acquired from Printrex.</w:t>
      </w:r>
    </w:p>
    <w:p>
      <w:pPr>
        <w:sectPr>
          <w:pgSz w:w="11900" w:h="16838" w:orient="portrait"/>
          <w:cols w:equalWidth="0" w:num="1">
            <w:col w:w="11420"/>
          </w:cols>
          <w:pgMar w:left="240" w:top="122"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1140" w:hanging="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receivable increased $3,238,000 due to a higher concentration of sales made during the latter portion of the quarter.</w:t>
      </w:r>
    </w:p>
    <w:p>
      <w:pPr>
        <w:spacing w:after="0" w:line="23"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Inventories decreased $2,183,000 due to a concerted effort to significantly reduce inventory purchases and to fulfill sales during the quarter with existing inventory stock.</w:t>
      </w:r>
    </w:p>
    <w:p>
      <w:pPr>
        <w:ind w:left="1140" w:hanging="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payable decreased $175,000 due to lower inventory purchases and the timing of payments during the quarter.</w:t>
      </w:r>
    </w:p>
    <w:p>
      <w:pPr>
        <w:spacing w:after="0" w:line="9" w:lineRule="exact"/>
        <w:rPr>
          <w:rFonts w:ascii="Arial" w:cs="Arial" w:eastAsia="Arial" w:hAnsi="Arial"/>
          <w:sz w:val="18"/>
          <w:szCs w:val="18"/>
          <w:color w:val="auto"/>
        </w:rPr>
      </w:pPr>
    </w:p>
    <w:p>
      <w:pPr>
        <w:jc w:val="both"/>
        <w:ind w:left="1140" w:hanging="132"/>
        <w:spacing w:after="0" w:line="25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$375,000 due primarily to additional deferred revenue associated with new contracts for paper qualification testing entered into during the quarter and the recognition of an income tax payable (after fully reducing refundable income taxes) to reflect our estimated tax liability for the first quarter results. These increases were partially offset by lower payroll and fringe benefit related accruals based on the payment of 2011 annual bonuses in March 2012.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2011:</w:t>
      </w:r>
    </w:p>
    <w:p>
      <w:pPr>
        <w:spacing w:after="0" w:line="23" w:lineRule="exact"/>
        <w:rPr>
          <w:sz w:val="20"/>
          <w:szCs w:val="20"/>
          <w:color w:val="auto"/>
        </w:rPr>
      </w:pPr>
    </w:p>
    <w:p>
      <w:pPr>
        <w:ind w:left="1140" w:hanging="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reported net income of $1,825,000.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$524,000.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Accounts receivable increased $3,807,000 due to higher sales volume and the timing of sales during the quarter.</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Inventories increased $319,000 due to higher stocking levels resulting from anticipated higher sales volume in the first half of 2011.</w:t>
      </w:r>
    </w:p>
    <w:p>
      <w:pPr>
        <w:spacing w:after="0" w:line="20" w:lineRule="exact"/>
        <w:rPr>
          <w:rFonts w:ascii="Arial" w:cs="Arial" w:eastAsia="Arial" w:hAnsi="Arial"/>
          <w:sz w:val="17"/>
          <w:szCs w:val="17"/>
          <w:color w:val="auto"/>
        </w:rPr>
      </w:pPr>
    </w:p>
    <w:p>
      <w:pPr>
        <w:ind w:left="1140" w:hanging="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Accounts payable increased $579,000 due to increased inventory purchases and the timing of payments during the quarter.</w:t>
      </w:r>
    </w:p>
    <w:p>
      <w:pPr>
        <w:spacing w:after="0" w:line="9" w:lineRule="exact"/>
        <w:rPr>
          <w:rFonts w:ascii="Arial" w:cs="Arial" w:eastAsia="Arial" w:hAnsi="Arial"/>
          <w:sz w:val="18"/>
          <w:szCs w:val="18"/>
          <w:color w:val="auto"/>
        </w:rPr>
      </w:pPr>
    </w:p>
    <w:p>
      <w:pPr>
        <w:jc w:val="both"/>
        <w:ind w:left="1140" w:hanging="132"/>
        <w:spacing w:after="0" w:line="255"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$190,000 due primarily to higher income tax liabilities resulting from a higher level of income before taxes, largely offset by lower payroll and fringe benefit related accruals based on the payment of 2010 annual bonuses in March 2011.</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$44,000 and $122,000 in the first three months of 2012 and 2011, respectively. Expenditures in 2012</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$35,000 for the purchase of computer equipment and the remaining amount primarily for the purchase of new product tooling. Expenditures in 2011 included $89,000 for the purchase of computer equipment, $30,000 for the purchase of new product tooling and the remaining amount primarily for the purchase of engineering and manufacturing equipment. Additionally, our capitalized software development costs were $10,000 and $318,000 in the first three months of 2012 and 2011, all related to our new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print system.</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including capitalized software development costs, for 2012 are expected to be approximately $1,500,000 primarily for new product tooling and tooling enhancements for our existing products.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$80,000 of cash from financing activities during the first three months of 2012 due to the repurchase of $145,000 of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 partially offset by proceeds and tax benefits from stock option exercises of $65,000. During the first three months of 2011 we used $389,000 of cash from financing activities due to the repurchase of $544,000 of Company stock partially offset by proceeds and tax benefits from stock option exercises of $155,000.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working capital increased 6% to $28,769,000 at March 31, 2012 from $27,222,000 at December 31, 2011. Our current ratio increased to 5.8 as of March 31, 2012 compared to 5.7 at December 31, 2011. The increase in our working capital and current ratio was largely due to higher accounts receivable and cash and cash equivalent balances offset by lower inventory balances.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22, 2011, we signed a three-year amendment to renew our existing $20,000,000 credit facility (the “TD Bank Credit Facility”) with TD Bank. The TD Bank Credit Facility provides for a $20,000,000 revolving credit line expiring on November 28, 2014. Borrowings under the revolving credit line bear a floating rate of interest at the prime rate minus one percent and are secured by a lien on all of our assets. We also pay a fee of 0.25% on unused borrowings under the revolving credit line. The total deferred financing costs relating to expenses incurred to complete the TD Bank Credit Facility was $31,000. The TD Bank Credit Facility imposes certain quarterly financial covenants on us and restricts, among other things, our ability to incur additional indebtedness, the payment of dividends on our common stock and the creation of other liens. We were in compliance with all financial covenants of the TD Bank Credit Facility at March 31, 2012. The following table lists the financial covenants and the performance measurements at March 31, 2012: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Financial Covenant</w:t>
            </w:r>
          </w:p>
        </w:tc>
        <w:tc>
          <w:tcPr>
            <w:tcW w:w="3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Requirement/Restriction</w:t>
            </w: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Calculation at March 31, 2012</w:t>
            </w:r>
          </w:p>
        </w:tc>
      </w:tr>
      <w:tr>
        <w:trPr>
          <w:trHeight w:val="195"/>
        </w:trPr>
        <w:tc>
          <w:tcPr>
            <w:tcW w:w="41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1"/>
              </w:rPr>
              <w:t>Operating cash flow / Total debt service</w:t>
            </w:r>
          </w:p>
        </w:tc>
        <w:tc>
          <w:tcPr>
            <w:tcW w:w="33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3"/>
              </w:rPr>
              <w:t>Minimum of 1.25 times</w:t>
            </w:r>
          </w:p>
        </w:tc>
        <w:tc>
          <w:tcPr>
            <w:tcW w:w="3920" w:type="dxa"/>
            <w:vAlign w:val="bottom"/>
          </w:tcPr>
          <w:p>
            <w:pPr>
              <w:jc w:val="center"/>
              <w:spacing w:after="0" w:line="195" w:lineRule="exact"/>
              <w:rPr>
                <w:sz w:val="20"/>
                <w:szCs w:val="20"/>
                <w:color w:val="auto"/>
              </w:rPr>
            </w:pPr>
            <w:r>
              <w:rPr>
                <w:rFonts w:ascii="Arial" w:cs="Arial" w:eastAsia="Arial" w:hAnsi="Arial"/>
                <w:sz w:val="18"/>
                <w:szCs w:val="18"/>
                <w:color w:val="auto"/>
                <w:w w:val="91"/>
              </w:rPr>
              <w:t>92.1 times</w:t>
            </w:r>
          </w:p>
        </w:tc>
      </w:tr>
      <w:tr>
        <w:trPr>
          <w:trHeight w:val="230"/>
        </w:trPr>
        <w:tc>
          <w:tcPr>
            <w:tcW w:w="4180" w:type="dxa"/>
            <w:vAlign w:val="bottom"/>
          </w:tcPr>
          <w:p>
            <w:pPr>
              <w:jc w:val="center"/>
              <w:ind w:right="30"/>
              <w:spacing w:after="0"/>
              <w:rPr>
                <w:sz w:val="20"/>
                <w:szCs w:val="20"/>
                <w:color w:val="auto"/>
              </w:rPr>
            </w:pPr>
            <w:r>
              <w:rPr>
                <w:rFonts w:ascii="Arial" w:cs="Arial" w:eastAsia="Arial" w:hAnsi="Arial"/>
                <w:sz w:val="18"/>
                <w:szCs w:val="18"/>
                <w:color w:val="auto"/>
                <w:w w:val="94"/>
              </w:rPr>
              <w:t>Funded Debt / EBITDA</w:t>
            </w:r>
          </w:p>
        </w:tc>
        <w:tc>
          <w:tcPr>
            <w:tcW w:w="3320" w:type="dxa"/>
            <w:vAlign w:val="bottom"/>
          </w:tcPr>
          <w:p>
            <w:pPr>
              <w:jc w:val="center"/>
              <w:ind w:right="50"/>
              <w:spacing w:after="0"/>
              <w:rPr>
                <w:sz w:val="20"/>
                <w:szCs w:val="20"/>
                <w:color w:val="auto"/>
              </w:rPr>
            </w:pPr>
            <w:r>
              <w:rPr>
                <w:rFonts w:ascii="Arial" w:cs="Arial" w:eastAsia="Arial" w:hAnsi="Arial"/>
                <w:sz w:val="18"/>
                <w:szCs w:val="18"/>
                <w:color w:val="auto"/>
                <w:w w:val="94"/>
              </w:rPr>
              <w:t>Maximum of 3.0 times</w:t>
            </w:r>
          </w:p>
        </w:tc>
        <w:tc>
          <w:tcPr>
            <w:tcW w:w="3920" w:type="dxa"/>
            <w:vAlign w:val="bottom"/>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2012, undrawn commitments under the TD Bank Credit facility were $20,000,000.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stock repurchase program (the “Stock Repurchase Program”) whereby we are authorized to repurchase up to $15,000,000, as increased from $10,000,000 in March 2012 through Board of Director approval, of our outstanding shares of common stock from time to time in the open market over a three-year period ending May 27, 2013, depending on market conditions, share price and other factors. During the</w:t>
      </w:r>
    </w:p>
    <w:p>
      <w:pPr>
        <w:sectPr>
          <w:pgSz w:w="11900" w:h="16838" w:orient="portrait"/>
          <w:cols w:equalWidth="0" w:num="1">
            <w:col w:w="11420"/>
          </w:cols>
          <w:pgMar w:left="240" w:top="122"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three months ended March 31, 2012, we repurchased 20,155 shares of our common stock for $145,000 at an average price per share of $7.20. As of March 31, 2012, approximately $11,998,000 remains authorized for future repurchases under the Stock Repurchase Program.</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2012, our Board of Directors authorized us to purchase up to 1,000,000 shares of our common stock under a 10b5-1 Plan (the “Plan”). Under the Plan, we expect to repurchase outstanding shares of common stock on the open market through 2012, depending on market conditions, share price and other factors. Such stock repurchases are expected to result in a significant use of our cash for the remainder of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cash and cash equivalents on hand and cash flows generated from operating activities will provide sufficient resources to meet our working capital needs, finance our capital expenditures and treasury share repurchases and meet our liquidity requirements through at least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2011.</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8, 2012, we entered into an amendment to the existing lease agreement for our Ithaca, NY global engineering, design, assembly and service facility which extended the lease term through May 31, 2016. Under the terms of this amendment, we will make annual lease payments of approximately $430,000, representing an annual cost savings of approximately $125,000 from annual lease payments made under the original lease agreement. Additionally, the landlord has agreed to make several building improvements to the facility at its own cost under the amendment.</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other material changes in our contractual obligations outside the ordinary course of business since December 31, 2011. We have no material off-balance sheet arrangements as defined in Regulation S-K 303(a)(4)(ii).</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2011. There has been no material change in our exposure to market risk during the three months ended March 31,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(the “Exchange Act”)) as of the end of the period covered by this report. Based on that evaluation, the Chief Executive Officer and the Chief Financial Officer concluded that the Company’s disclosure controls and procedures were effective as of March 31, 2012. There has been no change in the Company’s internal control over financial reporting during the quarter ended March 31, 2012, that has materially affected, or is reasonably likely to materially affect, the Company’s internal control over financial reporting.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possible that we may be named as a defendant in legal actions arising from our normal business activities. Although the amount of any ultimate liability with respect to such matters cannot be precisely determined, in the opinion of management, such matters are not expected to have a material adverse effect on our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2011.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the Stock Repurchase Program whereby we are authorized to repurchase up to $15,000,000, as increased from $10,000,000 in March 2012 through Board of Director approval, of our outstanding shares of common stock from time to time in the open market over a three-year period ending May 27, 2013, depending on market conditions, share price and other factors. During the three months ended March 31, 2012, we repurchased 20,155 shares of our common stock for $145,000 at an average price per share of $7.20. As of March 31, 2012, approximately $11,998,000 remains authorized for future repurchases under the Stock Repurchase Program. The following table summarizes the repurchase of our common stock in the three months ended March 31, 2012: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 as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Part of Publicly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4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Average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under the May</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4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Paid per 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2010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January 1, 2012 – January 31, 2012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February 1, 2012 – February 29, 2012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7,140,000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March 1, 2012 – March 31, 2012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19,708</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11,998,000*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20,155</w:t>
            </w:r>
          </w:p>
        </w:tc>
        <w:tc>
          <w:tcPr>
            <w:tcW w:w="7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20,155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Reflects authorized share increase to $15,000,000 in March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Exhibit 10.16</w:t>
            </w:r>
          </w:p>
        </w:tc>
        <w:tc>
          <w:tcPr>
            <w:tcW w:w="8860" w:type="dxa"/>
            <w:vAlign w:val="bottom"/>
          </w:tcPr>
          <w:p>
            <w:pPr>
              <w:ind w:left="220"/>
              <w:spacing w:after="0"/>
              <w:rPr>
                <w:sz w:val="20"/>
                <w:szCs w:val="20"/>
                <w:color w:val="auto"/>
              </w:rPr>
            </w:pPr>
            <w:r>
              <w:rPr>
                <w:rFonts w:ascii="Arial" w:cs="Arial" w:eastAsia="Arial" w:hAnsi="Arial"/>
                <w:sz w:val="18"/>
                <w:szCs w:val="18"/>
                <w:color w:val="auto"/>
              </w:rPr>
              <w:t>Amendment No. 1 to Lease Agreement between Bomax Properties, LLC and Transact Technologies, Inc.</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Exhibit 31.1</w:t>
            </w:r>
          </w:p>
        </w:tc>
        <w:tc>
          <w:tcPr>
            <w:tcW w:w="886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Exhibit 31.2</w:t>
            </w:r>
          </w:p>
        </w:tc>
        <w:tc>
          <w:tcPr>
            <w:tcW w:w="886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Exhibit 32.1</w:t>
            </w:r>
          </w:p>
        </w:tc>
        <w:tc>
          <w:tcPr>
            <w:tcW w:w="8860" w:type="dxa"/>
            <w:vAlign w:val="bottom"/>
          </w:tcPr>
          <w:p>
            <w:pPr>
              <w:ind w:left="22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Exhibit 32.2</w:t>
            </w:r>
          </w:p>
        </w:tc>
        <w:tc>
          <w:tcPr>
            <w:tcW w:w="8860" w:type="dxa"/>
            <w:vAlign w:val="bottom"/>
          </w:tcPr>
          <w:p>
            <w:pPr>
              <w:ind w:left="22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886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88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88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88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88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88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TRANSACT TECHNOLOGIES INCORPORATED</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7045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May 10, 2012</w:t>
      </w:r>
      <w:r>
        <w:rPr>
          <w:sz w:val="20"/>
          <w:szCs w:val="20"/>
          <w:color w:val="auto"/>
        </w:rPr>
        <w:tab/>
      </w:r>
      <w:r>
        <w:rPr>
          <w:rFonts w:ascii="Arial" w:cs="Arial" w:eastAsia="Arial" w:hAnsi="Arial"/>
          <w:sz w:val="16"/>
          <w:szCs w:val="16"/>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704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Chief Financial Officer, Treasurer and Secretary</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Financial and Accounting Officer)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8740" w:type="dxa"/>
            <w:vAlign w:val="bottom"/>
          </w:tcPr>
          <w:p>
            <w:pPr>
              <w:ind w:left="4200"/>
              <w:spacing w:after="0"/>
              <w:rPr>
                <w:sz w:val="20"/>
                <w:szCs w:val="20"/>
                <w:color w:val="auto"/>
              </w:rPr>
            </w:pPr>
            <w:r>
              <w:rPr>
                <w:rFonts w:ascii="Arial" w:cs="Arial" w:eastAsia="Arial" w:hAnsi="Arial"/>
                <w:sz w:val="18"/>
                <w:szCs w:val="18"/>
                <w:color w:val="auto"/>
              </w:rPr>
              <w:t>EXHIBIT LIST</w:t>
            </w:r>
          </w:p>
        </w:tc>
        <w:tc>
          <w:tcPr>
            <w:tcW w:w="0" w:type="dxa"/>
            <w:vAlign w:val="bottom"/>
          </w:tcPr>
          <w:p>
            <w:pPr>
              <w:spacing w:after="0"/>
              <w:rPr>
                <w:sz w:val="1"/>
                <w:szCs w:val="1"/>
                <w:color w:val="auto"/>
              </w:rPr>
            </w:pPr>
          </w:p>
        </w:tc>
      </w:tr>
      <w:tr>
        <w:trPr>
          <w:trHeight w:val="459"/>
        </w:trPr>
        <w:tc>
          <w:tcPr>
            <w:tcW w:w="968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c>
          <w:tcPr>
            <w:tcW w:w="0" w:type="dxa"/>
            <w:vAlign w:val="bottom"/>
          </w:tcPr>
          <w:p>
            <w:pPr>
              <w:spacing w:after="0"/>
              <w:rPr>
                <w:sz w:val="1"/>
                <w:szCs w:val="1"/>
                <w:color w:val="auto"/>
              </w:rPr>
            </w:pPr>
          </w:p>
        </w:tc>
      </w:tr>
      <w:tr>
        <w:trPr>
          <w:trHeight w:val="459"/>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8740" w:type="dxa"/>
            <w:vAlign w:val="bottom"/>
            <w:vMerge w:val="restart"/>
          </w:tcPr>
          <w:p>
            <w:pPr>
              <w:ind w:left="100"/>
              <w:spacing w:after="0"/>
              <w:rPr>
                <w:sz w:val="20"/>
                <w:szCs w:val="20"/>
                <w:color w:val="auto"/>
              </w:rPr>
            </w:pPr>
            <w:r>
              <w:rPr>
                <w:rFonts w:ascii="Arial" w:cs="Arial" w:eastAsia="Arial" w:hAnsi="Arial"/>
                <w:sz w:val="18"/>
                <w:szCs w:val="18"/>
                <w:color w:val="auto"/>
              </w:rPr>
              <w:t>Amendment No. 1 to Lease Agreement between Bomax Properties, LLC and Transact Technologies, Inc.</w:t>
            </w:r>
          </w:p>
        </w:tc>
        <w:tc>
          <w:tcPr>
            <w:tcW w:w="0" w:type="dxa"/>
            <w:vAlign w:val="bottom"/>
          </w:tcPr>
          <w:p>
            <w:pPr>
              <w:spacing w:after="0"/>
              <w:rPr>
                <w:sz w:val="1"/>
                <w:szCs w:val="1"/>
                <w:color w:val="auto"/>
              </w:rPr>
            </w:pPr>
          </w:p>
        </w:tc>
      </w:tr>
      <w:tr>
        <w:trPr>
          <w:trHeight w:val="224"/>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8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19" w:name="page20"/>
    <w:bookmarkEnd w:id="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10.16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THIS AMENDMENT NO. 1 TO LEASE AGREEMENT </w:t>
      </w:r>
      <w:r>
        <w:rPr>
          <w:rFonts w:ascii="Arial" w:cs="Arial" w:eastAsia="Arial" w:hAnsi="Arial"/>
          <w:sz w:val="18"/>
          <w:szCs w:val="18"/>
          <w:color w:val="auto"/>
        </w:rPr>
        <w:t>( this “</w:t>
      </w:r>
      <w:r>
        <w:rPr>
          <w:rFonts w:ascii="Arial" w:cs="Arial" w:eastAsia="Arial" w:hAnsi="Arial"/>
          <w:sz w:val="18"/>
          <w:szCs w:val="18"/>
          <w:i w:val="1"/>
          <w:iCs w:val="1"/>
          <w:color w:val="auto"/>
        </w:rPr>
        <w:t>Amendment</w:t>
      </w:r>
      <w:r>
        <w:rPr>
          <w:rFonts w:ascii="Arial" w:cs="Arial" w:eastAsia="Arial" w:hAnsi="Arial"/>
          <w:sz w:val="18"/>
          <w:szCs w:val="18"/>
          <w:color w:val="auto"/>
        </w:rPr>
        <w:t>”) is made effective as of the 8th of May, 2012 (“</w:t>
      </w:r>
      <w:r>
        <w:rPr>
          <w:rFonts w:ascii="Arial" w:cs="Arial" w:eastAsia="Arial" w:hAnsi="Arial"/>
          <w:sz w:val="18"/>
          <w:szCs w:val="18"/>
          <w:i w:val="1"/>
          <w:iCs w:val="1"/>
          <w:color w:val="auto"/>
        </w:rPr>
        <w:t>Effective Date</w:t>
      </w:r>
      <w:r>
        <w:rPr>
          <w:rFonts w:ascii="Arial" w:cs="Arial" w:eastAsia="Arial" w:hAnsi="Arial"/>
          <w:sz w:val="18"/>
          <w:szCs w:val="18"/>
          <w:color w:val="auto"/>
        </w:rPr>
        <w:t>”)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between </w:t>
      </w:r>
      <w:r>
        <w:rPr>
          <w:rFonts w:ascii="Arial" w:cs="Arial" w:eastAsia="Arial" w:hAnsi="Arial"/>
          <w:sz w:val="18"/>
          <w:szCs w:val="18"/>
          <w:b w:val="1"/>
          <w:bCs w:val="1"/>
          <w:color w:val="auto"/>
        </w:rPr>
        <w:t>BOMAX PROPERTIES, LLC</w:t>
      </w:r>
      <w:r>
        <w:rPr>
          <w:rFonts w:ascii="Arial" w:cs="Arial" w:eastAsia="Arial" w:hAnsi="Arial"/>
          <w:sz w:val="18"/>
          <w:szCs w:val="18"/>
          <w:color w:val="auto"/>
        </w:rPr>
        <w:t xml:space="preserve"> (“</w:t>
      </w:r>
      <w:r>
        <w:rPr>
          <w:rFonts w:ascii="Arial" w:cs="Arial" w:eastAsia="Arial" w:hAnsi="Arial"/>
          <w:sz w:val="18"/>
          <w:szCs w:val="18"/>
          <w:i w:val="1"/>
          <w:iCs w:val="1"/>
          <w:color w:val="auto"/>
        </w:rPr>
        <w:t>Bomax</w:t>
      </w:r>
      <w:r>
        <w:rPr>
          <w:rFonts w:ascii="Arial" w:cs="Arial" w:eastAsia="Arial" w:hAnsi="Arial"/>
          <w:sz w:val="18"/>
          <w:szCs w:val="18"/>
          <w:color w:val="auto"/>
        </w:rPr>
        <w:t xml:space="preserve">”) and </w:t>
      </w:r>
      <w:r>
        <w:rPr>
          <w:rFonts w:ascii="Arial" w:cs="Arial" w:eastAsia="Arial" w:hAnsi="Arial"/>
          <w:sz w:val="18"/>
          <w:szCs w:val="18"/>
          <w:b w:val="1"/>
          <w:bCs w:val="1"/>
          <w:color w:val="auto"/>
        </w:rPr>
        <w:t>TRANSACT TECHNOLOGIES INCORPORATED</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Bomax and TransAct entered into a certain Lease Agreement dated July 18, 2001, having a “Commencement Date” of June 4, 2002</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“Lease”)</w:t>
      </w:r>
      <w:r>
        <w:rPr>
          <w:rFonts w:ascii="Arial" w:cs="Arial" w:eastAsia="Arial" w:hAnsi="Arial"/>
          <w:sz w:val="18"/>
          <w:szCs w:val="18"/>
          <w:color w:val="auto"/>
        </w:rPr>
        <w:t>, pursuant to which TransAct leased the “Leased Premises”, as defined therein, from Bomax; and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TransAct has requested and Bomax has agreed to extend the Lease Term and otherwise amend the Lease upon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(all defined terms used herein, as evidenced by the first letter thereof being capitalized, not otherwise defined herein, shall be as defined in the Lease).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the receipt and sufficiency of which is hereby acknowledged, the parties agree 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4"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of the Lease.  </w:t>
      </w:r>
      <w:r>
        <w:rPr>
          <w:rFonts w:ascii="Arial" w:cs="Arial" w:eastAsia="Arial" w:hAnsi="Arial"/>
          <w:sz w:val="18"/>
          <w:szCs w:val="18"/>
          <w:color w:val="auto"/>
        </w:rPr>
        <w:t>The Lease is hereby amended as follows:</w:t>
      </w:r>
    </w:p>
    <w:p>
      <w:pPr>
        <w:spacing w:after="0" w:line="256" w:lineRule="exact"/>
        <w:rPr>
          <w:rFonts w:ascii="Arial" w:cs="Arial" w:eastAsia="Arial" w:hAnsi="Arial"/>
          <w:sz w:val="18"/>
          <w:szCs w:val="18"/>
          <w:b w:val="1"/>
          <w:bCs w:val="1"/>
          <w:color w:val="auto"/>
        </w:rPr>
      </w:pPr>
    </w:p>
    <w:p>
      <w:pPr>
        <w:ind w:firstLine="656"/>
        <w:spacing w:after="0" w:line="277" w:lineRule="auto"/>
        <w:tabs>
          <w:tab w:leader="none" w:pos="1403" w:val="left"/>
        </w:tabs>
        <w:numPr>
          <w:ilvl w:val="1"/>
          <w:numId w:val="8"/>
        </w:numPr>
        <w:rPr>
          <w:rFonts w:ascii="Arial" w:cs="Arial" w:eastAsia="Arial" w:hAnsi="Arial"/>
          <w:sz w:val="18"/>
          <w:szCs w:val="18"/>
          <w:color w:val="auto"/>
        </w:rPr>
      </w:pPr>
      <w:r>
        <w:rPr>
          <w:rFonts w:ascii="Arial" w:cs="Arial" w:eastAsia="Arial" w:hAnsi="Arial"/>
          <w:sz w:val="18"/>
          <w:szCs w:val="18"/>
          <w:color w:val="auto"/>
        </w:rPr>
        <w:t>Article II is amended to delete the last paragraph (and any reference to an Option Term) and to extend the Lease Term from June 4, 2012 through May 31, 2016.</w:t>
      </w:r>
    </w:p>
    <w:p>
      <w:pPr>
        <w:spacing w:after="0" w:line="197" w:lineRule="exact"/>
        <w:rPr>
          <w:rFonts w:ascii="Arial" w:cs="Arial" w:eastAsia="Arial" w:hAnsi="Arial"/>
          <w:sz w:val="18"/>
          <w:szCs w:val="18"/>
          <w:color w:val="auto"/>
        </w:rPr>
      </w:pPr>
    </w:p>
    <w:p>
      <w:pPr>
        <w:jc w:val="both"/>
        <w:ind w:firstLine="656"/>
        <w:spacing w:after="0" w:line="276" w:lineRule="auto"/>
        <w:tabs>
          <w:tab w:leader="none" w:pos="1397"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Article III, Section A. is amended to refer to rent of $5.82 per gross square foot (i.e. $430,022.34) per annum for the balance of the Lease Term, effective on and after June 1, 2012;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acknowledging that Bomax has no obligation to do so, if Bomax does not take any action to review or contest any Impositions imposed upon or against the Leased Premises based on the assessed valuation thereof for which TransAct is responsible under the Lease by action taken on or before May 31, 2013, the rent will be adjusted to $5.80 per gross square foot (i.e. $428,544.60) retroactive to June 1, 2012 and any overage paid refunded or credited against the next month’s rental payment.</w:t>
      </w:r>
    </w:p>
    <w:p>
      <w:pPr>
        <w:spacing w:after="0" w:line="199" w:lineRule="exact"/>
        <w:rPr>
          <w:rFonts w:ascii="Arial" w:cs="Arial" w:eastAsia="Arial" w:hAnsi="Arial"/>
          <w:sz w:val="17"/>
          <w:szCs w:val="17"/>
          <w:color w:val="auto"/>
        </w:rPr>
      </w:pPr>
    </w:p>
    <w:p>
      <w:pPr>
        <w:ind w:left="1340" w:hanging="684"/>
        <w:spacing w:after="0"/>
        <w:tabs>
          <w:tab w:leader="none" w:pos="1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Article III, Section C. is deleted in its entirety.</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Article IV, Section D. is deleted in its entirety and replaced with the following:</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Provided that Bomax takes any action to review or contest the assessed valuation of the Leased Premises on or before May 31, 2013, TransAct waives its right to review or contest any Impositions imposed upon or against the Leased Premises based on the assessed valuation thereof for which TransAct is responsible under the Lease, such right inuring solely to Bomax, without any obligation to take any action to so review or contest such Impositions. If and in the event Bomax takes action to review or contest any Impositions imposed upon or against the Leased Premises based on the assessed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right="60"/>
        <w:spacing w:after="0" w:line="276" w:lineRule="auto"/>
        <w:rPr>
          <w:sz w:val="20"/>
          <w:szCs w:val="20"/>
          <w:color w:val="auto"/>
        </w:rPr>
      </w:pPr>
      <w:r>
        <w:rPr>
          <w:rFonts w:ascii="Arial" w:cs="Arial" w:eastAsia="Arial" w:hAnsi="Arial"/>
          <w:sz w:val="17"/>
          <w:szCs w:val="17"/>
          <w:color w:val="auto"/>
        </w:rPr>
        <w:t>thereof for which TransAct is responsible under the Lease and is successful in reducing such Impositions, TransAct will pay to Bomax fifty (50%) percent of such savings plus fifty (50%) of the cost of prosecuting such including, without limitation reasonable attorney’s fees, provided such cost does not exceed such savings, based on the reduced assessed value of the Leased Premises as compared to the current assessed value of the Leased Premises. , TransAct will pay the aforementioned amounts out of any refund of the Impositions previously paid by TransAct and/or when and to the extent that the reduced Impositions are payable under the Lease each year during the remainder of the Lease Term.</w:t>
      </w:r>
    </w:p>
    <w:p>
      <w:pPr>
        <w:spacing w:after="0" w:line="200" w:lineRule="exact"/>
        <w:rPr>
          <w:sz w:val="20"/>
          <w:szCs w:val="20"/>
          <w:color w:val="auto"/>
        </w:rPr>
      </w:pPr>
    </w:p>
    <w:p>
      <w:pPr>
        <w:jc w:val="both"/>
        <w:ind w:firstLine="656"/>
        <w:spacing w:after="0" w:line="273" w:lineRule="auto"/>
        <w:tabs>
          <w:tab w:leader="none" w:pos="1342" w:val="left"/>
        </w:tabs>
        <w:numPr>
          <w:ilvl w:val="0"/>
          <w:numId w:val="9"/>
        </w:numPr>
        <w:rPr>
          <w:rFonts w:ascii="Arial" w:cs="Arial" w:eastAsia="Arial" w:hAnsi="Arial"/>
          <w:sz w:val="17"/>
          <w:szCs w:val="17"/>
          <w:color w:val="auto"/>
        </w:rPr>
      </w:pPr>
      <w:r>
        <w:rPr>
          <w:rFonts w:ascii="Arial" w:cs="Arial" w:eastAsia="Arial" w:hAnsi="Arial"/>
          <w:sz w:val="17"/>
          <w:szCs w:val="17"/>
          <w:color w:val="auto"/>
        </w:rPr>
        <w:t>Article IX, Sections A and B are amended to reflect the fact that (i) while TransAct shall remain responsible for the maintenance and minor repairs to all air handling units located on the Leased Premises, as of the Effective Date of this Amendment shall not be responsible for any major repairs or the replacement thereof unless due to its failure to provide necessary maintenance and minor repairs (A “minor repair” is defined as a repair or series of related repairs, the cost of which is less than $1,000 for any one given unit, and a “major repair” is defined as a repair or series of related repairs, the cost of which is $1,000 or more for any one given unit) and (ii) while TransAct shall remain responsible for maintaining and keeping the parking area in clean and orderly condition, it shall not be responsible for any required resurfacing other than minor patching, if and when necessary.</w:t>
      </w:r>
    </w:p>
    <w:p>
      <w:pPr>
        <w:spacing w:after="0" w:line="205" w:lineRule="exact"/>
        <w:rPr>
          <w:rFonts w:ascii="Arial" w:cs="Arial" w:eastAsia="Arial" w:hAnsi="Arial"/>
          <w:sz w:val="17"/>
          <w:szCs w:val="17"/>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Article XXXIV is added reading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XXXIV</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Bomax shall, at its sole cost and expense, undertake and complete such repairs and/or improvements as are referenced on Exhibit “C” annexed hereto within a commercially reasonable time, but in no event later than December 31, 2012. No diminution of rent shall be claimed or allowed for any inconvenience or discomfort arising from undertaking such repairs and/or improvements. Notwithstanding the foregoing, Landlord agrees to use commercially reasonable efforts not to interfere with the conduct of Tenant’s ordinary business operations in the Premises during any access of the Premises by Landlord to perform the tenant improvement work. Landlord agrees to provide the Tenant with at least 48 hours prior notice (except in the event of an emergency) prior to entering the Premises to perform its obligations hereunder.</w:t>
      </w:r>
    </w:p>
    <w:p>
      <w:pPr>
        <w:spacing w:after="0" w:line="200" w:lineRule="exact"/>
        <w:rPr>
          <w:sz w:val="20"/>
          <w:szCs w:val="20"/>
          <w:color w:val="auto"/>
        </w:rPr>
      </w:pPr>
    </w:p>
    <w:p>
      <w:pPr>
        <w:spacing w:after="0" w:line="259"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6" w:lineRule="exact"/>
        <w:rPr>
          <w:rFonts w:ascii="Arial" w:cs="Arial" w:eastAsia="Arial" w:hAnsi="Arial"/>
          <w:sz w:val="18"/>
          <w:szCs w:val="18"/>
          <w:b w:val="1"/>
          <w:bCs w:val="1"/>
          <w:color w:val="auto"/>
        </w:rPr>
      </w:pPr>
    </w:p>
    <w:p>
      <w:pPr>
        <w:ind w:left="1360" w:hanging="704"/>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amended hereby, the Lease remains in full force and effect.</w:t>
      </w:r>
    </w:p>
    <w:p>
      <w:pPr>
        <w:spacing w:after="0" w:line="252" w:lineRule="exact"/>
        <w:rPr>
          <w:rFonts w:ascii="Arial" w:cs="Arial" w:eastAsia="Arial" w:hAnsi="Arial"/>
          <w:sz w:val="18"/>
          <w:szCs w:val="18"/>
          <w:color w:val="auto"/>
        </w:rPr>
      </w:pPr>
    </w:p>
    <w:p>
      <w:pPr>
        <w:ind w:firstLine="656"/>
        <w:spacing w:after="0" w:line="277" w:lineRule="auto"/>
        <w:tabs>
          <w:tab w:leader="none" w:pos="13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New York applicable to agreements made and to be performed in the State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York and shall be construed without regard to any presumption or other rule requiring the construction of an agreement against the party causing it to be drafted.</w:t>
      </w:r>
    </w:p>
    <w:p>
      <w:pPr>
        <w:spacing w:after="0" w:line="197" w:lineRule="exact"/>
        <w:rPr>
          <w:sz w:val="20"/>
          <w:szCs w:val="20"/>
          <w:color w:val="auto"/>
        </w:rPr>
      </w:pPr>
    </w:p>
    <w:p>
      <w:pPr>
        <w:ind w:firstLine="656"/>
        <w:spacing w:after="0" w:line="308" w:lineRule="auto"/>
        <w:tabs>
          <w:tab w:leader="none" w:pos="134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Amendment may be executed in any number of counterparts, each of which shall be an original, but which together constitute one and the same instrument. Signatures delivered by facsimile or electronically shall be deemed original signatures for all purposed of this Agreement.</w:t>
      </w:r>
    </w:p>
    <w:p>
      <w:pPr>
        <w:spacing w:after="0" w:line="173" w:lineRule="exact"/>
        <w:rPr>
          <w:rFonts w:ascii="Arial" w:cs="Arial" w:eastAsia="Arial" w:hAnsi="Arial"/>
          <w:sz w:val="17"/>
          <w:szCs w:val="17"/>
          <w:color w:val="auto"/>
        </w:rPr>
      </w:pPr>
    </w:p>
    <w:p>
      <w:pPr>
        <w:ind w:right="400" w:firstLine="656"/>
        <w:spacing w:after="0" w:line="259" w:lineRule="auto"/>
        <w:tabs>
          <w:tab w:leader="none" w:pos="13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 hereby confirms that, to its actual knowledge, it has no claim, set-off, counter-claim, defense or other cause of action against Bomax arising out of the Lease Agreement as of the date hereof. To the extent that TransAct has actual knowledge of any claim, set-off, counterclaim, defense or other cause of action existing as of the date hereof, such claim, set-off, counterclaim, defense or other cause of action is hereby expressly and knowingly waived and released by TransAct.</w:t>
      </w: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No. 1 to Lease Agreement as of the date first above written.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BOMAX PROPERTIES, LLC</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By:________________________________</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Maxine P. Dean, Manager</w:t>
      </w:r>
    </w:p>
    <w:p>
      <w:pPr>
        <w:spacing w:after="0" w:line="200" w:lineRule="exact"/>
        <w:rPr>
          <w:sz w:val="20"/>
          <w:szCs w:val="20"/>
          <w:color w:val="auto"/>
        </w:rPr>
      </w:pPr>
    </w:p>
    <w:p>
      <w:pPr>
        <w:spacing w:after="0" w:line="27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TRANSACT TECHNOLOGIES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INCORPORATED</w:t>
      </w:r>
    </w:p>
    <w:p>
      <w:pPr>
        <w:spacing w:after="0" w:line="200" w:lineRule="exact"/>
        <w:rPr>
          <w:sz w:val="20"/>
          <w:szCs w:val="20"/>
          <w:color w:val="auto"/>
        </w:rPr>
      </w:pPr>
    </w:p>
    <w:p>
      <w:pPr>
        <w:spacing w:after="0" w:line="2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________________________________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Steven A. DeMartino</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and CFO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Exhibit “C”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Landlord Work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139"/>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Renovating four (4) toilet rooms, including installation of ceramic tile floors, new counter tops, new fixtures (including toilets, urinals, sinks and faucets), new ventilation and paint and two (2) other toilet rooms with counter tops and fixtures.</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Replace kitchen counter top, cabinets and faucet.</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Repair through patching, floor transitions.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manufacturing area, remove loose paint and repaint exposed ceiling structure where the current paint has failed and is flaking off.</w:t>
      </w:r>
    </w:p>
    <w:p>
      <w:pPr>
        <w:spacing w:after="0" w:line="263"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Install new carpet in the office area.*</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Repaint office area.*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*TransAct to move the furniture out of agreed upon areas for work to take place.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March 31, 2012, as filed with the Securities and Exchange Commission on the date hereof (the “Report”), I, Bart C. Shuldman, Chairman and Chief Executive Officer of the Company, certify, pursuant to 18 U.S.C. § 1350, as adopted pursuant to § 906 of the Sarbanes-Oxley Act of 2002, that to the best of my knowledge:</w:t>
      </w:r>
    </w:p>
    <w:p>
      <w:pPr>
        <w:spacing w:after="0" w:line="193" w:lineRule="exact"/>
        <w:rPr>
          <w:sz w:val="20"/>
          <w:szCs w:val="20"/>
          <w:color w:val="auto"/>
        </w:rPr>
      </w:pPr>
    </w:p>
    <w:p>
      <w:pPr>
        <w:ind w:left="820" w:hanging="30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TransAct Technologies Incorporated (the “Company”) on Form 10-Q for the period ending March 31, 2012, as filed with the Securities and Exchange Commission on the date hereof (the “Report”), I, Steven A. DeMartino, President, Chief Financial Officer, Treasurer and Secretary of the Company, certify, pursuant to 18 U.S.C. § 1350, as adopted pursuant to § 906 of the Sarbanes-Oxley Act of 2002, that to the best of my knowledge:</w:t>
      </w:r>
    </w:p>
    <w:p>
      <w:pPr>
        <w:spacing w:after="0" w:line="214" w:lineRule="exact"/>
        <w:rPr>
          <w:sz w:val="20"/>
          <w:szCs w:val="20"/>
          <w:color w:val="auto"/>
        </w:rPr>
      </w:pPr>
    </w:p>
    <w:p>
      <w:pPr>
        <w:ind w:left="820" w:hanging="30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02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44"/>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lvl w:ilvl="1">
      <w:lvlJc w:val="left"/>
      <w:lvlText w:val="(%2)"/>
      <w:numFmt w:val="lowerLetter"/>
      <w:start w:val="1"/>
    </w:lvl>
  </w:abstractNum>
  <w:abstractNum w:abstractNumId="8">
    <w:nsid w:val="140E0F76"/>
    <w:multiLevelType w:val="hybridMultilevel"/>
    <w:lvl w:ilvl="0">
      <w:lvlJc w:val="left"/>
      <w:lvlText w:val="(%1)"/>
      <w:numFmt w:val="lowerLetter"/>
      <w:start w:val="5"/>
    </w:lvl>
  </w:abstractNum>
  <w:abstractNum w:abstractNumId="9">
    <w:nsid w:val="3352255A"/>
    <w:multiLevelType w:val="hybridMultilevel"/>
    <w:lvl w:ilvl="0">
      <w:lvlJc w:val="left"/>
      <w:lvlText w:val="%1."/>
      <w:numFmt w:val="decimal"/>
      <w:start w:val="2"/>
    </w:lvl>
    <w:lvl w:ilvl="1">
      <w:lvlJc w:val="left"/>
      <w:lvlText w:val="(%2)"/>
      <w:numFmt w:val="lowerLetter"/>
      <w:start w:val="1"/>
    </w:lvl>
  </w:abstractNum>
  <w:abstractNum w:abstractNumId="10">
    <w:nsid w:val="109CF92E"/>
    <w:multiLevelType w:val="hybridMultilevel"/>
    <w:lvl w:ilvl="0">
      <w:lvlJc w:val="left"/>
      <w:lvlText w:val="(%1)"/>
      <w:numFmt w:val="lowerLetter"/>
      <w:start w:val="3"/>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2019-12-09T11:07:15Z</dcterms:created>
  <dcterms:modified xsi:type="dcterms:W3CDTF">2019-12-09T11:07:15Z</dcterms:modified>
</cp:coreProperties>
</file>