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138"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171" w:lineRule="exact"/>
        <w:rPr>
          <w:sz w:val="24"/>
          <w:szCs w:val="24"/>
          <w:color w:val="auto"/>
        </w:rPr>
      </w:pPr>
    </w:p>
    <w:p>
      <w:pPr>
        <w:ind w:left="820"/>
        <w:spacing w:after="0"/>
        <w:tabs>
          <w:tab w:leader="none" w:pos="4060" w:val="left"/>
          <w:tab w:leader="none" w:pos="5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-12065</wp:posOffset>
            </wp:positionV>
            <wp:extent cx="3027045" cy="702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03"/>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06518</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98"/>
        </w:trPr>
        <w:tc>
          <w:tcPr>
            <w:tcW w:w="3700" w:type="dxa"/>
            <w:vAlign w:val="bottom"/>
          </w:tcPr>
          <w:p>
            <w:pPr>
              <w:jc w:val="center"/>
              <w:ind w:right="630"/>
              <w:spacing w:after="0" w:line="198" w:lineRule="exact"/>
              <w:rPr>
                <w:sz w:val="20"/>
                <w:szCs w:val="20"/>
                <w:color w:val="auto"/>
              </w:rPr>
            </w:pPr>
            <w:r>
              <w:rPr>
                <w:rFonts w:ascii="Arial" w:cs="Arial" w:eastAsia="Arial" w:hAnsi="Arial"/>
                <w:sz w:val="18"/>
                <w:szCs w:val="18"/>
                <w:color w:val="auto"/>
                <w:w w:val="90"/>
              </w:rPr>
              <w:t>Title of each class</w:t>
            </w:r>
          </w:p>
        </w:tc>
        <w:tc>
          <w:tcPr>
            <w:tcW w:w="2880" w:type="dxa"/>
            <w:vAlign w:val="bottom"/>
          </w:tcPr>
          <w:p>
            <w:pPr>
              <w:jc w:val="center"/>
              <w:spacing w:after="0" w:line="198" w:lineRule="exact"/>
              <w:rPr>
                <w:sz w:val="20"/>
                <w:szCs w:val="20"/>
                <w:color w:val="auto"/>
              </w:rPr>
            </w:pPr>
            <w:r>
              <w:rPr>
                <w:rFonts w:ascii="Arial" w:cs="Arial" w:eastAsia="Arial" w:hAnsi="Arial"/>
                <w:sz w:val="18"/>
                <w:szCs w:val="18"/>
                <w:color w:val="auto"/>
                <w:w w:val="92"/>
              </w:rPr>
              <w:t>Trading Symbol(s)</w:t>
            </w:r>
          </w:p>
        </w:tc>
        <w:tc>
          <w:tcPr>
            <w:tcW w:w="4000" w:type="dxa"/>
            <w:vAlign w:val="bottom"/>
          </w:tcPr>
          <w:p>
            <w:pPr>
              <w:jc w:val="center"/>
              <w:ind w:left="730"/>
              <w:spacing w:after="0" w:line="198" w:lineRule="exact"/>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700" w:type="dxa"/>
            <w:vAlign w:val="bottom"/>
          </w:tcPr>
          <w:p>
            <w:pPr>
              <w:jc w:val="center"/>
              <w:ind w:right="610"/>
              <w:spacing w:after="0"/>
              <w:rPr>
                <w:sz w:val="20"/>
                <w:szCs w:val="20"/>
                <w:color w:val="auto"/>
              </w:rPr>
            </w:pPr>
            <w:r>
              <w:rPr>
                <w:rFonts w:ascii="Arial" w:cs="Arial" w:eastAsia="Arial" w:hAnsi="Arial"/>
                <w:sz w:val="18"/>
                <w:szCs w:val="18"/>
                <w:color w:val="auto"/>
                <w:w w:val="89"/>
              </w:rPr>
              <w:t>Common stock, par value $0.01 per share</w:t>
            </w:r>
          </w:p>
        </w:tc>
        <w:tc>
          <w:tcPr>
            <w:tcW w:w="2880" w:type="dxa"/>
            <w:vAlign w:val="bottom"/>
          </w:tcPr>
          <w:p>
            <w:pPr>
              <w:jc w:val="center"/>
              <w:spacing w:after="0"/>
              <w:rPr>
                <w:sz w:val="20"/>
                <w:szCs w:val="20"/>
                <w:color w:val="auto"/>
              </w:rPr>
            </w:pPr>
            <w:r>
              <w:rPr>
                <w:rFonts w:ascii="Arial" w:cs="Arial" w:eastAsia="Arial" w:hAnsi="Arial"/>
                <w:sz w:val="18"/>
                <w:szCs w:val="18"/>
                <w:color w:val="auto"/>
                <w:w w:val="97"/>
              </w:rPr>
              <w:t>TACT</w:t>
            </w:r>
          </w:p>
        </w:tc>
        <w:tc>
          <w:tcPr>
            <w:tcW w:w="4000" w:type="dxa"/>
            <w:vAlign w:val="bottom"/>
          </w:tcPr>
          <w:p>
            <w:pPr>
              <w:jc w:val="center"/>
              <w:ind w:left="730"/>
              <w:spacing w:after="0"/>
              <w:rPr>
                <w:sz w:val="20"/>
                <w:szCs w:val="20"/>
                <w:color w:val="auto"/>
              </w:rPr>
            </w:pPr>
            <w:r>
              <w:rPr>
                <w:rFonts w:ascii="Arial" w:cs="Arial" w:eastAsia="Arial" w:hAnsi="Arial"/>
                <w:sz w:val="18"/>
                <w:szCs w:val="18"/>
                <w:color w:val="auto"/>
                <w:w w:val="96"/>
              </w:rPr>
              <w:t>NASDAQ Global Market</w:t>
            </w:r>
          </w:p>
        </w:tc>
      </w:tr>
    </w:tbl>
    <w:p>
      <w:pPr>
        <w:spacing w:after="0" w:line="148"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06" w:right="239" w:bottom="1440" w:gutter="0" w:footer="0" w:header="0"/>
        </w:sectPr>
      </w:pPr>
    </w:p>
    <w:p>
      <w:pPr>
        <w:spacing w:after="0" w:line="138"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29" w:lineRule="auto"/>
        <w:rPr>
          <w:sz w:val="20"/>
          <w:szCs w:val="20"/>
          <w:color w:val="auto"/>
        </w:rPr>
      </w:pPr>
      <w:r>
        <w:rPr>
          <w:rFonts w:ascii="Arial" w:cs="Arial" w:eastAsia="Arial" w:hAnsi="Arial"/>
          <w:sz w:val="16"/>
          <w:szCs w:val="16"/>
          <w:color w:val="auto"/>
        </w:rPr>
        <w:t>Smaller reporting company</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8" w:lineRule="exact"/>
        <w:rPr>
          <w:sz w:val="24"/>
          <w:szCs w:val="24"/>
          <w:color w:val="auto"/>
        </w:rPr>
      </w:pPr>
    </w:p>
    <w:p>
      <w:pPr>
        <w:sectPr>
          <w:pgSz w:w="11900" w:h="16838" w:orient="portrait"/>
          <w:cols w:equalWidth="0" w:num="3">
            <w:col w:w="5800" w:space="720"/>
            <w:col w:w="1960" w:space="100"/>
            <w:col w:w="2840"/>
          </w:cols>
          <w:pgMar w:left="240" w:top="306" w:right="239" w:bottom="1440" w:gutter="0" w:footer="0" w:header="0"/>
          <w:type w:val="continuous"/>
        </w:sectPr>
      </w:pPr>
    </w:p>
    <w:p>
      <w:pPr>
        <w:ind w:righ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2019, the number of shares outstanding of the Company’s common stock, $0.01 par value, was 7,457,160.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11"/>
          </w:tcPr>
          <w:p>
            <w:pPr>
              <w:jc w:val="center"/>
              <w:ind w:right="2920"/>
              <w:spacing w:after="0"/>
              <w:rPr>
                <w:sz w:val="20"/>
                <w:szCs w:val="20"/>
                <w:color w:val="auto"/>
              </w:rPr>
            </w:pPr>
            <w:r>
              <w:rPr>
                <w:rFonts w:ascii="Arial" w:cs="Arial" w:eastAsia="Arial" w:hAnsi="Arial"/>
                <w:sz w:val="18"/>
                <w:szCs w:val="18"/>
                <w:b w:val="1"/>
                <w:bCs w:val="1"/>
                <w:color w:val="auto"/>
              </w:rPr>
              <w:t>TRANSACT TECHNOLOGIES INCORPORATED</w:t>
            </w:r>
          </w:p>
        </w:tc>
        <w:tc>
          <w:tcPr>
            <w:tcW w:w="780" w:type="dxa"/>
            <w:vAlign w:val="bottom"/>
          </w:tcPr>
          <w:p>
            <w:pPr>
              <w:spacing w:after="0"/>
              <w:rPr>
                <w:sz w:val="17"/>
                <w:szCs w:val="17"/>
                <w:color w:val="auto"/>
              </w:rPr>
            </w:pPr>
          </w:p>
        </w:tc>
      </w:tr>
      <w:tr>
        <w:trPr>
          <w:trHeight w:val="385"/>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9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419"/>
        </w:trPr>
        <w:tc>
          <w:tcPr>
            <w:tcW w:w="5420" w:type="dxa"/>
            <w:vAlign w:val="bottom"/>
            <w:gridSpan w:val="13"/>
          </w:tcPr>
          <w:p>
            <w:pPr>
              <w:spacing w:after="0"/>
              <w:rPr>
                <w:sz w:val="20"/>
                <w:szCs w:val="20"/>
                <w:color w:val="auto"/>
              </w:rPr>
            </w:pPr>
            <w:r>
              <w:rPr>
                <w:rFonts w:ascii="Arial" w:cs="Arial" w:eastAsia="Arial" w:hAnsi="Arial"/>
                <w:sz w:val="18"/>
                <w:szCs w:val="18"/>
                <w:color w:val="auto"/>
              </w:rPr>
              <w:t>PART I - Financial Information:</w:t>
            </w:r>
          </w:p>
        </w:tc>
        <w:tc>
          <w:tcPr>
            <w:tcW w:w="580" w:type="dxa"/>
            <w:vAlign w:val="bottom"/>
            <w:tcBorders>
              <w:top w:val="single" w:sz="8" w:color="auto"/>
            </w:tcBorders>
          </w:tcPr>
          <w:p>
            <w:pPr>
              <w:spacing w:after="0"/>
              <w:rPr>
                <w:sz w:val="24"/>
                <w:szCs w:val="24"/>
                <w:color w:val="auto"/>
              </w:rPr>
            </w:pPr>
          </w:p>
        </w:tc>
        <w:tc>
          <w:tcPr>
            <w:tcW w:w="4640" w:type="dxa"/>
            <w:vAlign w:val="bottom"/>
            <w:gridSpan w:val="8"/>
          </w:tcPr>
          <w:p>
            <w:pPr>
              <w:spacing w:after="0"/>
              <w:rPr>
                <w:sz w:val="24"/>
                <w:szCs w:val="24"/>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Page</w:t>
            </w:r>
          </w:p>
        </w:tc>
      </w:tr>
      <w:tr>
        <w:trPr>
          <w:trHeight w:val="419"/>
        </w:trPr>
        <w:tc>
          <w:tcPr>
            <w:tcW w:w="1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2019 and December 31, 2018</w:t>
              </w:r>
            </w:hyperlink>
          </w:p>
        </w:tc>
        <w:tc>
          <w:tcPr>
            <w:tcW w:w="330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months ended March 31, 2019 and 2018</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2019 and 2018</w:t>
              </w:r>
            </w:hyperlink>
          </w:p>
        </w:tc>
        <w:tc>
          <w:tcPr>
            <w:tcW w:w="112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2019 and 2018</w:t>
              </w:r>
            </w:hyperlink>
          </w:p>
        </w:tc>
        <w:tc>
          <w:tcPr>
            <w:tcW w:w="198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85"/>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 of Changes in Shareholders' Equity for the three months ended March 31, 2019 and 2018</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99"/>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020" w:type="dxa"/>
            <w:vAlign w:val="bottom"/>
            <w:tcBorders>
              <w:top w:val="single" w:sz="8" w:color="0000EE"/>
            </w:tcBorders>
            <w:gridSpan w:val="9"/>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85"/>
        </w:trPr>
        <w:tc>
          <w:tcPr>
            <w:tcW w:w="18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13">
              <w:r>
                <w:rPr>
                  <w:rFonts w:ascii="Arial" w:cs="Arial" w:eastAsia="Arial" w:hAnsi="Arial"/>
                  <w:sz w:val="18"/>
                  <w:szCs w:val="18"/>
                  <w:color w:val="0000EE"/>
                  <w:w w:val="83"/>
                </w:rPr>
                <w:t>Item 2</w:t>
              </w:r>
            </w:hyperlink>
          </w:p>
        </w:tc>
        <w:tc>
          <w:tcPr>
            <w:tcW w:w="440" w:type="dxa"/>
            <w:vAlign w:val="bottom"/>
            <w:gridSpan w:val="2"/>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3"/>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19">
              <w:r>
                <w:rPr>
                  <w:rFonts w:ascii="Arial" w:cs="Arial" w:eastAsia="Arial" w:hAnsi="Arial"/>
                  <w:sz w:val="18"/>
                  <w:szCs w:val="18"/>
                  <w:color w:val="0000EE"/>
                  <w:w w:val="83"/>
                </w:rPr>
                <w:t>Item 3</w:t>
              </w:r>
            </w:hyperlink>
          </w:p>
        </w:tc>
        <w:tc>
          <w:tcPr>
            <w:tcW w:w="440" w:type="dxa"/>
            <w:vAlign w:val="bottom"/>
            <w:gridSpan w:val="2"/>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220" w:type="dxa"/>
            <w:vAlign w:val="bottom"/>
            <w:tcBorders>
              <w:left w:val="single" w:sz="8" w:color="0000EE"/>
            </w:tcBorders>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4</w:t>
              </w:r>
            </w:hyperlink>
          </w:p>
        </w:tc>
        <w:tc>
          <w:tcPr>
            <w:tcW w:w="440" w:type="dxa"/>
            <w:vAlign w:val="bottom"/>
            <w:gridSpan w:val="2"/>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26"/>
        </w:trPr>
        <w:tc>
          <w:tcPr>
            <w:tcW w:w="10640" w:type="dxa"/>
            <w:vAlign w:val="bottom"/>
            <w:gridSpan w:val="22"/>
          </w:tcPr>
          <w:p>
            <w:pPr>
              <w:spacing w:after="0"/>
              <w:rPr>
                <w:sz w:val="20"/>
                <w:szCs w:val="20"/>
                <w:color w:val="auto"/>
              </w:rPr>
            </w:pPr>
            <w:r>
              <w:rPr>
                <w:rFonts w:ascii="Arial" w:cs="Arial" w:eastAsia="Arial" w:hAnsi="Arial"/>
                <w:sz w:val="18"/>
                <w:szCs w:val="18"/>
                <w:color w:val="auto"/>
              </w:rPr>
              <w:t>PART II - Other Information:</w:t>
            </w:r>
          </w:p>
        </w:tc>
        <w:tc>
          <w:tcPr>
            <w:tcW w:w="78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1</w:t>
              </w:r>
            </w:hyperlink>
          </w:p>
        </w:tc>
        <w:tc>
          <w:tcPr>
            <w:tcW w:w="440" w:type="dxa"/>
            <w:vAlign w:val="bottom"/>
            <w:gridSpan w:val="2"/>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1A</w:t>
              </w:r>
            </w:hyperlink>
          </w:p>
        </w:tc>
        <w:tc>
          <w:tcPr>
            <w:tcW w:w="95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2</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3</w:t>
              </w:r>
            </w:hyperlink>
          </w:p>
        </w:tc>
        <w:tc>
          <w:tcPr>
            <w:tcW w:w="440" w:type="dxa"/>
            <w:vAlign w:val="bottom"/>
            <w:gridSpan w:val="2"/>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Default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Item 4</w:t>
              </w:r>
            </w:hyperlink>
          </w:p>
        </w:tc>
        <w:tc>
          <w:tcPr>
            <w:tcW w:w="440" w:type="dxa"/>
            <w:vAlign w:val="bottom"/>
            <w:gridSpan w:val="2"/>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8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21">
              <w:r>
                <w:rPr>
                  <w:rFonts w:ascii="Arial" w:cs="Arial" w:eastAsia="Arial" w:hAnsi="Arial"/>
                  <w:sz w:val="18"/>
                  <w:szCs w:val="18"/>
                  <w:color w:val="0000EE"/>
                  <w:w w:val="83"/>
                </w:rPr>
                <w:t>Item 5</w:t>
              </w:r>
            </w:hyperlink>
          </w:p>
        </w:tc>
        <w:tc>
          <w:tcPr>
            <w:tcW w:w="440" w:type="dxa"/>
            <w:vAlign w:val="bottom"/>
            <w:gridSpan w:val="2"/>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6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color w:val="0000EE"/>
                <w:w w:val="83"/>
              </w:rPr>
            </w:pPr>
            <w:hyperlink w:anchor="page21">
              <w:r>
                <w:rPr>
                  <w:rFonts w:ascii="Arial" w:cs="Arial" w:eastAsia="Arial" w:hAnsi="Arial"/>
                  <w:sz w:val="18"/>
                  <w:szCs w:val="18"/>
                  <w:color w:val="0000EE"/>
                  <w:w w:val="83"/>
                </w:rPr>
                <w:t>Item 6</w:t>
              </w:r>
            </w:hyperlink>
          </w:p>
        </w:tc>
        <w:tc>
          <w:tcPr>
            <w:tcW w:w="440" w:type="dxa"/>
            <w:vAlign w:val="bottom"/>
            <w:gridSpan w:val="2"/>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98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SIGNATURES</w:t>
              </w:r>
            </w:hyperlink>
          </w:p>
        </w:tc>
        <w:tc>
          <w:tcPr>
            <w:tcW w:w="936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35"/>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0"/>
          </w:tcPr>
          <w:p>
            <w:pPr>
              <w:jc w:val="center"/>
              <w:ind w:left="4251"/>
              <w:spacing w:after="0"/>
              <w:rPr>
                <w:sz w:val="20"/>
                <w:szCs w:val="20"/>
                <w:color w:val="auto"/>
              </w:rPr>
            </w:pPr>
            <w:r>
              <w:rPr>
                <w:rFonts w:ascii="Arial" w:cs="Arial" w:eastAsia="Arial" w:hAnsi="Arial"/>
                <w:sz w:val="14"/>
                <w:szCs w:val="14"/>
                <w:color w:val="auto"/>
                <w:w w:val="76"/>
              </w:rPr>
              <w:t>2</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
        </w:trPr>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80" w:type="dxa"/>
            <w:vAlign w:val="bottom"/>
          </w:tcPr>
          <w:p>
            <w:pPr>
              <w:jc w:val="center"/>
              <w:ind w:left="2230"/>
              <w:spacing w:after="0"/>
              <w:rPr>
                <w:sz w:val="20"/>
                <w:szCs w:val="20"/>
                <w:color w:val="auto"/>
              </w:rPr>
            </w:pPr>
            <w:r>
              <w:rPr>
                <w:rFonts w:ascii="Arial" w:cs="Arial" w:eastAsia="Arial" w:hAnsi="Arial"/>
                <w:sz w:val="18"/>
                <w:szCs w:val="18"/>
                <w:b w:val="1"/>
                <w:bCs w:val="1"/>
                <w:color w:val="auto"/>
              </w:rPr>
              <w:t>TRANSACT TECHNOLOGIES INCORPORATED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80" w:type="dxa"/>
            <w:vAlign w:val="bottom"/>
          </w:tcPr>
          <w:p>
            <w:pPr>
              <w:jc w:val="center"/>
              <w:ind w:left="223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580" w:type="dxa"/>
            <w:vAlign w:val="bottom"/>
          </w:tcPr>
          <w:p>
            <w:pPr>
              <w:jc w:val="center"/>
              <w:ind w:left="2230"/>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8"/>
        </w:trPr>
        <w:tc>
          <w:tcPr>
            <w:tcW w:w="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7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88"/>
        </w:trPr>
        <w:tc>
          <w:tcPr>
            <w:tcW w:w="760" w:type="dxa"/>
            <w:vAlign w:val="bottom"/>
            <w:gridSpan w:val="2"/>
            <w:vMerge w:val="continue"/>
          </w:tcPr>
          <w:p>
            <w:pPr>
              <w:spacing w:after="0"/>
              <w:rPr>
                <w:sz w:val="16"/>
                <w:szCs w:val="16"/>
                <w:color w:val="auto"/>
              </w:rPr>
            </w:pPr>
          </w:p>
        </w:tc>
        <w:tc>
          <w:tcPr>
            <w:tcW w:w="7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0" w:type="dxa"/>
            <w:vAlign w:val="bottom"/>
            <w:gridSpan w:val="5"/>
          </w:tcPr>
          <w:p>
            <w:pPr>
              <w:jc w:val="right"/>
              <w:ind w:right="70"/>
              <w:spacing w:after="0" w:line="189" w:lineRule="exact"/>
              <w:rPr>
                <w:sz w:val="20"/>
                <w:szCs w:val="20"/>
                <w:color w:val="auto"/>
              </w:rPr>
            </w:pPr>
            <w:r>
              <w:rPr>
                <w:rFonts w:ascii="Arial" w:cs="Arial" w:eastAsia="Arial" w:hAnsi="Arial"/>
                <w:sz w:val="18"/>
                <w:szCs w:val="18"/>
                <w:i w:val="1"/>
                <w:iCs w:val="1"/>
                <w:color w:val="auto"/>
                <w:w w:val="90"/>
              </w:rPr>
              <w:t>(In thousands, except share data)</w:t>
            </w:r>
          </w:p>
        </w:tc>
        <w:tc>
          <w:tcPr>
            <w:tcW w:w="0" w:type="dxa"/>
            <w:vAlign w:val="bottom"/>
          </w:tcPr>
          <w:p>
            <w:pPr>
              <w:spacing w:after="0"/>
              <w:rPr>
                <w:sz w:val="1"/>
                <w:szCs w:val="1"/>
                <w:color w:val="auto"/>
              </w:rPr>
            </w:pPr>
          </w:p>
        </w:tc>
      </w:tr>
      <w:tr>
        <w:trPr>
          <w:trHeight w:val="217"/>
        </w:trPr>
        <w:tc>
          <w:tcPr>
            <w:tcW w:w="8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1,944</w:t>
            </w: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6,836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14,387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Prepaid income taxes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1,115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24,945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gridSpan w:val="2"/>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Fixed assets, net of accumulated depreciation of $20,660 and $20,518, respectively</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2,413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Right-of-use asset, net of accumulated amortization of $211 and $0</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3,479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7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2,239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net of accumulated amortization of $3,542, and $3,487, respectively</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11,529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36,474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3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2,267</w:t>
            </w: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Lease liability</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909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402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current liabilities</w:t>
            </w: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5,580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Lease liability, net of current portion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2,808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3,266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8,846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20" w:type="dxa"/>
            <w:vAlign w:val="bottom"/>
            <w:gridSpan w:val="2"/>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gridSpan w:val="2"/>
          </w:tcPr>
          <w:p>
            <w:pPr>
              <w:spacing w:after="0" w:line="202" w:lineRule="exact"/>
              <w:rPr>
                <w:sz w:val="20"/>
                <w:szCs w:val="20"/>
                <w:color w:val="auto"/>
              </w:rPr>
            </w:pPr>
            <w:r>
              <w:rPr>
                <w:rFonts w:ascii="Arial" w:cs="Arial" w:eastAsia="Arial" w:hAnsi="Arial"/>
                <w:sz w:val="18"/>
                <w:szCs w:val="18"/>
                <w:color w:val="auto"/>
              </w:rPr>
              <w:t>Shareholders’ equity:</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2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w w:val="95"/>
              </w:rPr>
              <w:t>Common stock, $0.01 par value, 20,000,000 shares authorized; 11,500,502 and 11,463,141 shares issued,</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 7,455,660 and 7,418,299 shares outstanding, respectively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32,103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27,593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Treasury stock, at cost, 4,044,842 shares</w:t>
            </w: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(32,110)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Total shareholders’ equity</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27,628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36,474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0"/>
              <w:spacing w:after="0" w:line="189" w:lineRule="exact"/>
              <w:rPr>
                <w:sz w:val="20"/>
                <w:szCs w:val="20"/>
                <w:color w:val="auto"/>
              </w:rPr>
            </w:pPr>
            <w:r>
              <w:rPr>
                <w:rFonts w:ascii="Arial" w:cs="Arial" w:eastAsia="Arial" w:hAnsi="Arial"/>
                <w:sz w:val="18"/>
                <w:szCs w:val="18"/>
                <w:i w:val="1"/>
                <w:iCs w:val="1"/>
                <w:color w:val="auto"/>
                <w:w w:val="89"/>
              </w:rPr>
              <w:t>(In thousands,</w:t>
            </w:r>
          </w:p>
        </w:tc>
        <w:tc>
          <w:tcPr>
            <w:tcW w:w="1360" w:type="dxa"/>
            <w:vAlign w:val="bottom"/>
            <w:gridSpan w:val="3"/>
          </w:tcPr>
          <w:p>
            <w:pPr>
              <w:jc w:val="right"/>
              <w:ind w:right="130"/>
              <w:spacing w:after="0" w:line="189" w:lineRule="exact"/>
              <w:rPr>
                <w:sz w:val="20"/>
                <w:szCs w:val="20"/>
                <w:color w:val="auto"/>
              </w:rPr>
            </w:pPr>
            <w:r>
              <w:rPr>
                <w:rFonts w:ascii="Arial" w:cs="Arial" w:eastAsia="Arial" w:hAnsi="Arial"/>
                <w:sz w:val="18"/>
                <w:szCs w:val="18"/>
                <w:i w:val="1"/>
                <w:iCs w:val="1"/>
                <w:color w:val="auto"/>
                <w:w w:val="83"/>
              </w:rPr>
              <w:t>except per share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data)</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200" w:type="dxa"/>
            <w:vAlign w:val="bottom"/>
          </w:tcPr>
          <w:p>
            <w:pPr>
              <w:spacing w:after="0"/>
              <w:rPr>
                <w:sz w:val="16"/>
                <w:szCs w:val="16"/>
                <w:color w:val="auto"/>
              </w:rPr>
            </w:pPr>
          </w:p>
        </w:tc>
        <w:tc>
          <w:tcPr>
            <w:tcW w:w="270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11,550</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5,464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6,086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1,165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2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2,290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5,309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777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20"/>
              <w:spacing w:after="0" w:line="202" w:lineRule="exact"/>
              <w:rPr>
                <w:sz w:val="20"/>
                <w:szCs w:val="20"/>
                <w:color w:val="auto"/>
              </w:rPr>
            </w:pPr>
            <w:r>
              <w:rPr>
                <w:rFonts w:ascii="Arial" w:cs="Arial" w:eastAsia="Arial" w:hAnsi="Arial"/>
                <w:sz w:val="18"/>
                <w:szCs w:val="18"/>
                <w:color w:val="auto"/>
              </w:rPr>
              <w:t>Interest, net</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net</w:t>
            </w:r>
          </w:p>
        </w:tc>
        <w:tc>
          <w:tcPr>
            <w:tcW w:w="2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2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746</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
        </w:trPr>
        <w:tc>
          <w:tcPr>
            <w:tcW w:w="62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2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0.10</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27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0.10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7,461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7,619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54"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372"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160" w:type="dxa"/>
            <w:vAlign w:val="bottom"/>
            <w:gridSpan w:val="4"/>
          </w:tcPr>
          <w:p>
            <w:pPr>
              <w:jc w:val="right"/>
              <w:ind w:right="317"/>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220" w:type="dxa"/>
            <w:vAlign w:val="bottom"/>
          </w:tcPr>
          <w:p>
            <w:pPr>
              <w:spacing w:after="0"/>
              <w:rPr>
                <w:sz w:val="15"/>
                <w:szCs w:val="15"/>
                <w:color w:val="auto"/>
              </w:rPr>
            </w:pPr>
          </w:p>
        </w:tc>
        <w:tc>
          <w:tcPr>
            <w:tcW w:w="338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380" w:type="dxa"/>
            <w:vAlign w:val="bottom"/>
            <w:gridSpan w:val="2"/>
            <w:shd w:val="clear" w:color="auto" w:fill="CCEEFF"/>
          </w:tcPr>
          <w:p>
            <w:pPr>
              <w:jc w:val="right"/>
              <w:ind w:right="635"/>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746</w:t>
            </w:r>
          </w:p>
        </w:tc>
        <w:tc>
          <w:tcPr>
            <w:tcW w:w="920" w:type="dxa"/>
            <w:vAlign w:val="bottom"/>
            <w:gridSpan w:val="2"/>
            <w:shd w:val="clear" w:color="auto" w:fill="CCEEFF"/>
          </w:tcPr>
          <w:p>
            <w:pPr>
              <w:jc w:val="right"/>
              <w:ind w:right="637"/>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5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2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ind w:right="75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175"/>
        </w:trPr>
        <w:tc>
          <w:tcPr>
            <w:tcW w:w="782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746</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64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640"/>
              <w:spacing w:after="0" w:line="202" w:lineRule="exact"/>
              <w:rPr>
                <w:sz w:val="20"/>
                <w:szCs w:val="20"/>
                <w:color w:val="auto"/>
              </w:rPr>
            </w:pPr>
            <w:r>
              <w:rPr>
                <w:rFonts w:ascii="Arial" w:cs="Arial" w:eastAsia="Arial" w:hAnsi="Arial"/>
                <w:sz w:val="18"/>
                <w:szCs w:val="18"/>
                <w:color w:val="auto"/>
              </w:rPr>
              <w:t>Foreign currency transaction gains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0"/>
              <w:spacing w:after="0" w:line="202" w:lineRule="exact"/>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Inventories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0"/>
              <w:spacing w:after="0" w:line="202" w:lineRule="exact"/>
              <w:rPr>
                <w:sz w:val="20"/>
                <w:szCs w:val="20"/>
                <w:color w:val="auto"/>
              </w:rPr>
            </w:pPr>
            <w:r>
              <w:rPr>
                <w:rFonts w:ascii="Arial" w:cs="Arial" w:eastAsia="Arial" w:hAnsi="Arial"/>
                <w:sz w:val="18"/>
                <w:szCs w:val="18"/>
                <w:color w:val="auto"/>
              </w:rPr>
              <w:t>Prepaid income taxes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Other current and long term assets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0"/>
              <w:spacing w:after="0" w:line="202" w:lineRule="exact"/>
              <w:rPr>
                <w:sz w:val="20"/>
                <w:szCs w:val="20"/>
                <w:color w:val="auto"/>
              </w:rPr>
            </w:pPr>
            <w:r>
              <w:rPr>
                <w:rFonts w:ascii="Arial" w:cs="Arial" w:eastAsia="Arial" w:hAnsi="Arial"/>
                <w:sz w:val="18"/>
                <w:szCs w:val="18"/>
                <w:color w:val="auto"/>
              </w:rPr>
              <w:t>Right of use assets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0"/>
              <w:spacing w:after="0" w:line="202" w:lineRule="exact"/>
              <w:rPr>
                <w:sz w:val="20"/>
                <w:szCs w:val="20"/>
                <w:color w:val="auto"/>
              </w:rPr>
            </w:pPr>
            <w:r>
              <w:rPr>
                <w:rFonts w:ascii="Arial" w:cs="Arial" w:eastAsia="Arial" w:hAnsi="Arial"/>
                <w:sz w:val="18"/>
                <w:szCs w:val="18"/>
                <w:color w:val="auto"/>
              </w:rPr>
              <w:t>Lease liabilities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3,718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8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(1,045)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480"/>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(1,554)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60"/>
              <w:spacing w:after="0" w:line="202" w:lineRule="exact"/>
              <w:rPr>
                <w:sz w:val="20"/>
                <w:szCs w:val="20"/>
                <w:color w:val="auto"/>
              </w:rPr>
            </w:pPr>
            <w:r>
              <w:rPr>
                <w:rFonts w:ascii="Arial" w:cs="Arial" w:eastAsia="Arial" w:hAnsi="Arial"/>
                <w:sz w:val="18"/>
                <w:szCs w:val="18"/>
                <w:color w:val="auto"/>
              </w:rPr>
              <w:t>Additions to capitalized software</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Payment of dividends on common stock</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Purchases of common stock for treasury</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Proceeds from stock option exercises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480"/>
              <w:spacing w:after="0" w:line="202" w:lineRule="exact"/>
              <w:rPr>
                <w:sz w:val="20"/>
                <w:szCs w:val="20"/>
                <w:color w:val="auto"/>
              </w:rPr>
            </w:pPr>
            <w:r>
              <w:rPr>
                <w:rFonts w:ascii="Arial" w:cs="Arial" w:eastAsia="Arial" w:hAnsi="Arial"/>
                <w:sz w:val="18"/>
                <w:szCs w:val="18"/>
                <w:color w:val="auto"/>
              </w:rPr>
              <w:t>Net cash used in financing activities</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(867)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Decrease in cash and cash equivalents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4,691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1,944</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
        </w:trPr>
        <w:tc>
          <w:tcPr>
            <w:tcW w:w="78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Supplemental schedule of non-cash investing activities: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 included in accounts payable</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59</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54" w:lineRule="auto"/>
        <w:rPr>
          <w:sz w:val="20"/>
          <w:szCs w:val="20"/>
          <w:color w:val="auto"/>
        </w:rPr>
      </w:pPr>
      <w:r>
        <w:rPr>
          <w:rFonts w:ascii="Arial" w:cs="Arial" w:eastAsia="Arial" w:hAnsi="Arial"/>
          <w:sz w:val="18"/>
          <w:szCs w:val="18"/>
          <w:b w:val="1"/>
          <w:bCs w:val="1"/>
          <w:color w:val="auto"/>
        </w:rPr>
        <w:t>TRANSACT TECHNOLOGIES INCORPORATED CONDENSED CONSOLIDATED STATEMENTS OF CHANGES IN SHAREHOLDERS' EQUITY (unaudited)</w:t>
      </w:r>
    </w:p>
    <w:p>
      <w:pPr>
        <w:spacing w:after="0" w:line="372"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0" w:type="dxa"/>
            <w:vAlign w:val="bottom"/>
            <w:gridSpan w:val="5"/>
          </w:tcPr>
          <w:p>
            <w:pPr>
              <w:jc w:val="right"/>
              <w:ind w:right="70"/>
              <w:spacing w:after="0"/>
              <w:rPr>
                <w:sz w:val="20"/>
                <w:szCs w:val="20"/>
                <w:color w:val="auto"/>
              </w:rPr>
            </w:pPr>
            <w:r>
              <w:rPr>
                <w:rFonts w:ascii="Arial" w:cs="Arial" w:eastAsia="Arial" w:hAnsi="Arial"/>
                <w:sz w:val="18"/>
                <w:szCs w:val="18"/>
                <w:i w:val="1"/>
                <w:iCs w:val="1"/>
                <w:color w:val="auto"/>
                <w:w w:val="90"/>
              </w:rPr>
              <w:t>(In thousands, except share data)</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80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 beginning balance</w:t>
            </w:r>
          </w:p>
        </w:tc>
        <w:tc>
          <w:tcPr>
            <w:tcW w:w="12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27,567</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Common stock</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Balance, beginning and end of period</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Additional paid-in capital</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Balance, beginning of period</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32,129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640"/>
              <w:spacing w:after="0" w:line="202" w:lineRule="exact"/>
              <w:rPr>
                <w:sz w:val="20"/>
                <w:szCs w:val="20"/>
                <w:color w:val="auto"/>
              </w:rPr>
            </w:pPr>
            <w:r>
              <w:rPr>
                <w:rFonts w:ascii="Arial" w:cs="Arial" w:eastAsia="Arial" w:hAnsi="Arial"/>
                <w:sz w:val="18"/>
                <w:szCs w:val="18"/>
                <w:color w:val="auto"/>
              </w:rPr>
              <w:t>Share-based compensation expense</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Issuance of shares from exercise of stock options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640"/>
              <w:spacing w:after="0" w:line="202" w:lineRule="exact"/>
              <w:rPr>
                <w:sz w:val="20"/>
                <w:szCs w:val="20"/>
                <w:color w:val="auto"/>
              </w:rPr>
            </w:pPr>
            <w:r>
              <w:rPr>
                <w:rFonts w:ascii="Arial" w:cs="Arial" w:eastAsia="Arial" w:hAnsi="Arial"/>
                <w:sz w:val="18"/>
                <w:szCs w:val="18"/>
                <w:color w:val="auto"/>
              </w:rPr>
              <w:t>Relinquishment of stock awards and deferred stock units to pay for withholding taxes</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(199)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Balance, end of period</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32,103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Retained earnings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Balance, beginning of period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27,515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746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640"/>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(668)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Balance, end of period</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27,593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Treasury stock</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Balance, beginning of period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(32,110)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640"/>
              <w:spacing w:after="0" w:line="202" w:lineRule="exact"/>
              <w:rPr>
                <w:sz w:val="20"/>
                <w:szCs w:val="20"/>
                <w:color w:val="auto"/>
              </w:rPr>
            </w:pPr>
            <w:r>
              <w:rPr>
                <w:rFonts w:ascii="Arial" w:cs="Arial" w:eastAsia="Arial" w:hAnsi="Arial"/>
                <w:sz w:val="18"/>
                <w:szCs w:val="18"/>
                <w:color w:val="auto"/>
              </w:rPr>
              <w:t>Purchase of treasury stock</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color w:val="auto"/>
              </w:rPr>
              <w:t>Balance, end of period</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(32,110)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Accumulated other comprehensive loss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Balance, beginning of period</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64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Balance, end of period</w:t>
            </w: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78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 ending balance</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27,628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24,467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share information:</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Issuance of shares from stock awards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rPr>
                <w:sz w:val="20"/>
                <w:szCs w:val="20"/>
                <w:color w:val="auto"/>
              </w:rPr>
            </w:pPr>
            <w:r>
              <w:rPr>
                <w:rFonts w:ascii="Arial" w:cs="Arial" w:eastAsia="Arial" w:hAnsi="Arial"/>
                <w:sz w:val="16"/>
                <w:szCs w:val="16"/>
                <w:b w:val="1"/>
                <w:bCs w:val="1"/>
                <w:color w:val="auto"/>
              </w:rPr>
              <w:t>56,998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Relinquishment of stock awards to pay withholding taxes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6"/>
                <w:szCs w:val="16"/>
                <w:b w:val="1"/>
                <w:bCs w:val="1"/>
                <w:color w:val="auto"/>
              </w:rPr>
              <w:t>19,637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Purchase of treasury stock</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per share of common stock</w:t>
            </w:r>
          </w:p>
        </w:tc>
        <w:tc>
          <w:tcPr>
            <w:tcW w:w="12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0.09</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line="254"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accompanying unaudited financial statements of TransAct Technologies Incorporated (“TransAct”, the “Company”, “we”, “us”, or “our”) have been prepared in accordance with accounting principles generally accepted in the United States of America (“U.S. GAAP”) for interim financial information. Accordingly, they do not include all of the information and footnotes required by U.S. GAAP to be included in full year financial statements. In the opinion of management, all adjustments considered necessary for a fair statement of the results for the periods presented have been included and are of a normal recurring nature. The December 31, 2018 Condensed Consolidated Balance Sheet data was derived from audited financial statements, but does not include all disclosures required by U.S. GAAP. These interim financial statements should be read in conjunction with the audited financial statements for the year ended December 31, 2018 included in our Annual Report on Form 10-K.</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exchange rate as of the date the transaction was recognized, with the resulting translation gain or loss recorded in “Accumulated other comprehensive loss, net of tax”, in the Condensed Consolidated Balance Sheets and Condensed Consolidated Statements of Changes in Shareholders’ Equity. Transaction gains and losses are included in “Other, net” in the Condensed Consolidated Statements of Income.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March 31, 2019 are not necessarily indicative of the results to be expected for the full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revenue in accordance with ASC Topic 606: Revenue from Contracts with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2"/>
              </w:rPr>
              <w:t>Three Months Ended</w:t>
            </w:r>
          </w:p>
        </w:tc>
        <w:tc>
          <w:tcPr>
            <w:tcW w:w="1000" w:type="dxa"/>
            <w:vAlign w:val="bottom"/>
          </w:tcPr>
          <w:p>
            <w:pPr>
              <w:spacing w:after="0"/>
              <w:rPr>
                <w:sz w:val="18"/>
                <w:szCs w:val="18"/>
                <w:color w:val="auto"/>
              </w:rPr>
            </w:pPr>
          </w:p>
        </w:tc>
      </w:tr>
      <w:tr>
        <w:trPr>
          <w:trHeight w:val="228"/>
        </w:trPr>
        <w:tc>
          <w:tcPr>
            <w:tcW w:w="7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March 31, 2019</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86"/>
              </w:rPr>
              <w:t>United States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2"/>
              </w:rPr>
              <w:t>International</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
              <w:spacing w:after="0" w:line="202" w:lineRule="exact"/>
              <w:rPr>
                <w:sz w:val="20"/>
                <w:szCs w:val="20"/>
                <w:color w:val="auto"/>
              </w:rPr>
            </w:pPr>
            <w:r>
              <w:rPr>
                <w:rFonts w:ascii="Arial" w:cs="Arial" w:eastAsia="Arial" w:hAnsi="Arial"/>
                <w:sz w:val="18"/>
                <w:szCs w:val="18"/>
                <w:i w:val="1"/>
                <w:iCs w:val="1"/>
                <w:color w:val="auto"/>
                <w:w w:val="90"/>
              </w:rPr>
              <w:t>(In thousands)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Restaurant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832</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w:t>
            </w:r>
          </w:p>
        </w:tc>
        <w:tc>
          <w:tcPr>
            <w:tcW w:w="36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928</w:t>
            </w: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POS Automation and Banking</w:t>
            </w:r>
          </w:p>
        </w:tc>
        <w:tc>
          <w:tcPr>
            <w:tcW w:w="10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1,277</w:t>
            </w: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Casino and Gaming</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5,483</w:t>
            </w: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Lottery</w:t>
            </w:r>
          </w:p>
        </w:tc>
        <w:tc>
          <w:tcPr>
            <w:tcW w:w="10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697</w:t>
            </w: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Printrex</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342</w:t>
            </w:r>
          </w:p>
        </w:tc>
      </w:tr>
      <w:tr>
        <w:trPr>
          <w:trHeight w:val="210"/>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TransAct Services Group</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2,823</w:t>
            </w:r>
          </w:p>
        </w:tc>
      </w:tr>
      <w:tr>
        <w:trPr>
          <w:trHeight w:val="243"/>
        </w:trPr>
        <w:tc>
          <w:tcPr>
            <w:tcW w:w="744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9,007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11,550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contract liabilities consist of customer prepayments and deferred revenue. Customer prepayments are reported as “Accrued Liabilities” in current liabilities in the Condensed Consolidated Balance Sheets. Customer prepayments represent customer payments made in advance of performance obligations in instances where credit has not been extended and are recognized as revenue when the performance obligation is complete. Deferred revenue is reported separately in current liabilities and non-current liabilities and consists of our extended warranty contracts, technical support for our restaurant solution terminals, EPICENTRAL™ maintenance contracts and testing service contracts, and is recognized as revenue as (or when) we perform under the contract. We do not have any contract asset balances as of March 31, 2019 or December 31, 2018. For the first three months of 2019, we recognized revenue of $150 thousand related to our contract liabilities at December 31, 2018. Total contract liabilities consist of the following:</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7"/>
                <w:szCs w:val="17"/>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right"/>
              <w:ind w:right="310"/>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pre-payments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59</w:t>
            </w:r>
          </w:p>
        </w:tc>
        <w:tc>
          <w:tcPr>
            <w:tcW w:w="92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revenue, current</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402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240</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Total contract liabilities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701</w:t>
            </w:r>
          </w:p>
        </w:tc>
        <w:tc>
          <w:tcPr>
            <w:tcW w:w="92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March 31, 2019, the aggregate amount of the transaction price allocated to remaining performance obligations was $5.1 million. The Company expects to recognize revenue on $4.3 million of its remaining performance obligations within the next 12 months, $0.7 million within the next 24 months and the balance of these remaining performance obligations within the next 36 months.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3. Inventories, net</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spacing w:after="0"/>
              <w:rPr>
                <w:sz w:val="20"/>
                <w:szCs w:val="20"/>
                <w:color w:val="auto"/>
              </w:rPr>
            </w:pPr>
            <w:r>
              <w:rPr>
                <w:rFonts w:ascii="Arial" w:cs="Arial" w:eastAsia="Arial" w:hAnsi="Arial"/>
                <w:sz w:val="18"/>
                <w:szCs w:val="18"/>
                <w:color w:val="auto"/>
              </w:rPr>
              <w:t>The components of inventories, net were:</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75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7,386</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6,861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14,387</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product warranty liability</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generally warrant our products for up to 24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three months ended March 31, 2019 and 2018: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96"/>
              </w:rPr>
              <w:t>March 31,</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4"/>
          </w:tcPr>
          <w:p>
            <w:pPr>
              <w:jc w:val="center"/>
              <w:ind w:left="210"/>
              <w:spacing w:after="0"/>
              <w:rPr>
                <w:sz w:val="20"/>
                <w:szCs w:val="20"/>
                <w:color w:val="auto"/>
              </w:rPr>
            </w:pPr>
            <w:r>
              <w:rPr>
                <w:rFonts w:ascii="Arial" w:cs="Arial" w:eastAsia="Arial" w:hAnsi="Arial"/>
                <w:sz w:val="18"/>
                <w:szCs w:val="18"/>
                <w:i w:val="1"/>
                <w:iCs w:val="1"/>
                <w:color w:val="auto"/>
                <w:w w:val="90"/>
              </w:rPr>
              <w:t>(In thousands)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80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00" w:type="dxa"/>
            <w:vAlign w:val="bottom"/>
            <w:gridSpan w:val="2"/>
            <w:shd w:val="clear" w:color="auto" w:fill="CCEEFF"/>
          </w:tcPr>
          <w:p>
            <w:pPr>
              <w:jc w:val="right"/>
              <w:ind w:right="630"/>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273</w:t>
            </w:r>
          </w:p>
        </w:tc>
        <w:tc>
          <w:tcPr>
            <w:tcW w:w="92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800" w:type="dxa"/>
            <w:vAlign w:val="bottom"/>
            <w:gridSpan w:val="2"/>
          </w:tcPr>
          <w:p>
            <w:pPr>
              <w:jc w:val="right"/>
              <w:ind w:right="630"/>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253</w:t>
            </w:r>
          </w:p>
        </w:tc>
        <w:tc>
          <w:tcPr>
            <w:tcW w:w="92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2019, $199 thousand of the accrued product warranty liability were classified as current in "Accrued liabilities" in the Condensed Consolidated Balance Sheets and the remaining $54 thousand was classified as non-current in "Other liabilities".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6"/>
              </w:rPr>
              <w:t>March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0"/>
              <w:spacing w:after="0" w:line="189" w:lineRule="exact"/>
              <w:rPr>
                <w:sz w:val="20"/>
                <w:szCs w:val="20"/>
                <w:color w:val="auto"/>
              </w:rPr>
            </w:pPr>
            <w:r>
              <w:rPr>
                <w:rFonts w:ascii="Arial" w:cs="Arial" w:eastAsia="Arial" w:hAnsi="Arial"/>
                <w:sz w:val="18"/>
                <w:szCs w:val="18"/>
                <w:i w:val="1"/>
                <w:iCs w:val="1"/>
                <w:color w:val="auto"/>
                <w:w w:val="89"/>
              </w:rPr>
              <w:t>(In thousands,</w:t>
            </w:r>
          </w:p>
        </w:tc>
        <w:tc>
          <w:tcPr>
            <w:tcW w:w="1360" w:type="dxa"/>
            <w:vAlign w:val="bottom"/>
            <w:gridSpan w:val="3"/>
          </w:tcPr>
          <w:p>
            <w:pPr>
              <w:jc w:val="right"/>
              <w:ind w:right="130"/>
              <w:spacing w:after="0" w:line="189" w:lineRule="exact"/>
              <w:rPr>
                <w:sz w:val="20"/>
                <w:szCs w:val="20"/>
                <w:color w:val="auto"/>
              </w:rPr>
            </w:pPr>
            <w:r>
              <w:rPr>
                <w:rFonts w:ascii="Arial" w:cs="Arial" w:eastAsia="Arial" w:hAnsi="Arial"/>
                <w:sz w:val="18"/>
                <w:szCs w:val="18"/>
                <w:i w:val="1"/>
                <w:iCs w:val="1"/>
                <w:color w:val="auto"/>
                <w:w w:val="83"/>
              </w:rPr>
              <w:t>except per share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center"/>
              <w:ind w:left="610"/>
              <w:spacing w:after="0"/>
              <w:rPr>
                <w:sz w:val="20"/>
                <w:szCs w:val="20"/>
                <w:color w:val="auto"/>
              </w:rPr>
            </w:pPr>
            <w:r>
              <w:rPr>
                <w:rFonts w:ascii="Arial" w:cs="Arial" w:eastAsia="Arial" w:hAnsi="Arial"/>
                <w:sz w:val="18"/>
                <w:szCs w:val="18"/>
                <w:i w:val="1"/>
                <w:iCs w:val="1"/>
                <w:color w:val="auto"/>
                <w:w w:val="92"/>
              </w:rPr>
              <w:t>data)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48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746</w:t>
            </w:r>
          </w:p>
        </w:tc>
        <w:tc>
          <w:tcPr>
            <w:tcW w:w="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Add: Dilutive effect of outstanding options and restricted stock units as determined by the treasury stock method</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and common equivalent shares outstanding</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7,619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1"/>
        </w:trPr>
        <w:tc>
          <w:tcPr>
            <w:tcW w:w="8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0.10</w:t>
            </w:r>
          </w:p>
        </w:tc>
        <w:tc>
          <w:tcPr>
            <w:tcW w:w="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March 31, 2019 and 2018, there were 540 thousand and 147 thousand, respectively, of potentially dilutive shares consisting of stock awards that were excluded from the calculation of earnings per diluted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three months ended March 31, 2019, our Board of Directors declared a quarterly cash dividend of $0.09 per share, totaling $668 thousand, which was paid on March 15, 2019 to common shareholders of record at the close of business on February 20, 2019. For the three months ended March 31, 2018, dividends declared and paid totaled $673 thousand, or $0.09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w:t>
      </w:r>
      <w:r>
        <w:rPr>
          <w:rFonts w:ascii="Arial" w:cs="Arial" w:eastAsia="Arial" w:hAnsi="Arial"/>
          <w:sz w:val="18"/>
          <w:szCs w:val="18"/>
          <w:color w:val="auto"/>
        </w:rPr>
        <w:t>, which was codified in, and is referred to in this Report as, ASC 842, became effective for reporting periods beginning after December 15, 2018. The adoption requires a modified retrospective transition approach, applying the new standard to all leases existing at the date of initial application. An entity may choose to use either (1) its effective date or (2) the beginning of the earliest comparative period presented in the financial statements as its date of initial application. The Company has elected to adopt the standard using the effective date, January 1, 2019, as its date of initial application. Consequently, financial information will not be updated, and the disclosures required under the new standard will not be provided for dates and periods before January 1, 2019.</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If risks and rewards are conveyed without the transfer of control, the lease is treated as financing. If the lessor does not convey risks and rewards or control, the lease is treated as operating.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elected certain of the practical expedients available under ASC 842 upon adoption. We have applied the practical expedient which allows prospective transition to ASC 842 on January 1, 2019. Under this transition practical expedient, we did not reassess lease classification, embedded leases or initial direct costs. We have applied the practical expedient for short-term leases. We have lease agreements that include lease and non-lease components, and we have not elected the practical expedients to combine these components for any of our leases. The adoption of ASC 842 had no effect on our Consolidated Statement of Income or Consolidated Statement of Cash Flows. Upon adoption of ASC 842, we recorded a $3.7 million right-of-use asset and a $3.9 million lease liability. The adoption of the new standard had no impact on retained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both"/>
        <w:spacing w:after="0" w:line="248" w:lineRule="auto"/>
        <w:rPr>
          <w:sz w:val="20"/>
          <w:szCs w:val="20"/>
          <w:color w:val="auto"/>
        </w:rPr>
      </w:pPr>
      <w:r>
        <w:rPr>
          <w:rFonts w:ascii="Arial" w:cs="Arial" w:eastAsia="Arial" w:hAnsi="Arial"/>
          <w:sz w:val="18"/>
          <w:szCs w:val="18"/>
          <w:color w:val="auto"/>
        </w:rPr>
        <w:t>We enter into lease agreements for the use of real estate space and certain other equipment under operating leases and we have no financing leases. We determine if an arrangement contains a lease at inception. Our leases are included in Right of use assets and Lease liabilities in our Condensed Consolidated Balance Sheet.</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assets exclude lease incentives. Our leases have remaining lease terms of one to eight years, some of which include options to extend. The majority of our leases with options to extend provide for extensions of up to five years with the ability to terminate the lease within one year. The exercise of lease renewal options is at our sole discretion and our lease right of use assets and liabilities reflect only the options we are reasonably certain that we will exercise. Lease expense is recognized on a straight-line basis over the lease term.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 for the quarter ended March 31, 2019 was $237 thousand.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7" w:lineRule="exact"/>
        <w:rPr>
          <w:sz w:val="20"/>
          <w:szCs w:val="20"/>
          <w:color w:val="auto"/>
        </w:rPr>
      </w:pPr>
    </w:p>
    <w:p>
      <w:pPr>
        <w:jc w:val="center"/>
        <w:ind w:left="916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hree Months Ended</w:t>
      </w:r>
    </w:p>
    <w:p>
      <w:pPr>
        <w:jc w:val="center"/>
        <w:ind w:left="9160"/>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-3175</wp:posOffset>
            </wp:positionV>
            <wp:extent cx="13633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tabs>
          <w:tab w:leader="none" w:pos="9260" w:val="left"/>
          <w:tab w:leader="none" w:pos="10960" w:val="left"/>
        </w:tabs>
        <w:rPr>
          <w:sz w:val="20"/>
          <w:szCs w:val="20"/>
          <w:color w:val="auto"/>
        </w:rPr>
      </w:pPr>
      <w:r>
        <w:rPr>
          <w:rFonts w:ascii="Arial" w:cs="Arial" w:eastAsia="Arial" w:hAnsi="Arial"/>
          <w:sz w:val="18"/>
          <w:szCs w:val="18"/>
          <w:color w:val="auto"/>
        </w:rPr>
        <w:t>Operating cash flows from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additional information related to our leases:</w:t>
      </w: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right"/>
              <w:ind w:right="360"/>
              <w:spacing w:after="0" w:line="195" w:lineRule="exact"/>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ind w:left="1640"/>
              <w:spacing w:after="0" w:line="202" w:lineRule="exact"/>
              <w:rPr>
                <w:sz w:val="20"/>
                <w:szCs w:val="20"/>
                <w:color w:val="auto"/>
              </w:rPr>
            </w:pPr>
            <w:r>
              <w:rPr>
                <w:rFonts w:ascii="Arial" w:cs="Arial" w:eastAsia="Arial" w:hAnsi="Arial"/>
                <w:sz w:val="18"/>
                <w:szCs w:val="18"/>
                <w:color w:val="auto"/>
                <w:w w:val="79"/>
              </w:rPr>
              <w:t>5.4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1640"/>
              <w:spacing w:after="0"/>
              <w:rPr>
                <w:sz w:val="20"/>
                <w:szCs w:val="20"/>
                <w:color w:val="auto"/>
              </w:rPr>
            </w:pPr>
            <w:r>
              <w:rPr>
                <w:rFonts w:ascii="Arial" w:cs="Arial" w:eastAsia="Arial" w:hAnsi="Arial"/>
                <w:sz w:val="18"/>
                <w:szCs w:val="18"/>
                <w:color w:val="auto"/>
                <w:w w:val="87"/>
              </w:rPr>
              <w:t>3.7%</w:t>
            </w:r>
          </w:p>
        </w:tc>
        <w:tc>
          <w:tcPr>
            <w:tcW w:w="0" w:type="dxa"/>
            <w:vAlign w:val="bottom"/>
          </w:tcPr>
          <w:p>
            <w:pPr>
              <w:spacing w:after="0"/>
              <w:rPr>
                <w:sz w:val="1"/>
                <w:szCs w:val="1"/>
                <w:color w:val="auto"/>
              </w:rPr>
            </w:pPr>
          </w:p>
        </w:tc>
      </w:tr>
      <w:tr>
        <w:trPr>
          <w:trHeight w:val="391"/>
        </w:trPr>
        <w:tc>
          <w:tcPr>
            <w:tcW w:w="9220" w:type="dxa"/>
            <w:vAlign w:val="bottom"/>
            <w:gridSpan w:val="2"/>
          </w:tcPr>
          <w:p>
            <w:pPr>
              <w:spacing w:after="0"/>
              <w:rPr>
                <w:sz w:val="20"/>
                <w:szCs w:val="20"/>
                <w:color w:val="auto"/>
              </w:rPr>
            </w:pPr>
            <w:r>
              <w:rPr>
                <w:rFonts w:ascii="Arial" w:cs="Arial" w:eastAsia="Arial" w:hAnsi="Arial"/>
                <w:sz w:val="18"/>
                <w:szCs w:val="18"/>
                <w:color w:val="auto"/>
              </w:rPr>
              <w:t>The maturity of the Company’s operating lease liabilities as of March 31, 2019 are as follows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Total undiscounted lease payments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Total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Prior to the adoption of ASC 842, rental commitments on an undiscounted basis were approximately $4.3 million at December 31, 2018 under non-cancelable operating leases and were payable as follows: $1.0 million in 2019; $1.0 million in 2020; $0.7 million in 2021; $0.4 million in 2022, $0.3 million in 2023 and $0.9 million thereafter.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recorded an income tax provision for the first quarter of 2019 of $115 thousand at an effective tax rate of 13.4%, compared to an income tax provision during the first quarter of 2018 of $178 thousand at an effective tax rate of 20.7%. The effective tax rate for the first quarter of 2019 was lower as it included the foreign-derived intangible income (“FDII”) deduction under the Tax Cuts and Jobs Act (the “Tax Reform Act”). The FDII deduction was not included in the effective tax rate for the first quarter of 2018 as the interpretive guidance for the deduction was not yet released.</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subject to U.S. federal income tax, as well as income tax in certain U.S. state and foreign jurisdictions. We have substantially concluded all U.S. federal, state and local income tax, and foreign tax regulatory examination matters through 2014. However, our federal tax returns for the years 2015 through 2017 remain open to examination. Various U.S. state and foreign tax jurisdiction tax years remain open to examination as well, but we believe that any additional assessment would be immaterial to the Condensed Consolidated Financial Statements.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spacing w:after="0" w:line="248" w:lineRule="auto"/>
        <w:rPr>
          <w:sz w:val="20"/>
          <w:szCs w:val="20"/>
          <w:color w:val="auto"/>
        </w:rPr>
      </w:pPr>
      <w:r>
        <w:rPr>
          <w:rFonts w:ascii="Arial" w:cs="Arial" w:eastAsia="Arial" w:hAnsi="Arial"/>
          <w:sz w:val="18"/>
          <w:szCs w:val="18"/>
          <w:color w:val="auto"/>
        </w:rPr>
        <w:t>As of March 31, 2019, we had $105 thousand of total gross unrecognized tax benefits that, if recognized, would favorably affect the effective income tax rate in any future periods. We expect that $25 thousand of the $105 thousand of unrecognized tax benefits will reverse in 2019 upon the expiration of the statute of limitations.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reported as "Deferred tax assets" in the Condensed Consolidated Balance Sheet. As of March 31, 2019, we had $20 thousand of accrued interest and penalties related to uncertain tax positions. The Company maintains a valuation allowance against certain deferred tax assets where realization is not certain.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 (Topic 220): Reclassification of Certain Tax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Accumulated Other Comprehensive income,” </w:t>
      </w:r>
      <w:r>
        <w:rPr>
          <w:rFonts w:ascii="Arial" w:cs="Arial" w:eastAsia="Arial" w:hAnsi="Arial"/>
          <w:sz w:val="17"/>
          <w:szCs w:val="17"/>
          <w:color w:val="auto"/>
        </w:rPr>
        <w:t>which provides a new standard that permits entities to make a one-time reclassification from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loss (“AOCL”) to retained earnings for the stranded tax effects resulting from the newly enacted corporate tax rates under the Tax Reform Act. We adopted ASU 2018-02 on January 1, 2019 and elected not to reclassify the income tax effects of the Tax Reform Act from AOCL to retained earnings. We continue to release disproportionate income tax effects from AOCL based on the aggregate portfolio approach. The adoption of ASU 2018-02 did not have an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Certain statements included in this Quarterly Report on Form 10-Q for the period ended March 31, 2019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Section 21E of the Securities Exchange Act of 1934, as amended (the “Exchange Act”) and the Private Securities Litigation Reform Act of 1995.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Annual Report on Form 10-K for the year ended December 31, 2018. Actual results may differ materially from those discussed in, or implied by, the forward-looking statements. The forward-looking statements speak only as of the date of this Report and we assume no duty to update them. As used in this Report, unless the context otherwise requires, references to “we”, “us”, “our”, the “Company” and “TransAct” refer to the consolidated operations of TransAct Technologies Incorporated, and its consolidated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TransAct is a global leader in developing and selling software-driven technology and printing solutions for high growth markets including restaurant solutions, point of sale (“POS”) automation and banking, casino and gaming, lottery, and oil and gas. Our world-class products are designed from the ground up based on market and customer requirements and are sold under the BOHA!™, AccuDate™, Epic®, EPICENTRAL™, Ithaca®, and Printrex® brand names. Known and respected worldwide for innovative designs and real-world service reliability, our thermal and inkjet printers and terminals generate top-quality labels, coupons and transaction records such as receipts, tickets and other documents, as well as printed logging and plotting of data. We sell our products to original equipment manufacturers (“OEMs”), value-added resellers, select distributors, as well as directly to end-users. Our product distribution spans across the Americas, Europe, the Middle East, Africa, Asia, Australia, the Caribbean Islands and the South Pacific. We also offer world-class service, support, spare parts, accessories and printing supplies to our growing worldwide base of products currently in use by our customers.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 and our direct selling team, we address the demand for these products. We operate in one reportable segment, the design, development, and marketing of software-driven technology and printing solutions for high growth markets, and provide related services, supplies and spare parts.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the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a complete description of our accounting policies, see Part II, Item 7, “Management’s Discussion and Analysis of Financial Condition and Results of Operations – Critical Accounting Policies and Estimates,” of our Annual Report on Form 10-K for the year ended December 31, 2018. We have reviewed those policies and determined that they remain our critical accounting policies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Results of Operations: Three months ended March 31, 2019 compared to three months ended March 31, 2018</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March 31, 2019 and 2018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3"/>
              </w:rPr>
              <w:t>March 31, 2019</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2"/>
              </w:rPr>
              <w:t>March 31,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1,277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5,483</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5,940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2,823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11,550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12,243</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2,543</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16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sales for the first quarter of 2019 decreased $0.7 million, or 6%, from the same period in 2018. Printer, terminal and other hardware sales volume decreased 11% to approximately 28,000 units driven primarily by a 27% decrease in unit volume from the POS automation and banking market and a 5% decrease in unit volume in the casino and gaming market. The average selling price of our printers, terminals and other hardware increased 4% for the first quarter of 2019 compared to the first quarter of 2018 due primarily to lower POS automation and banking sales, which sell at a lower price than our other products.</w:t>
      </w:r>
    </w:p>
    <w:p>
      <w:pPr>
        <w:spacing w:after="0" w:line="17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International sales for the first quarter of 2019 increased $0.5 million, or 23%, from the same period in 2018 primarily due to increased sales in the international casino and gaming market.</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 xml:space="preserve">Restaurant Solutions. </w:t>
      </w:r>
      <w:r>
        <w:rPr>
          <w:rFonts w:ascii="Arial" w:cs="Arial" w:eastAsia="Arial" w:hAnsi="Arial"/>
          <w:sz w:val="17"/>
          <w:szCs w:val="17"/>
          <w:color w:val="auto"/>
        </w:rPr>
        <w:t>Revenue from the restaurant solutions market includes sales of terminals that combine hardware and software in a device that 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operating system, touchscreen and one or two thermal print mechanisms that print easy-to-read food rotation labels, grab and go labels for prepared foods, and “enjoy by” date labels. These terminals help food service establishments and restaurants (including fine dining, casual dining, quick-serve convenience and hospitality establishments) effectively manage food safety and automate and manage back-of-the-house operations. In addition to sales of terminals, revenue includes sales of cloud-based software applications and hardware (including handheld devices, tablets, temperature probes and temperature sensors). In 2019, we launched our BOHA! solution, which combines our latest generation terminal, cloud-based software application and hardware into a unique solution to automate the back-of-house operations in restaurants. Sales of our worldwide restaurant solutions products for the three months ended March 31, 2019 and 2018 were as follows (in thousands, except percentages):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3"/>
              </w:rPr>
              <w:t>March 31, 2019</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2"/>
              </w:rPr>
              <w:t>March 31,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89.7%</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973</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c>
          <w:tcPr>
            <w:tcW w:w="4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decrease in domestic restaurant solutions revenue for the first quarter of 2019 compared to the first quarter of 2018 was driven largely by lower sales of our AccuDate 9700 terminal to our former U.S. distributor. This decrease was partially offset by increased sales of our AccuDate XL2e terminal, which has since been rebranded to the BOHA! terminal. Additionally, during the first quarter of 2019, we recognized our first sales of BOHA! software on a SaaS subscription basis. We expect sales of our restaurant solutions products to increase in 2019 compared to 2018 following the launch of our new BOHA! solution.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POS automation and banking. </w:t>
      </w:r>
      <w:r>
        <w:rPr>
          <w:rFonts w:ascii="Arial" w:cs="Arial" w:eastAsia="Arial" w:hAnsi="Arial"/>
          <w:sz w:val="18"/>
          <w:szCs w:val="18"/>
          <w:color w:val="auto"/>
        </w:rPr>
        <w:t>Revenue from the POS automation and banking market includes sales of thermal and impact printers used primarily by quick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 restaurants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As of December 31, 2018, we exited the banking market but will continue to fulfill orders from legacy customers until our inventory is exhausted. Sales of our worldwide POS automation and banking products for the three months ended March 31, 2019 and 2018 were as follows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3"/>
              </w:rPr>
              <w:t>March 31, 2019</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2"/>
              </w:rPr>
              <w:t>March 31,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1,259</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98.6%</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1,670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(60.9%)</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decrease in domestic POS automation and banking product revenue for the first quarter of 2019 compared to the first quarter of 2018 was primarily driven by a 24% decrease in domestic sales of our Ithaca® 9000 printer, as sales to McDonald’s decreased for the first quarter of 2019 compared to the same period in 2018. We expect sales of our Ithaca® 9000 to McDonald’s to decrease in 2019 compared to 2018.</w:t>
      </w:r>
    </w:p>
    <w:p>
      <w:pPr>
        <w:sectPr>
          <w:pgSz w:w="11900" w:h="16838" w:orient="portrait"/>
          <w:cols w:equalWidth="0" w:num="1">
            <w:col w:w="11420"/>
          </w:cols>
          <w:pgMar w:left="240" w:top="121"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Casino and gaming. </w:t>
      </w:r>
      <w:r>
        <w:rPr>
          <w:rFonts w:ascii="Arial" w:cs="Arial" w:eastAsia="Arial" w:hAnsi="Arial"/>
          <w:sz w:val="18"/>
          <w:szCs w:val="18"/>
          <w:color w:val="auto"/>
        </w:rPr>
        <w:t>Revenue from the casino and gaming market includes sales of thermal ticket printers used in slot machines, video lottery terminals,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Sales of our worldwide casino and gaming products for the three months ended March 31, 2019 and 2018 were as follows (in thousands, except percentages):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3"/>
              </w:rPr>
              <w:t>March 31, 2019</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2"/>
              </w:rPr>
              <w:t>March 31,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3,424</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62.4%</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4,190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70.5%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5,483</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5,940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decrease in domestic sales of our casino and gaming products for the first quarter of 2019 compared to the first quarter of 2018 was due to an 83% decrease in domestic sales of our off-premise gaming printers to an OEM, which we do not expect to reoccur in 2019; a 7% decrease in domestic sales of our thermal casino printers driven primarily by industry-wide weakness resulting in lower sales to our OEMs; and an 81% decrease in domestic EPICENTRAL™ software sales, as we had no new installations during the first quarter of 2019 compared to one new installation in 2018. Sales of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are project based and as a result, may fluctuate significantly quarter-to-quarter and year-to-year.</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International casino and gaming product sales increased for the first quarter of 2019 compared to the first quarter of 2018 due to a 77% increase in sales of our thermal casino printers largely to customers in Asia. This increase was partially offset by a 70% decline in international sales of our off-premise gaming printers to Europe, Australia and Asia. Sales of our off-premise gaming printers are largely project-oriented and therefore may fluctuate significantly from quarter-to-quarter and year-to-year.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expect domestic and international casino and gaming sales in 2019 to be relatively consistent with the sales levels achieved during 2018.</w:t>
      </w:r>
    </w:p>
    <w:p>
      <w:pPr>
        <w:spacing w:after="0" w:line="18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Lottery. </w:t>
      </w:r>
      <w:r>
        <w:rPr>
          <w:rFonts w:ascii="Arial" w:cs="Arial" w:eastAsia="Arial" w:hAnsi="Arial"/>
          <w:sz w:val="18"/>
          <w:szCs w:val="18"/>
          <w:color w:val="auto"/>
        </w:rPr>
        <w:t>Revenue from the lottery market includes sales of thermal on-line and other lottery printers primarily to International Game Technology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(“IGT”) and, to a lesser extent, other lottery system companies for various lottery applications. Sales of our worldwide lottery printers for the three months ended March 31, 2019 and 2018 were as follows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93"/>
              </w:rPr>
              <w:t>March 31, 2019</w:t>
            </w: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3"/>
              </w:rPr>
              <w:t>March 31, 2018</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that IGT performs, and as a result, may fluctuate significantly quarter-to-quarter and year-to-year. Our sales to IGT are not indicative of IGT’s overall business or revenue. We expect lottery printer sales to be lower for 2019 compared to 2018, as we have shifted our focus away from the lottery market to our higher value, technology-enabled restaurant solutions and casino and gaming products.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Printrex. </w:t>
      </w:r>
      <w:r>
        <w:rPr>
          <w:rFonts w:ascii="Arial" w:cs="Arial" w:eastAsia="Arial" w:hAnsi="Arial"/>
          <w:sz w:val="17"/>
          <w:szCs w:val="17"/>
          <w:color w:val="auto"/>
        </w:rPr>
        <w:t>Printrex branded printers are sold into markets that include wide format, desktop and rack mounted and vehicle mounted black/white thermal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printers used by customers to log and plot oil field, seismic and down hole well drilling data in the oil and gas exploration industry. It also includes high-speed color inkjet desktop printers used to print logs at the data centers of the oil and gas field service companies. Prior to 2019, revenue in this market also includes sales of vehicle mounted printers used to print schematics and certain other critical information in emergency services vehicles and other mobile printing applications. We exited this market at the end of 2018 and do not expect any future sales. Sales of our worldwide Printrex printers for the three months ended March 31, 2019 and 2018 were as follows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93"/>
              </w:rPr>
              <w:t>March 31, 2019</w:t>
            </w: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3"/>
              </w:rPr>
              <w:t>March 31, 2018</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86.8%</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95.6%</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ind w:left="620"/>
              <w:spacing w:after="0" w:line="202"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20"/>
              <w:spacing w:after="0" w:line="202"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275.0%</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342</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ind w:left="620"/>
              <w:spacing w:after="0" w:line="202"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increase in sales of Printrex printers for the first quarter of 2019 compared to the first quarter of 2018 resulted from higher domestic and international sales in the oil and gas market. We expect total Printrex sales to increase slightly for 2019 compared to 2018, as we expect to benefit from a continued modest recovery in the oil and gas industry.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TSG. </w:t>
      </w:r>
      <w:r>
        <w:rPr>
          <w:rFonts w:ascii="Arial" w:cs="Arial" w:eastAsia="Arial" w:hAnsi="Arial"/>
          <w:sz w:val="18"/>
          <w:szCs w:val="18"/>
          <w:color w:val="auto"/>
        </w:rPr>
        <w:t>Revenue generated by our TSG includes sales of consumable products (inkjet cartridges, ribbons, receipt paper, color thermal paper, food safety labels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printing supplies), replacement parts, maintenance and repair services, technical support services, testing services, refurbished printers, and shipping and handling charges. Sales in our worldwide TSG market for the three months ended March 31, 2019 and 2018 were as follows (in thousands, except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93"/>
              </w:rPr>
              <w:t>March 31, 2019</w:t>
            </w: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3"/>
              </w:rPr>
              <w:t>March 31, 2018</w:t>
            </w: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2,498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88.5%</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2,448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93.0%</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76.6%</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2,823</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increase in domestic revenue from TSG for the first quarter of 2019 as compared to the first quarter of 2018 was primarily due to an increase in label sales and increased service revenue related to our restaurant solutions products. Sales of our restaurant solutions labels were five times higher on a growing installed base of AccuDate and BOHA! terminals. Service revenue also increased 24% for the first quarter of 2019 compared to the first quarter of 2018. Additionally, we had a 18% increase in sales of our legacy HP inkjet cartridges used in our banking printers. We do not expect this trend to continue for HP inkjet cartridges as we exited the banking market at the end of 2018. These increases were offset by a 31% decrease in sales of lottery printer spare parts to IGT. Based on our backlog of orders and contractual commitments for replacement parts, primarily from IGT, for our installed base of lottery printers, we expect TSG sales to decrease in 2019 compared to 2018.</w:t>
      </w:r>
    </w:p>
    <w:p>
      <w:pPr>
        <w:spacing w:after="0" w:line="164"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Internationally, TSG revenue increased for the first quarter of 2019 compared to the first quarter of 2018 primarily due to a 102% increase in sales of replacement parts and accessories to international casino and gaming customers.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three months ended March 31, 2019 and 2018 is summarized below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1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w w:val="99"/>
              </w:rPr>
              <w:t>2018</w:t>
            </w:r>
          </w:p>
        </w:tc>
        <w:tc>
          <w:tcPr>
            <w:tcW w:w="36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6,086</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5,862</w:t>
            </w:r>
          </w:p>
        </w:tc>
        <w:tc>
          <w:tcPr>
            <w:tcW w:w="36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47.9%</w:t>
            </w:r>
          </w:p>
        </w:tc>
      </w:tr>
    </w:tbl>
    <w:p>
      <w:pPr>
        <w:spacing w:after="0" w:line="18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print system. For the first quarter of 2019, gross profit increased $224 thousand, or 4%, despite a sales decrease of 6% for the first quarter in 2019 compared to the first quarter of 2018. Our gross margin increased 480 basis points, increasing to 52.7% for the first quarter of 2019 compared to 47.9% for the first quarter of 2018. The increased gross margin reflects a favorable shift in sales mix towards higher-value, technology driven solutions, as well as lower sales of POS printers, which carry lower margins than our other products.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information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2019 and 2018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w w:val="99"/>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1,165</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1,221</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w:t>
            </w: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Engineering, design and product development expenses primarily includes salary and payroll related expenses for our hardware and software engineering staff, depreciation and design expenses (including prototype printer expenses, outside design, development and testing services, supplies and contract software development expenses). Such expenses decreased $56 thousand, or 5%, for the first quarter of 2019 compared to the first quarter of 2018, primarily due to lower expenses related to product development for the restaurant solutions and casino and gaming markets. We expect engineering, design and product development expenses in 2019 to be consistent with 2018.</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information for the three months ended March 31, 2019 and 2018 is summarized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1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w w:val="99"/>
              </w:rPr>
              <w:t>2018</w:t>
            </w:r>
          </w:p>
        </w:tc>
        <w:tc>
          <w:tcPr>
            <w:tcW w:w="36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1,854</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1,573</w:t>
            </w:r>
          </w:p>
        </w:tc>
        <w:tc>
          <w:tcPr>
            <w:tcW w:w="36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w:t>
            </w: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$281 thousand, or 18%, for the first quarter of 2019 compared to the first quarter of 2018 primarily due to higher compensation expenses related to the hiring of additional outside and technical sales staff during the latter part of 2018 and first quarter of 2019. We expect selling and marketing expense to increase significantly in 2019 compared to 2018 due to the full-year impact of hiring additional sales staff during 2018, as well as investments to support our new suite of BOHA! software and hardware solutions.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for the three months ended March 31, 2019 and 2018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1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w w:val="99"/>
              </w:rPr>
              <w:t>2018</w:t>
            </w:r>
          </w:p>
        </w:tc>
        <w:tc>
          <w:tcPr>
            <w:tcW w:w="36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2,290</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2,212</w:t>
            </w:r>
          </w:p>
        </w:tc>
        <w:tc>
          <w:tcPr>
            <w:tcW w:w="36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w:t>
            </w:r>
          </w:p>
        </w:tc>
      </w:tr>
    </w:tbl>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General and administrative expenses primarily include salaries, incentive compensation, and other payroll related expenses for our executive, accounting, human resources and information technology staff, expenses for our corporate headquarters, professional and legal expenses, telecommunication expenses, and other expenses related to being a publicly-traded company. General and administrative expenses increased $78 thousand, or 4%, for the first quarter of 2019 compared to the first quarter of 2018 due primarily to higher professional and legal expenses. These increases were partially offset by lower recruiting expense and severance expense incurred during the first quarter of 2019 compared to the first quarter of 2018. We expect general and administrative expense to be higher in 2019 compared to 2018 due to higher incentive compensation and additional investment to support restaurant solutions.</w:t>
      </w:r>
    </w:p>
    <w:p>
      <w:pPr>
        <w:spacing w:after="0" w:line="14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three months ended March 31, 2019 and 2018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w w:val="99"/>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7.0%</w:t>
            </w:r>
          </w:p>
        </w:tc>
      </w:tr>
    </w:tbl>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income decreased $79 thousand, or 9%, and our operating margin decreased slightly by 30 basis points for the first quarter of 2019 compared to the first quarter of 2018. The decrease in both operating profit and operating margin were primarily due to a 6% increase in operating expenses, partially offset by a 480 basis point increase in gross margin, for the first quarter of 2019 compared to the first quarter of 2018.</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$6 thousand for the first quarter of 2019 compared to $8 thousand for the first quarter of 2018. We do not expect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changes in net interest expense for the full year 2019.</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income of $90 thousand for the first quarter of 2019 compared to $10 thousand for the first quarter of 2018.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income was due to higher foreign currency exchange gains recorded by our U.K. subsidiary for the first quarter of 2019 compared to the first quarter of 2018. Going forward, we may continue to experience more foreign exchange gains or losses depending on the level of sales to Europe through our U.K. subsidiary and the change in exchange rates of the Euro and Pound Sterling against the U.S. dollar.</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quarter of 2019 of $115 thousand at an effective tax rate of 13.4%, compared to an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 during the first quarter of 2018 of $178 thousand at an effective tax rate of 20.7%. The effective tax rate for the first quarter of 2019 was lower as it included the foreign-derived intangible income (“FDII”) deduction under the Tax Cuts and Jobs Act (the “Tax Reform Act”). The FDII deduction was not included in the effective tax rate for the first quarter of 2018 as the interpretive guidance for the deduction was not yet released. We expect our effective tax rate to be between 13% and 14% for the full year 2019.</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line="26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for the first quarter of 2019 of $746 thousand, or $0.10 per diluted share, compared to $680 thousand, or $0.09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quarter of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first three months of 2019, our cash and cash equivalents balance decreased $2.7 million, or 59%, from December 31, 2018. We ended the first quarter of 2019 with $1.9 million in cash and cash equivalents, of which $0.5 million was held by our U.K. subsidiary, and no debt outstanding.</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used in operating activities of $1.6 million for the first three months of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cash provided by operating activities of $1.9 million for the first three months of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2019:</w:t>
      </w:r>
    </w:p>
    <w:p>
      <w:pPr>
        <w:spacing w:after="0" w:line="1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$0.7 million.</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and amortization of $0.3 million, and share-based compensation expense of $0.2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decreased $1.2 million, or 15%, due to the collection of receivables for 2018 sales.</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increased $1.5 million, or 12%, due to the buildup of inventory on hand to support future anticipated sales of BOHA! hardware product for the restaurant solutions market.</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income taxes decreased $0.1 million during the first quarter of 2019.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current and long term assets increased $0.4 million, or 65%, due primarily to an advanced payment of royalty fees.</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decreased $1.3 million, or 36%, due primarily to inventory purchases made towards the end of the fourth quarter of 2018 that were subsequently paid in the first quarter of 2019.</w:t>
      </w: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$1 million, or 27%, due primarily to the payment of 2018 annual bonuses in March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2018:</w:t>
      </w:r>
    </w:p>
    <w:p>
      <w:pPr>
        <w:spacing w:after="0" w:line="1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$0.7 million.</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and amortization of $0.2 million, and share-based compensation expense of $0.2 million.</w:t>
      </w:r>
    </w:p>
    <w:p>
      <w:pPr>
        <w:spacing w:after="0" w:line="9" w:lineRule="exact"/>
        <w:rPr>
          <w:rFonts w:ascii="Arial" w:cs="Arial" w:eastAsia="Arial" w:hAnsi="Arial"/>
          <w:sz w:val="18"/>
          <w:szCs w:val="18"/>
          <w:color w:val="auto"/>
        </w:rPr>
      </w:pPr>
    </w:p>
    <w:p>
      <w:pPr>
        <w:ind w:left="980" w:right="94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decreased $2.3 million, or 21%, due to the collection of past due receivables for 2017 sales made to our former international casino and gaming distributor.</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Prepaid income taxes decreased $0.2 million during the first quarter of 2018.</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decreased $0.7 million, or 19%, due primarily to higher inventory purchases made towards the end of the fourth quarter of 2017 compared to the first quarter of 2018 that were subsequently paid in the first quarter of 2018.</w:t>
      </w: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$0.9 million, or 21%, due primarily to the payment of 2017 annual bonuses in March 2018.</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including capitalized software were $0.3 million for the first three months of both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Expenditures in 2019 were primarily for new product tooling equipment and, to a lesser extent, computer and networking equipment and leasehold improvements at our Ithaca facility. Expenditures for the first three months of 2018 were primarily for computer and networking equipment and furniture and fixtures purchases related to investments made in our U.K. facility to support the build-out of our internal sales infrastructure to sell directly to slot machine manufacturers and end user casino and gaming customers. To a lesser extent, expenditures in 2018 included computer and networking equipment for our U.S. operations.</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Capital expenditures and capitalized software development costs for 2019 are expected to be approximately $1.3 million, primarily for software development for our new restaurant solutions BOHA! products, new product tooling, new computer software and equipment purchases.</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$0.9 million of cash from financing activities during the first three months of 2019 to pay dividends of $0.7 million and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the relinquishment of shares to pay for withholding taxes on stock issued from our stock compensation plan. During the first three months of 2018, we used $2.4 million of cash from financing activities to purchase $1.6 million of common stock for treasury, to pay dividends of $0.7 million to common shareholders and $0.2 million related to the relinquishment of shares to pay for withholding taxes on stock issued from our stock compensation plan, partially offset by proceeds from stock option exercises of $0.1 million.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We maintain a credit facility (the "TD Bank Credit Facility") with TD Bank N.A. (“TD Bank”), which provides for a $20 million revolving credit line. On November 21, 2017, we signed an amendment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6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March 31, 2019. The following table lists the financial covenants and the performance measurements at March 31,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40" w:type="dxa"/>
            <w:vAlign w:val="bottom"/>
          </w:tcPr>
          <w:p>
            <w:pPr>
              <w:jc w:val="center"/>
              <w:ind w:right="190"/>
              <w:spacing w:after="0"/>
              <w:rPr>
                <w:sz w:val="20"/>
                <w:szCs w:val="20"/>
                <w:color w:val="auto"/>
              </w:rPr>
            </w:pPr>
            <w:r>
              <w:rPr>
                <w:rFonts w:ascii="Arial" w:cs="Arial" w:eastAsia="Arial" w:hAnsi="Arial"/>
                <w:sz w:val="18"/>
                <w:szCs w:val="18"/>
                <w:color w:val="auto"/>
                <w:w w:val="90"/>
              </w:rPr>
              <w:t>Financial Covenant</w:t>
            </w:r>
          </w:p>
        </w:tc>
        <w:tc>
          <w:tcPr>
            <w:tcW w:w="4060" w:type="dxa"/>
            <w:vAlign w:val="bottom"/>
          </w:tcPr>
          <w:p>
            <w:pPr>
              <w:jc w:val="center"/>
              <w:ind w:right="190"/>
              <w:spacing w:after="0"/>
              <w:rPr>
                <w:sz w:val="20"/>
                <w:szCs w:val="20"/>
                <w:color w:val="auto"/>
              </w:rPr>
            </w:pPr>
            <w:r>
              <w:rPr>
                <w:rFonts w:ascii="Arial" w:cs="Arial" w:eastAsia="Arial" w:hAnsi="Arial"/>
                <w:sz w:val="18"/>
                <w:szCs w:val="18"/>
                <w:color w:val="auto"/>
                <w:w w:val="92"/>
              </w:rPr>
              <w:t>Requirement/Restriction</w:t>
            </w:r>
          </w:p>
        </w:tc>
        <w:tc>
          <w:tcPr>
            <w:tcW w:w="120" w:type="dxa"/>
            <w:vAlign w:val="bottom"/>
          </w:tcPr>
          <w:p>
            <w:pPr>
              <w:spacing w:after="0"/>
              <w:rPr>
                <w:sz w:val="19"/>
                <w:szCs w:val="19"/>
                <w:color w:val="auto"/>
              </w:rPr>
            </w:pP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Calculation at March 31, 2019</w:t>
            </w:r>
          </w:p>
        </w:tc>
      </w:tr>
      <w:tr>
        <w:trPr>
          <w:trHeight w:val="203"/>
        </w:trPr>
        <w:tc>
          <w:tcPr>
            <w:tcW w:w="4640" w:type="dxa"/>
            <w:vAlign w:val="bottom"/>
            <w:tcBorders>
              <w:top w:val="single" w:sz="8" w:color="auto"/>
            </w:tcBorders>
            <w:shd w:val="clear" w:color="auto" w:fill="CCEEFF"/>
          </w:tcPr>
          <w:p>
            <w:pPr>
              <w:jc w:val="center"/>
              <w:ind w:right="190"/>
              <w:spacing w:after="0" w:line="202" w:lineRule="exact"/>
              <w:rPr>
                <w:sz w:val="20"/>
                <w:szCs w:val="20"/>
                <w:color w:val="auto"/>
              </w:rPr>
            </w:pPr>
            <w:r>
              <w:rPr>
                <w:rFonts w:ascii="Arial" w:cs="Arial" w:eastAsia="Arial" w:hAnsi="Arial"/>
                <w:sz w:val="18"/>
                <w:szCs w:val="18"/>
                <w:color w:val="auto"/>
                <w:w w:val="91"/>
              </w:rPr>
              <w:t>Operating cash flow / Total debt service</w:t>
            </w:r>
          </w:p>
        </w:tc>
        <w:tc>
          <w:tcPr>
            <w:tcW w:w="4060" w:type="dxa"/>
            <w:vAlign w:val="bottom"/>
            <w:tcBorders>
              <w:top w:val="single" w:sz="8" w:color="auto"/>
            </w:tcBorders>
            <w:shd w:val="clear" w:color="auto" w:fill="CCEEFF"/>
          </w:tcPr>
          <w:p>
            <w:pPr>
              <w:jc w:val="center"/>
              <w:ind w:right="190"/>
              <w:spacing w:after="0" w:line="202" w:lineRule="exact"/>
              <w:rPr>
                <w:sz w:val="20"/>
                <w:szCs w:val="20"/>
                <w:color w:val="auto"/>
              </w:rPr>
            </w:pPr>
            <w:r>
              <w:rPr>
                <w:rFonts w:ascii="Arial" w:cs="Arial" w:eastAsia="Arial" w:hAnsi="Arial"/>
                <w:sz w:val="18"/>
                <w:szCs w:val="18"/>
                <w:color w:val="auto"/>
                <w:w w:val="93"/>
              </w:rPr>
              <w:t>Minimum of 1.25 times</w:t>
            </w:r>
          </w:p>
        </w:tc>
        <w:tc>
          <w:tcPr>
            <w:tcW w:w="120" w:type="dxa"/>
            <w:vAlign w:val="bottom"/>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7"/>
                <w:szCs w:val="17"/>
                <w:color w:val="auto"/>
              </w:rPr>
            </w:pPr>
          </w:p>
        </w:tc>
      </w:tr>
      <w:tr>
        <w:trPr>
          <w:trHeight w:val="230"/>
        </w:trPr>
        <w:tc>
          <w:tcPr>
            <w:tcW w:w="4640" w:type="dxa"/>
            <w:vAlign w:val="bottom"/>
          </w:tcPr>
          <w:p>
            <w:pPr>
              <w:jc w:val="center"/>
              <w:ind w:right="190"/>
              <w:spacing w:after="0"/>
              <w:rPr>
                <w:sz w:val="20"/>
                <w:szCs w:val="20"/>
                <w:color w:val="auto"/>
              </w:rPr>
            </w:pPr>
            <w:r>
              <w:rPr>
                <w:rFonts w:ascii="Arial" w:cs="Arial" w:eastAsia="Arial" w:hAnsi="Arial"/>
                <w:sz w:val="18"/>
                <w:szCs w:val="18"/>
                <w:color w:val="auto"/>
                <w:w w:val="93"/>
              </w:rPr>
              <w:t>Funded Debt / EBITDA</w:t>
            </w:r>
          </w:p>
        </w:tc>
        <w:tc>
          <w:tcPr>
            <w:tcW w:w="4060" w:type="dxa"/>
            <w:vAlign w:val="bottom"/>
          </w:tcPr>
          <w:p>
            <w:pPr>
              <w:jc w:val="center"/>
              <w:ind w:right="190"/>
              <w:spacing w:after="0"/>
              <w:rPr>
                <w:sz w:val="20"/>
                <w:szCs w:val="20"/>
                <w:color w:val="auto"/>
              </w:rPr>
            </w:pPr>
            <w:r>
              <w:rPr>
                <w:rFonts w:ascii="Arial" w:cs="Arial" w:eastAsia="Arial" w:hAnsi="Arial"/>
                <w:sz w:val="18"/>
                <w:szCs w:val="18"/>
                <w:color w:val="auto"/>
                <w:w w:val="94"/>
              </w:rPr>
              <w:t>Maximum of 3.0 times</w:t>
            </w:r>
          </w:p>
        </w:tc>
        <w:tc>
          <w:tcPr>
            <w:tcW w:w="27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borrowings available under the TD Bank Credit facility were $20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$0.7 million or $0.09 per share in the first quarter of both 2019 and 2018. On April 30, 2019 our Board of Directors approved the second quarter 2019 dividend in the amount of $0.09 per share payable on or about June 14, 2019 to common shareholders of record at the close of business on May 20, 2019. We expect to pay approximately $2.7 million in cash dividends to our common shareholders during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March 1, 2018, our Board of Directors approved a new stock repurchase program (the “2018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the repurchase program prior to such time. We use the cost method to account for treasury stock purchases, under which the price paid for the stock is charged to the treasury stock account. Repurchases of our common stock are accounted for as of the settlement date. During the three months ended March 31, 2019, we repurchased no shares of our common stock. During the three months ended March 31, 2018, we repurchased 122,780 shares of our common stock for approximately $1.6 million at an average price per share of $12.72.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additions to capitalized software, and dividend payments, and meet our liquidity requirements through at least the next twelve months.</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Contractual Obligations / Off-Balance Sheet Arrangements</w:t>
      </w:r>
      <w:r>
        <w:rPr>
          <w:rFonts w:ascii="Arial" w:cs="Arial" w:eastAsia="Arial" w:hAnsi="Arial"/>
          <w:sz w:val="18"/>
          <w:szCs w:val="18"/>
          <w:color w:val="auto"/>
        </w:rPr>
        <w:t>The disclosure of payments we have committed to make under our contractual obligations is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under Part II, Item 7, “Management's Discussion and Analysis of Financial Condition and Results of Operations—Contractual Obligations” of our Annual Report on Form 10-K for the year ended December 31, 2018. There have been no material changes in our contractual obligations outside the ordinary course of business since December 31,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off-balance sheet arrangements as defined in Item 303(a)(4)(ii) of Regulation S-K.</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disclosure of our exposure to market risk is set forth under Part II, Item 7A, “Quantitative and Qualitative Disclosures about Market Risk”, of our Annual Report on Form 10-K for the year ended December 31, 2018. There has been no material change in our exposure to market risk during the three months ended March 31, 2019.</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March 31, 2019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may, in the ordinary course of business, become a party to litigation involving collection matters, contract claims and other legal proceedings relating to the conduct of its business. As of March 31, 2019, we are unaware of any legal proceedings pending or threatened against the Company that management believes are likely to have a material adverse effect on our business, financial condition or results of operations.</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Information regarding risk factors appears under Part I, Item 1A, “Risk Factors,” of our Annual Report on Form 10-K for the year ended December 31, 2018. There have been no material changes from the risk factors previously disclosed in that Annual Report on Form 10-K. The risks factors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March 1, 2018, our Board of Directors approved the 2018 Stock Repurchase Program. Under the 2018 Stock Repurchase Program, we are authorized to repurchase up to $5 million of our outstanding shares of common stock from time to time in the open market through December 31, 2019 at prevailing market prices based on market conditions, share price and other factors. During the three months ended March 31, 2019, we purchased no shares of our common stock. As of March 31, 2019, $3 million remains authorized for future repurchase under the 2018 Stock Repurchase Program. The following table summarizes the repurchase of our common stock in the three months ended March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7"/>
                <w:szCs w:val="17"/>
                <w:color w:val="auto"/>
              </w:rPr>
            </w:pPr>
          </w:p>
        </w:tc>
        <w:tc>
          <w:tcPr>
            <w:tcW w:w="12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Dollar Value of</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85"/>
              </w:rPr>
              <w:t>Purchased as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86"/>
              </w:rPr>
              <w:t>Shares that</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4"/>
              </w:rPr>
              <w:t>Part of Publicly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2"/>
              </w:rPr>
              <w:t>May Yet Be</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89"/>
              </w:rPr>
              <w:t>Announced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85"/>
              </w:rPr>
              <w:t>Purchased</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7"/>
                <w:szCs w:val="17"/>
                <w:color w:val="auto"/>
              </w:rPr>
            </w:pPr>
          </w:p>
        </w:tc>
        <w:tc>
          <w:tcPr>
            <w:tcW w:w="13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Average Price</w:t>
            </w:r>
          </w:p>
        </w:tc>
        <w:tc>
          <w:tcPr>
            <w:tcW w:w="12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7"/>
                <w:szCs w:val="17"/>
                <w:color w:val="auto"/>
              </w:rPr>
            </w:pPr>
          </w:p>
        </w:tc>
        <w:tc>
          <w:tcPr>
            <w:tcW w:w="1240" w:type="dxa"/>
            <w:vAlign w:val="bottom"/>
            <w:gridSpan w:val="3"/>
          </w:tcPr>
          <w:p>
            <w:pPr>
              <w:spacing w:after="0" w:line="202" w:lineRule="exact"/>
              <w:rPr>
                <w:sz w:val="20"/>
                <w:szCs w:val="20"/>
                <w:color w:val="auto"/>
              </w:rPr>
            </w:pPr>
            <w:r>
              <w:rPr>
                <w:rFonts w:ascii="Arial" w:cs="Arial" w:eastAsia="Arial" w:hAnsi="Arial"/>
                <w:sz w:val="18"/>
                <w:szCs w:val="18"/>
                <w:color w:val="auto"/>
                <w:w w:val="96"/>
              </w:rPr>
              <w:t>under the Plans</w:t>
            </w:r>
          </w:p>
        </w:tc>
      </w:tr>
      <w:tr>
        <w:trPr>
          <w:trHeight w:val="224"/>
        </w:trPr>
        <w:tc>
          <w:tcPr>
            <w:tcW w:w="60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or Programs</w:t>
            </w: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1, 2019 – January 31, 2019</w:t>
            </w:r>
          </w:p>
        </w:tc>
        <w:tc>
          <w:tcPr>
            <w:tcW w:w="1160" w:type="dxa"/>
            <w:vAlign w:val="bottom"/>
            <w:tcBorders>
              <w:top w:val="single" w:sz="8" w:color="auto"/>
            </w:tcBorders>
            <w:shd w:val="clear" w:color="auto" w:fill="CCEEFF"/>
          </w:tcPr>
          <w:p>
            <w:pPr>
              <w:ind w:left="1060"/>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February 1, 2019 – February 28, 2019</w:t>
            </w:r>
          </w:p>
        </w:tc>
        <w:tc>
          <w:tcPr>
            <w:tcW w:w="1280" w:type="dxa"/>
            <w:vAlign w:val="bottom"/>
            <w:gridSpan w:val="2"/>
          </w:tcPr>
          <w:p>
            <w:pPr>
              <w:ind w:left="10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106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3,000,000</w:t>
            </w: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March 1, 2019 – March 31, 2019</w:t>
            </w:r>
          </w:p>
        </w:tc>
        <w:tc>
          <w:tcPr>
            <w:tcW w:w="1280" w:type="dxa"/>
            <w:vAlign w:val="bottom"/>
            <w:tcBorders>
              <w:bottom w:val="single" w:sz="8" w:color="auto"/>
            </w:tcBorders>
            <w:gridSpan w:val="2"/>
            <w:shd w:val="clear" w:color="auto" w:fill="CCEEFF"/>
          </w:tcPr>
          <w:p>
            <w:pPr>
              <w:ind w:left="106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CEEFF"/>
          </w:tcPr>
          <w:p>
            <w:pPr>
              <w:ind w:left="106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3,000,000</w:t>
            </w: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gridSpan w:val="2"/>
          </w:tcPr>
          <w:p>
            <w:pPr>
              <w:ind w:left="106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95"/>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ind w:left="10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Exhibit 31.1</w:t>
              </w:r>
            </w:hyperlink>
          </w:p>
        </w:tc>
        <w:tc>
          <w:tcPr>
            <w:tcW w:w="910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183"/>
        </w:trPr>
        <w:tc>
          <w:tcPr>
            <w:tcW w:w="920" w:type="dxa"/>
            <w:vAlign w:val="bottom"/>
            <w:tcBorders>
              <w:bottom w:val="single" w:sz="8" w:color="0000EE"/>
            </w:tcBorders>
            <w:gridSpan w:val="2"/>
          </w:tcPr>
          <w:p>
            <w:pPr>
              <w:spacing w:after="0" w:line="182"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Exhibit 31.2</w:t>
              </w:r>
            </w:hyperlink>
          </w:p>
        </w:tc>
        <w:tc>
          <w:tcPr>
            <w:tcW w:w="9100" w:type="dxa"/>
            <w:vAlign w:val="bottom"/>
          </w:tcPr>
          <w:p>
            <w:pPr>
              <w:ind w:left="460"/>
              <w:spacing w:after="0" w:line="182" w:lineRule="exact"/>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183"/>
        </w:trPr>
        <w:tc>
          <w:tcPr>
            <w:tcW w:w="920" w:type="dxa"/>
            <w:vAlign w:val="bottom"/>
            <w:gridSpan w:val="2"/>
          </w:tcPr>
          <w:p>
            <w:pPr>
              <w:spacing w:after="0" w:line="182"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Exhibit 32.1</w:t>
              </w:r>
            </w:hyperlink>
          </w:p>
        </w:tc>
        <w:tc>
          <w:tcPr>
            <w:tcW w:w="9100" w:type="dxa"/>
            <w:vAlign w:val="bottom"/>
          </w:tcPr>
          <w:p>
            <w:pPr>
              <w:ind w:left="460"/>
              <w:spacing w:after="0" w:line="182" w:lineRule="exact"/>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195"/>
        </w:trPr>
        <w:tc>
          <w:tcPr>
            <w:tcW w:w="900" w:type="dxa"/>
            <w:vAlign w:val="bottom"/>
            <w:tcBorders>
              <w:top w:val="single" w:sz="8" w:color="0000EE"/>
            </w:tcBorders>
          </w:tcPr>
          <w:p>
            <w:pPr>
              <w:spacing w:after="0" w:line="195"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6"/>
                <w:szCs w:val="16"/>
                <w:color w:val="auto"/>
              </w:rPr>
            </w:pPr>
          </w:p>
        </w:tc>
        <w:tc>
          <w:tcPr>
            <w:tcW w:w="9100" w:type="dxa"/>
            <w:vAlign w:val="bottom"/>
          </w:tcPr>
          <w:p>
            <w:pPr>
              <w:ind w:left="460"/>
              <w:spacing w:after="0" w:line="195" w:lineRule="exact"/>
              <w:rPr>
                <w:sz w:val="20"/>
                <w:szCs w:val="20"/>
                <w:color w:val="auto"/>
              </w:rPr>
            </w:pPr>
            <w:r>
              <w:rPr>
                <w:rFonts w:ascii="Arial" w:cs="Arial" w:eastAsia="Arial" w:hAnsi="Arial"/>
                <w:sz w:val="18"/>
                <w:szCs w:val="18"/>
                <w:color w:val="auto"/>
              </w:rPr>
              <w:t>XBRL Instance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91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91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Calculation Linkbase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91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Definition Linkbase Document.</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9100" w:type="dxa"/>
            <w:vAlign w:val="bottom"/>
          </w:tcPr>
          <w:p>
            <w:pPr>
              <w:ind w:left="460"/>
              <w:spacing w:after="0" w:line="202" w:lineRule="exact"/>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100" w:type="dxa"/>
            <w:vAlign w:val="bottom"/>
          </w:tcPr>
          <w:p>
            <w:pPr>
              <w:ind w:left="4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Dated: May 10,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Dated: May 10, 2019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TRANSACT TECHNOLOGIES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6350</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(Registrant)</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6350</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President, Chief Financial Officer, Treasurer and Secretary</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(Principal Financial Officer)</w:t>
      </w:r>
    </w:p>
    <w:p>
      <w:pPr>
        <w:spacing w:after="0" w:line="3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David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6350</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David B. Peters</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Vice President and Chief Accounting Officer</w:t>
      </w:r>
    </w:p>
    <w:p>
      <w:pPr>
        <w:ind w:left="300"/>
        <w:spacing w:after="0"/>
        <w:rPr>
          <w:sz w:val="20"/>
          <w:szCs w:val="20"/>
          <w:color w:val="auto"/>
        </w:rPr>
      </w:pPr>
      <w:r>
        <w:rPr>
          <w:rFonts w:ascii="Arial" w:cs="Arial" w:eastAsia="Arial" w:hAnsi="Arial"/>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ectPr>
          <w:pgSz w:w="11900" w:h="16838" w:orient="portrait"/>
          <w:cols w:equalWidth="0" w:num="2">
            <w:col w:w="4920" w:space="720"/>
            <w:col w:w="5780"/>
          </w:cols>
          <w:pgMar w:left="240" w:top="121" w:right="239" w:bottom="1440" w:gutter="0" w:footer="0" w:header="0"/>
          <w:type w:val="continuous"/>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May 10,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340"/>
          </w:cols>
          <w:pgMar w:left="240" w:top="121" w:right="31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531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340"/>
          </w:cols>
          <w:pgMar w:left="240" w:top="121" w:right="31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March 31, 2019,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93"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36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36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300"/>
      </w:cols>
      <w:pgMar w:left="24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2019-12-28T12:12:50Z</dcterms:created>
  <dcterms:modified xsi:type="dcterms:W3CDTF">2019-12-28T12:12:50Z</dcterms:modified>
</cp:coreProperties>
</file>