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52" w:lineRule="exact"/>
        <w:rPr>
          <w:sz w:val="24"/>
          <w:szCs w:val="24"/>
          <w:color w:val="auto"/>
        </w:rPr>
      </w:pPr>
    </w:p>
    <w:p>
      <w:pPr>
        <w:ind w:left="660"/>
        <w:spacing w:after="0"/>
        <w:tabs>
          <w:tab w:leader="none" w:pos="390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4"/>
          </w:tcPr>
          <w:p>
            <w:pPr>
              <w:jc w:val="right"/>
              <w:ind w:right="225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460" w:type="dxa"/>
            <w:vAlign w:val="bottom"/>
            <w:tcBorders>
              <w:top w:val="single" w:sz="8" w:color="auto"/>
            </w:tcBorders>
          </w:tcPr>
          <w:p>
            <w:pPr>
              <w:jc w:val="right"/>
              <w:ind w:right="1370"/>
              <w:spacing w:after="0"/>
              <w:rPr>
                <w:sz w:val="20"/>
                <w:szCs w:val="20"/>
                <w:color w:val="auto"/>
              </w:rPr>
            </w:pPr>
            <w:r>
              <w:rPr>
                <w:rFonts w:ascii="Arial" w:cs="Arial" w:eastAsia="Arial" w:hAnsi="Arial"/>
                <w:sz w:val="18"/>
                <w:szCs w:val="18"/>
                <w:color w:val="auto"/>
              </w:rPr>
              <w:t>(I.R.S. Employer Identification No.)</w:t>
            </w:r>
          </w:p>
        </w:tc>
      </w:tr>
      <w:tr>
        <w:trPr>
          <w:trHeight w:val="452"/>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880" w:type="dxa"/>
            <w:vAlign w:val="bottom"/>
            <w:gridSpan w:val="4"/>
          </w:tcPr>
          <w:p>
            <w:pPr>
              <w:jc w:val="right"/>
              <w:ind w:right="2410"/>
              <w:spacing w:after="0"/>
              <w:rPr>
                <w:sz w:val="20"/>
                <w:szCs w:val="20"/>
                <w:color w:val="auto"/>
              </w:rPr>
            </w:pPr>
            <w:r>
              <w:rPr>
                <w:rFonts w:ascii="Arial" w:cs="Arial" w:eastAsia="Arial" w:hAnsi="Arial"/>
                <w:sz w:val="18"/>
                <w:szCs w:val="18"/>
                <w:b w:val="1"/>
                <w:bCs w:val="1"/>
                <w:color w:val="auto"/>
              </w:rPr>
              <w:t>06518</w:t>
            </w:r>
          </w:p>
        </w:tc>
      </w:tr>
      <w:tr>
        <w:trPr>
          <w:trHeight w:val="23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6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693" w:right="239" w:bottom="1440" w:gutter="0" w:footer="0" w:header="0"/>
        </w:sectPr>
      </w:pPr>
    </w:p>
    <w:p>
      <w:pPr>
        <w:spacing w:after="0" w:line="216" w:lineRule="exact"/>
        <w:rPr>
          <w:sz w:val="20"/>
          <w:szCs w:val="20"/>
          <w:color w:val="auto"/>
        </w:rPr>
      </w:pPr>
      <w:r>
        <w:rPr>
          <w:rFonts w:ascii="Arial" w:cs="Arial" w:eastAsia="Arial" w:hAnsi="Arial"/>
          <w:sz w:val="18"/>
          <w:szCs w:val="18"/>
          <w:color w:val="auto"/>
        </w:rPr>
        <w:t xml:space="preserve">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(Do not check if a smaller reporting company)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65" w:lineRule="exact"/>
        <w:rPr>
          <w:sz w:val="24"/>
          <w:szCs w:val="24"/>
          <w:color w:val="auto"/>
        </w:rPr>
      </w:pPr>
    </w:p>
    <w:p>
      <w:pPr>
        <w:sectPr>
          <w:pgSz w:w="11900" w:h="16838" w:orient="portrait"/>
          <w:cols w:equalWidth="0" w:num="2">
            <w:col w:w="8500" w:space="100"/>
            <w:col w:w="2820"/>
          </w:cols>
          <w:pgMar w:left="240" w:top="693"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9" w:lineRule="exact"/>
        <w:rPr>
          <w:sz w:val="24"/>
          <w:szCs w:val="24"/>
          <w:color w:val="auto"/>
        </w:rPr>
      </w:pPr>
    </w:p>
    <w:p>
      <w:pPr>
        <w:sectPr>
          <w:pgSz w:w="11900" w:h="16838" w:orient="portrait"/>
          <w:cols w:equalWidth="0" w:num="3">
            <w:col w:w="8500" w:space="120"/>
            <w:col w:w="460" w:space="120"/>
            <w:col w:w="2220"/>
          </w:cols>
          <w:pgMar w:left="240" w:top="693"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As of April 30, 2014, the number of shares outstanding of the Company’s common stock, $0.01 par value, was 8,329,255.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481965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rPr>
              <w:t>TRANSACT TECHNOLOGIES INCORPORATED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5"/>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8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Borders>
              <w:top w:val="single" w:sz="8" w:color="auto"/>
            </w:tcBorders>
            <w:gridSpan w:val="2"/>
          </w:tcPr>
          <w:p>
            <w:pPr>
              <w:spacing w:after="0"/>
              <w:rPr>
                <w:sz w:val="24"/>
                <w:szCs w:val="24"/>
                <w:color w:val="auto"/>
              </w:rPr>
            </w:pPr>
          </w:p>
        </w:tc>
        <w:tc>
          <w:tcPr>
            <w:tcW w:w="458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80" w:type="dxa"/>
            <w:vAlign w:val="bottom"/>
          </w:tcPr>
          <w:p>
            <w:pPr>
              <w:spacing w:after="0"/>
              <w:rPr>
                <w:sz w:val="2"/>
                <w:szCs w:val="2"/>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380" w:type="dxa"/>
            <w:vAlign w:val="bottom"/>
            <w:gridSpan w:val="10"/>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20" w:type="dxa"/>
            <w:vAlign w:val="bottom"/>
            <w:gridSpan w:val="12"/>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380" w:type="dxa"/>
            <w:vAlign w:val="bottom"/>
            <w:tcBorders>
              <w:bottom w:val="single" w:sz="8" w:color="0000EE"/>
            </w:tcBorders>
            <w:gridSpan w:val="10"/>
            <w:vMerge w:val="continue"/>
          </w:tcPr>
          <w:p>
            <w:pPr>
              <w:spacing w:after="0"/>
              <w:rPr>
                <w:sz w:val="24"/>
                <w:szCs w:val="24"/>
                <w:color w:val="auto"/>
              </w:rPr>
            </w:pPr>
          </w:p>
        </w:tc>
        <w:tc>
          <w:tcPr>
            <w:tcW w:w="7120" w:type="dxa"/>
            <w:vAlign w:val="bottom"/>
            <w:gridSpan w:val="12"/>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2014 and December 31, 2013</w:t>
              </w:r>
            </w:hyperlink>
          </w:p>
        </w:tc>
        <w:tc>
          <w:tcPr>
            <w:tcW w:w="322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for the three months ended March 31, 2014 and 2013</w:t>
              </w:r>
            </w:hyperlink>
          </w:p>
        </w:tc>
        <w:tc>
          <w:tcPr>
            <w:tcW w:w="222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March 31, 2014 and 2013</w:t>
              </w:r>
            </w:hyperlink>
          </w:p>
        </w:tc>
        <w:tc>
          <w:tcPr>
            <w:tcW w:w="10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March 31, 2014 and 2013</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580" w:type="dxa"/>
            <w:vAlign w:val="bottom"/>
            <w:tcBorders>
              <w:top w:val="single" w:sz="8" w:color="0000EE"/>
            </w:tcBorders>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92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Management's Discussion and Analysis of Financial Condition and Results of Operations</w:t>
              </w:r>
            </w:hyperlink>
          </w:p>
        </w:tc>
        <w:tc>
          <w:tcPr>
            <w:tcW w:w="306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Quantitative and Qualitative Disclosures About Market Risk</w:t>
              </w:r>
            </w:hyperlink>
          </w:p>
        </w:tc>
        <w:tc>
          <w:tcPr>
            <w:tcW w:w="514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2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4"/>
          </w:tcPr>
          <w:p>
            <w:pPr>
              <w:spacing w:after="0"/>
              <w:rPr>
                <w:sz w:val="24"/>
                <w:szCs w:val="24"/>
                <w:color w:val="auto"/>
              </w:rPr>
            </w:pPr>
          </w:p>
        </w:tc>
        <w:tc>
          <w:tcPr>
            <w:tcW w:w="818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2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24"/>
                <w:szCs w:val="24"/>
                <w:color w:val="auto"/>
              </w:rPr>
            </w:pPr>
          </w:p>
        </w:tc>
        <w:tc>
          <w:tcPr>
            <w:tcW w:w="516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774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Exhibits</w:t>
              </w:r>
            </w:hyperlink>
          </w:p>
        </w:tc>
        <w:tc>
          <w:tcPr>
            <w:tcW w:w="700" w:type="dxa"/>
            <w:vAlign w:val="bottom"/>
            <w:tcBorders>
              <w:top w:val="single" w:sz="8" w:color="0000EE"/>
            </w:tcBorders>
            <w:gridSpan w:val="4"/>
          </w:tcPr>
          <w:p>
            <w:pPr>
              <w:spacing w:after="0"/>
              <w:rPr>
                <w:sz w:val="24"/>
                <w:szCs w:val="24"/>
                <w:color w:val="auto"/>
              </w:rPr>
            </w:pPr>
          </w:p>
        </w:tc>
        <w:tc>
          <w:tcPr>
            <w:tcW w:w="82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SIGNATURES</w:t>
              </w:r>
            </w:hyperlink>
          </w:p>
        </w:tc>
        <w:tc>
          <w:tcPr>
            <w:tcW w:w="9300" w:type="dxa"/>
            <w:vAlign w:val="bottom"/>
            <w:gridSpan w:val="2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871"/>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20" w:type="dxa"/>
            <w:vAlign w:val="bottom"/>
            <w:gridSpan w:val="15"/>
          </w:tcPr>
          <w:p>
            <w:pPr>
              <w:jc w:val="center"/>
              <w:ind w:left="4250"/>
              <w:spacing w:after="0"/>
              <w:rPr>
                <w:sz w:val="20"/>
                <w:szCs w:val="20"/>
                <w:color w:val="auto"/>
              </w:rPr>
            </w:pPr>
            <w:r>
              <w:rPr>
                <w:rFonts w:ascii="Arial" w:cs="Arial" w:eastAsia="Arial" w:hAnsi="Arial"/>
                <w:sz w:val="18"/>
                <w:szCs w:val="18"/>
                <w:color w:val="auto"/>
                <w:w w:val="99"/>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4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40" w:type="dxa"/>
            <w:vAlign w:val="bottom"/>
          </w:tcPr>
          <w:p>
            <w:pPr>
              <w:jc w:val="center"/>
              <w:ind w:left="970"/>
              <w:spacing w:after="0"/>
              <w:rPr>
                <w:sz w:val="20"/>
                <w:szCs w:val="20"/>
                <w:color w:val="auto"/>
              </w:rPr>
            </w:pPr>
            <w:r>
              <w:rPr>
                <w:rFonts w:ascii="Arial" w:cs="Arial" w:eastAsia="Arial" w:hAnsi="Arial"/>
                <w:sz w:val="18"/>
                <w:szCs w:val="18"/>
                <w:b w:val="1"/>
                <w:bCs w:val="1"/>
                <w:color w:val="auto"/>
              </w:rPr>
              <w:t>TRANSACT TECHNOLOGIES INCORPORATED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40" w:type="dxa"/>
            <w:vAlign w:val="bottom"/>
          </w:tcPr>
          <w:p>
            <w:pPr>
              <w:jc w:val="center"/>
              <w:ind w:left="9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4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w w:val="96"/>
              </w:rPr>
              <w:t>March 31,</w:t>
            </w:r>
          </w:p>
        </w:tc>
        <w:tc>
          <w:tcPr>
            <w:tcW w:w="1160" w:type="dxa"/>
            <w:vAlign w:val="bottom"/>
            <w:gridSpan w:val="3"/>
          </w:tcPr>
          <w:p>
            <w:pPr>
              <w:ind w:left="6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7440" w:type="dxa"/>
            <w:vAlign w:val="bottom"/>
          </w:tcPr>
          <w:p>
            <w:pPr>
              <w:spacing w:after="0"/>
              <w:rPr>
                <w:sz w:val="17"/>
                <w:szCs w:val="17"/>
                <w:color w:val="auto"/>
              </w:rPr>
            </w:pPr>
          </w:p>
        </w:tc>
        <w:tc>
          <w:tcPr>
            <w:tcW w:w="1160" w:type="dxa"/>
            <w:vAlign w:val="bottom"/>
            <w:gridSpan w:val="2"/>
          </w:tcPr>
          <w:p>
            <w:pPr>
              <w:ind w:left="20"/>
              <w:spacing w:after="0" w:line="201" w:lineRule="exact"/>
              <w:rPr>
                <w:sz w:val="20"/>
                <w:szCs w:val="20"/>
                <w:color w:val="auto"/>
              </w:rPr>
            </w:pPr>
            <w:r>
              <w:rPr>
                <w:rFonts w:ascii="Arial" w:cs="Arial" w:eastAsia="Arial" w:hAnsi="Arial"/>
                <w:sz w:val="18"/>
                <w:szCs w:val="18"/>
                <w:i w:val="1"/>
                <w:iCs w:val="1"/>
                <w:color w:val="auto"/>
                <w:w w:val="98"/>
              </w:rPr>
              <w:t>(In thousands,</w:t>
            </w:r>
          </w:p>
        </w:tc>
        <w:tc>
          <w:tcPr>
            <w:tcW w:w="1360" w:type="dxa"/>
            <w:vAlign w:val="bottom"/>
            <w:gridSpan w:val="3"/>
          </w:tcPr>
          <w:p>
            <w:pPr>
              <w:jc w:val="right"/>
              <w:ind w:right="10"/>
              <w:spacing w:after="0" w:line="201" w:lineRule="exact"/>
              <w:rPr>
                <w:sz w:val="20"/>
                <w:szCs w:val="20"/>
                <w:color w:val="auto"/>
              </w:rPr>
            </w:pPr>
            <w:r>
              <w:rPr>
                <w:rFonts w:ascii="Arial" w:cs="Arial" w:eastAsia="Arial" w:hAnsi="Arial"/>
                <w:sz w:val="18"/>
                <w:szCs w:val="18"/>
                <w:i w:val="1"/>
                <w:iCs w:val="1"/>
                <w:color w:val="auto"/>
                <w:w w:val="83"/>
              </w:rPr>
              <w:t>except share data)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12,905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7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13,550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80"/>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192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702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32,209</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7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7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Goodwill</w:t>
            </w:r>
          </w:p>
        </w:tc>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0"/>
              </w:rPr>
              <w:t>Deferred tax assets</w:t>
            </w:r>
          </w:p>
        </w:tc>
        <w:tc>
          <w:tcPr>
            <w:tcW w:w="7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920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$1,940 and $1,811, respectively</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74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440" w:type="dxa"/>
            <w:vAlign w:val="bottom"/>
            <w:shd w:val="clear" w:color="auto" w:fill="CCEEFF"/>
          </w:tcPr>
          <w:p>
            <w:pPr>
              <w:spacing w:after="0"/>
              <w:rPr>
                <w:sz w:val="22"/>
                <w:szCs w:val="22"/>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40,330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8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Current liabilities:</w:t>
            </w:r>
          </w:p>
        </w:tc>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8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80"/>
              <w:spacing w:after="0"/>
              <w:rPr>
                <w:sz w:val="20"/>
                <w:szCs w:val="20"/>
                <w:color w:val="auto"/>
              </w:rPr>
            </w:pPr>
            <w:r>
              <w:rPr>
                <w:rFonts w:ascii="Arial" w:cs="Arial" w:eastAsia="Arial" w:hAnsi="Arial"/>
                <w:sz w:val="18"/>
                <w:szCs w:val="18"/>
                <w:color w:val="auto"/>
              </w:rPr>
              <w:t>Accrued contingent consideration (Note 4)</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482</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Borders>
              <w:top w:val="single" w:sz="8" w:color="CCEEFF"/>
            </w:tcBorders>
            <w:gridSpan w:val="2"/>
          </w:tcPr>
          <w:p>
            <w:pPr>
              <w:ind w:left="8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7,274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Other liabilities</w:t>
            </w:r>
          </w:p>
        </w:tc>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521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Borders>
              <w:top w:val="single" w:sz="8" w:color="CCEEFF"/>
            </w:tcBorders>
            <w:gridSpan w:val="2"/>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7,795</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gridSpan w:val="2"/>
            <w:shd w:val="clear" w:color="auto" w:fill="CCEEFF"/>
          </w:tcPr>
          <w:p>
            <w:pPr>
              <w:ind w:left="480"/>
              <w:spacing w:after="0" w:line="201" w:lineRule="exact"/>
              <w:rPr>
                <w:sz w:val="20"/>
                <w:szCs w:val="20"/>
                <w:color w:val="auto"/>
              </w:rPr>
            </w:pPr>
            <w:r>
              <w:rPr>
                <w:rFonts w:ascii="Arial" w:cs="Arial" w:eastAsia="Arial" w:hAnsi="Arial"/>
                <w:sz w:val="18"/>
                <w:szCs w:val="18"/>
                <w:color w:val="auto"/>
                <w:w w:val="98"/>
              </w:rPr>
              <w:t>Common stock, $0.01 par value, 20,000,000 shares authorized; 11,116,293 and 11,106,354 shares issued,</w:t>
            </w:r>
          </w:p>
        </w:tc>
        <w:tc>
          <w:tcPr>
            <w:tcW w:w="16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respectively; 8,329,255 and 8,319,316 shares outstanding, respectively</w:t>
            </w:r>
          </w:p>
        </w:tc>
        <w:tc>
          <w:tcPr>
            <w:tcW w:w="16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27,875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27,138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Treasury stock, at cost, 2,787,038 shares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(22,527)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80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32,535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40,330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96"/>
              </w:rPr>
              <w:t>March 31,</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i w:val="1"/>
                <w:iCs w:val="1"/>
                <w:color w:val="auto"/>
                <w:w w:val="85"/>
              </w:rPr>
              <w:t>(In thousands,</w:t>
            </w:r>
          </w:p>
        </w:tc>
        <w:tc>
          <w:tcPr>
            <w:tcW w:w="220" w:type="dxa"/>
            <w:vAlign w:val="bottom"/>
          </w:tcPr>
          <w:p>
            <w:pPr>
              <w:spacing w:after="0"/>
              <w:rPr>
                <w:sz w:val="17"/>
                <w:szCs w:val="17"/>
                <w:color w:val="auto"/>
              </w:rPr>
            </w:pPr>
          </w:p>
        </w:tc>
        <w:tc>
          <w:tcPr>
            <w:tcW w:w="116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except share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3"/>
          </w:tcPr>
          <w:p>
            <w:pPr>
              <w:ind w:left="840"/>
              <w:spacing w:after="0"/>
              <w:rPr>
                <w:sz w:val="20"/>
                <w:szCs w:val="20"/>
                <w:color w:val="auto"/>
              </w:rPr>
            </w:pPr>
            <w:r>
              <w:rPr>
                <w:rFonts w:ascii="Arial" w:cs="Arial" w:eastAsia="Arial" w:hAnsi="Arial"/>
                <w:sz w:val="18"/>
                <w:szCs w:val="18"/>
                <w:i w:val="1"/>
                <w:iCs w:val="1"/>
                <w:color w:val="auto"/>
              </w:rPr>
              <w:t>data)</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13,619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Cost of sales</w:t>
            </w:r>
          </w:p>
        </w:tc>
        <w:tc>
          <w:tcPr>
            <w:tcW w:w="2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7,893</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Gross profit</w:t>
            </w:r>
          </w:p>
        </w:tc>
        <w:tc>
          <w:tcPr>
            <w:tcW w:w="2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5,726</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Operating expenses: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Engineering, design and product development</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Selling and marketing</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1,965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Legal fees associated with lawsuit (Note 8)</w:t>
            </w:r>
          </w:p>
        </w:tc>
        <w:tc>
          <w:tcPr>
            <w:tcW w:w="2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5,095</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Operating income</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631</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w:t>
            </w:r>
          </w:p>
        </w:tc>
        <w:tc>
          <w:tcPr>
            <w:tcW w:w="2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Interest, net</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2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tcBorders>
          </w:tcPr>
          <w:p>
            <w:pPr>
              <w:spacing w:after="0"/>
              <w:rPr>
                <w:sz w:val="19"/>
                <w:szCs w:val="19"/>
                <w:color w:val="auto"/>
              </w:rPr>
            </w:pPr>
          </w:p>
        </w:tc>
        <w:tc>
          <w:tcPr>
            <w:tcW w:w="254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609</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215</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income</w:t>
            </w:r>
          </w:p>
        </w:tc>
        <w:tc>
          <w:tcPr>
            <w:tcW w:w="2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394</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0.05</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80"/>
              <w:spacing w:after="0"/>
              <w:rPr>
                <w:sz w:val="20"/>
                <w:szCs w:val="20"/>
                <w:color w:val="auto"/>
              </w:rPr>
            </w:pPr>
            <w:r>
              <w:rPr>
                <w:rFonts w:ascii="Arial" w:cs="Arial" w:eastAsia="Arial" w:hAnsi="Arial"/>
                <w:sz w:val="18"/>
                <w:szCs w:val="18"/>
                <w:color w:val="auto"/>
              </w:rPr>
              <w:t>Diluted</w:t>
            </w:r>
          </w:p>
        </w:tc>
        <w:tc>
          <w:tcPr>
            <w:tcW w:w="2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Shares used in per-share calculation:</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00"/>
              <w:spacing w:after="0"/>
              <w:rPr>
                <w:sz w:val="20"/>
                <w:szCs w:val="20"/>
                <w:color w:val="auto"/>
              </w:rPr>
            </w:pPr>
            <w:r>
              <w:rPr>
                <w:rFonts w:ascii="Arial" w:cs="Arial" w:eastAsia="Arial" w:hAnsi="Arial"/>
                <w:sz w:val="18"/>
                <w:szCs w:val="18"/>
                <w:color w:val="auto"/>
              </w:rPr>
              <w:t>Diluted</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8,553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Dividends declared and paid per common share:</w:t>
            </w:r>
          </w:p>
        </w:tc>
        <w:tc>
          <w:tcPr>
            <w:tcW w:w="2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0.07</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3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394</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395</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600" w:type="dxa"/>
            <w:vAlign w:val="bottom"/>
            <w:gridSpan w:val="2"/>
          </w:tcPr>
          <w:p>
            <w:pPr>
              <w:jc w:val="right"/>
              <w:spacing w:after="0"/>
              <w:rPr>
                <w:sz w:val="20"/>
                <w:szCs w:val="20"/>
                <w:color w:val="auto"/>
              </w:rPr>
            </w:pPr>
            <w:r>
              <w:rPr>
                <w:rFonts w:ascii="Arial" w:cs="Arial" w:eastAsia="Arial" w:hAnsi="Arial"/>
                <w:sz w:val="16"/>
                <w:szCs w:val="16"/>
                <w:i w:val="1"/>
                <w:iCs w:val="1"/>
                <w:color w:val="auto"/>
                <w:w w:val="73"/>
              </w:rPr>
              <w:t>thousands)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20" w:type="dxa"/>
            <w:vAlign w:val="bottom"/>
            <w:gridSpan w:val="2"/>
            <w:vMerge w:val="continue"/>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394</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Share-based compensation expense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145</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Incremental tax benefits from stock options exercised</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360</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Foreign currency transaction (gains) losses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Accounts receivable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329</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Inventories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Prepaid income taxes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198</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Other current and long term assets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44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Accrued liabilities and other liabilities</w:t>
            </w:r>
          </w:p>
        </w:tc>
        <w:tc>
          <w:tcPr>
            <w:tcW w:w="1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1,144</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320"/>
              <w:spacing w:after="0"/>
              <w:rPr>
                <w:sz w:val="20"/>
                <w:szCs w:val="20"/>
                <w:color w:val="auto"/>
              </w:rPr>
            </w:pPr>
            <w:r>
              <w:rPr>
                <w:rFonts w:ascii="Arial" w:cs="Arial" w:eastAsia="Arial" w:hAnsi="Arial"/>
                <w:sz w:val="18"/>
                <w:szCs w:val="18"/>
                <w:color w:val="auto"/>
              </w:rPr>
              <w:t>Additions to capitalized software</w:t>
            </w: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(288)</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Proceeds from stock option exercises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Payment of dividends on common stock</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Incremental tax benefits from stock options exercised</w:t>
            </w:r>
          </w:p>
        </w:tc>
        <w:tc>
          <w:tcPr>
            <w:tcW w:w="1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96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(582)</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269</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2,936</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3,205</w:t>
            </w:r>
          </w:p>
        </w:tc>
        <w:tc>
          <w:tcPr>
            <w:tcW w:w="22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and are of a normal recurring nature. The December 31, 2013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2013 included in our Annual Report on Form 10-K.</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(loss) in the Condensed Consolidated Balance Sheets. Transaction gains and losses are included in other income in the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months ended March 31, 2014 are not necessarily indicative of the results to be expected for the full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2. Inventories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0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180" w:type="dxa"/>
            <w:vAlign w:val="bottom"/>
            <w:gridSpan w:val="3"/>
          </w:tcPr>
          <w:p>
            <w:pPr>
              <w:ind w:left="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i w:val="1"/>
                <w:iCs w:val="1"/>
                <w:color w:val="auto"/>
              </w:rPr>
              <w:t>(In</w:t>
            </w:r>
          </w:p>
        </w:tc>
        <w:tc>
          <w:tcPr>
            <w:tcW w:w="1380" w:type="dxa"/>
            <w:vAlign w:val="bottom"/>
            <w:gridSpan w:val="3"/>
          </w:tcPr>
          <w:p>
            <w:pPr>
              <w:jc w:val="right"/>
              <w:ind w:right="650"/>
              <w:spacing w:after="0"/>
              <w:rPr>
                <w:sz w:val="20"/>
                <w:szCs w:val="20"/>
                <w:color w:val="auto"/>
              </w:rPr>
            </w:pPr>
            <w:r>
              <w:rPr>
                <w:rFonts w:ascii="Arial" w:cs="Arial" w:eastAsia="Arial" w:hAnsi="Arial"/>
                <w:sz w:val="17"/>
                <w:szCs w:val="17"/>
                <w:i w:val="1"/>
                <w:iCs w:val="1"/>
                <w:color w:val="auto"/>
                <w:w w:val="73"/>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generally warrant our products for up to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 during the three months ended March 31,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4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i w:val="1"/>
                <w:iCs w:val="1"/>
                <w:color w:val="auto"/>
                <w:w w:val="99"/>
              </w:rPr>
              <w:t>(In thousands)</w:t>
            </w: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Warranties issued</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settlements</w:t>
            </w:r>
          </w:p>
        </w:tc>
        <w:tc>
          <w:tcPr>
            <w:tcW w:w="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Balance, end of period</w:t>
            </w: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291,000 of the accrued product warranty liability is classified as current in Accrued liabilities at March 31, 2014 in the Condensed Balance Sheets. The remaining $99,000 of the accrued product warranty liability is classified as long-term in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contingent consideration</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acquisition of substantially all of the assets of Printrex, Inc. (“Printrex”) on August 19, 2011, we entered into a contingent consideration arrangement for 30% of the gross profit for a three-year period related to certain new products under development, less certain other adjustments, beginning on January 1, 2012 which was the earlier of (1) January 1, 2012 or (2) the date of first commercial introduction of the new products under development. The undiscounted fair value related to the contingent liability could range from approximately $0 to $200,000. The fair value of the contingent consideration arrangement was $60,000 at March 31, 2014 and December 31, 2013, which was estimated by applying the income approach. That measure is based on significant inputs that are not observable in the market, which fair value measurement guidance refers to as Level 3 inputs. During the first three months of 2014, the fair value of the contingent consideration remained unchanged. No payments were made under the arrangement during the three months ended March 31, 2014 as the underlying conditions of the contingent consideration arrangement were not satisfied. Refer to Note 3, Business acquisitions, of the Company’s Consolidated Financial Statements included in the Company’s 2013 Annual Report on Form 10-K for the year ended December 31, 2013 for additional information regarding this contingent consideration arrangement.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i w:val="1"/>
                <w:iCs w:val="1"/>
                <w:color w:val="auto"/>
                <w:w w:val="89"/>
              </w:rPr>
              <w:t>(In thousands,</w:t>
            </w:r>
          </w:p>
        </w:tc>
        <w:tc>
          <w:tcPr>
            <w:tcW w:w="1380" w:type="dxa"/>
            <w:vAlign w:val="bottom"/>
            <w:gridSpan w:val="3"/>
          </w:tcPr>
          <w:p>
            <w:pPr>
              <w:jc w:val="right"/>
              <w:ind w:right="50"/>
              <w:spacing w:after="0" w:line="201" w:lineRule="exact"/>
              <w:rPr>
                <w:sz w:val="20"/>
                <w:szCs w:val="20"/>
                <w:color w:val="auto"/>
              </w:rPr>
            </w:pPr>
            <w:r>
              <w:rPr>
                <w:rFonts w:ascii="Arial" w:cs="Arial" w:eastAsia="Arial" w:hAnsi="Arial"/>
                <w:sz w:val="18"/>
                <w:szCs w:val="18"/>
                <w:i w:val="1"/>
                <w:iCs w:val="1"/>
                <w:color w:val="auto"/>
                <w:w w:val="90"/>
              </w:rPr>
              <w:t>except per share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right"/>
              <w:ind w:right="185"/>
              <w:spacing w:after="0"/>
              <w:rPr>
                <w:sz w:val="20"/>
                <w:szCs w:val="20"/>
                <w:color w:val="auto"/>
              </w:rPr>
            </w:pPr>
            <w:r>
              <w:rPr>
                <w:rFonts w:ascii="Arial" w:cs="Arial" w:eastAsia="Arial" w:hAnsi="Arial"/>
                <w:sz w:val="18"/>
                <w:szCs w:val="18"/>
                <w:i w:val="1"/>
                <w:iCs w:val="1"/>
                <w:color w:val="auto"/>
              </w:rPr>
              <w:t>data)</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394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Shares:</w:t>
            </w: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Add: Dilutive effect of outstanding options as determined by the treasury stock method</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180</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and common equivalent shares outstanding</w:t>
            </w: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8,553</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80"/>
              <w:spacing w:after="0"/>
              <w:rPr>
                <w:sz w:val="20"/>
                <w:szCs w:val="20"/>
                <w:color w:val="auto"/>
              </w:rPr>
            </w:pPr>
            <w:r>
              <w:rPr>
                <w:rFonts w:ascii="Arial" w:cs="Arial" w:eastAsia="Arial" w:hAnsi="Arial"/>
                <w:sz w:val="18"/>
                <w:szCs w:val="18"/>
                <w:color w:val="auto"/>
              </w:rPr>
              <w:t>Basic</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0.05</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0.05</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2014 and 2013, there were 174,000 and 666,125, respectively, potentially dilutive shares consisting of stock options that were excluded from the calculation of earnings per diluted share because the effect would have been anti-dilutive.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6. Shareholders’ equity</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260" w:type="dxa"/>
            <w:vAlign w:val="bottom"/>
            <w:gridSpan w:val="2"/>
          </w:tcPr>
          <w:p>
            <w:pPr>
              <w:spacing w:after="0"/>
              <w:rPr>
                <w:sz w:val="20"/>
                <w:szCs w:val="20"/>
                <w:color w:val="auto"/>
              </w:rPr>
            </w:pPr>
            <w:r>
              <w:rPr>
                <w:rFonts w:ascii="Arial" w:cs="Arial" w:eastAsia="Arial" w:hAnsi="Arial"/>
                <w:sz w:val="18"/>
                <w:szCs w:val="18"/>
                <w:color w:val="auto"/>
              </w:rPr>
              <w:t>Changes in shareholders’ equity for the three months ended March 31, 2014 were as follows (in thousands):</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Issuance of deferred stock units, net of relinquishments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Dividends declared and paid on common stock</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2014</w:t>
            </w: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portion of the 2013 incentive bonus for the chief executive officer and chief financial officer in the form of deferred stock units. Such deferred stock units were granted in February 2014 and were fully vested at the time of grant.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2014, our Board of Directors declared a quarterly cash dividend of $0.07 per share, totaling approximately $582,000, which was paid in March 2014 to common shareholders of record at the close of business on February 20, 2014.</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058"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an income tax provision for the first quarter of 2014 of $215,000 at an effective tax rate of 35.3%, compared to an income tax provision during the first quarter of 2013 of $278,000 at an effective tax rate of 19.3%. Our effective tax rate for the first three months of 2013 was unusually low because it included the full-year benefit from the 2012 federal research and development credit (“R&amp;D credit”) of approximately $220,000 as this credit was not renewed until January 2, 2013 as a component of the American Taxpayer Relief Act of 2012.</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U.S. federal income tax as well as income tax of certain state and foreign jurisdictions. We have substantially concluded all U.S. federal income tax, state and local, and foreign tax matters through 2009. During 2008, a limited scope examination of our 2005 and 2006 federal tax returns was completed and during 2013, an examination of our 2010 federal tax return was completed. However, our federal tax returns for the years 2010 through 2012 remain open to examination. Various state and foreign tax jurisdiction tax years remain open to examination as well, though we believe that any additional assessment would be immaterial to the Condensed Consolidated Financial Statements. No state or foreign tax jurisdiction income tax returns are currently under examination. As of March 31, 2014, we had $108,000 of total gross unrecognized tax benefits that, if recognized, would favorably affect the effective income tax rate in any future periods.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8, 2012, Avery Dennison Corporation (“AD”) filed a civil complaint against the Company and a former employee of the Company and of AD, in the Court of Common Pleas (the “Court”)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the Company’s further sale and marketing of the food safety terminals, pending the appeals court's decision. On July 29, 2013, TransAct opposed this request. On October 15, 2013, the Eleventh District Court of Appeals affirmed the lower court’s decision in the Company’s favor and denied AD’s further request for an injunction pending the Court of Appeal’s decision. On October 24, 2013, AD filed a motion seeking that the Court of Appeals reconsider its decision. On April 16, 2014, the Court of Appeals denied AD’s motion to reconsider its decision.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TransAct Technologies Incorporated (“TransAct”) designs, develops and sells market-specific solutions, including printers, terminals, software and other products for transaction-based and other industries. These world-class products are sold under the Epic,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Ithaca®, Printrex® and Responder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focus on the following core markets: food safety, banking and point-of-sale (“POS”), casino and gaming, lottery, and Printrex (which serves the oil and gas, medical and emergency vehicle markets). We sell our products to original equipment manufacturers (“OEMs”), value-added resellers ("VARs"), selected distributors, as well as directly to end-users. Our product distribution spans across the Americas, Europe, the Middle East, Africa, Asia, Australia, the Caribbean Islands and the South Pacific. TransAct also provides world-class printer service, spare parts, accessories and printing supplies to its growing worldwide installed base of products. Through our TransAct Services Group (“TSG”) we provide a complete range of supplies and consumables used in the printing and scanning activities of customers in the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on-line demand for these products. We operate in one reportable segment: the design, development, assembly and marketing of transaction printers and terminals and providing printer-related services, supplies and spare parts.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2013. We have reviewed those policies and determined that they remain our critical accounting policies for the three months ended March 31, 2014.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March 31, 2014 compared to three months ended March 31, 2013</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March 31, 2014 and 2013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9"/>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Pr>
          <w:p>
            <w:pPr>
              <w:spacing w:after="0"/>
              <w:rPr>
                <w:sz w:val="18"/>
                <w:szCs w:val="18"/>
                <w:color w:val="auto"/>
              </w:rPr>
            </w:pPr>
          </w:p>
        </w:tc>
        <w:tc>
          <w:tcPr>
            <w:tcW w:w="1440" w:type="dxa"/>
            <w:vAlign w:val="bottom"/>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90"/>
              <w:spacing w:after="0"/>
              <w:rPr>
                <w:sz w:val="20"/>
                <w:szCs w:val="20"/>
                <w:color w:val="auto"/>
              </w:rPr>
            </w:pPr>
            <w:r>
              <w:rPr>
                <w:rFonts w:ascii="Arial" w:cs="Arial" w:eastAsia="Arial" w:hAnsi="Arial"/>
                <w:sz w:val="18"/>
                <w:szCs w:val="18"/>
                <w:b w:val="1"/>
                <w:bCs w:val="1"/>
                <w:color w:val="auto"/>
                <w:w w:val="92"/>
              </w:rPr>
              <w:t>March 31, 2014</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auto"/>
                <w:w w:val="93"/>
              </w:rPr>
              <w:t>March 31, 2013</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300" w:type="dxa"/>
            <w:vAlign w:val="bottom"/>
            <w:shd w:val="clear" w:color="auto" w:fill="CCEEFF"/>
          </w:tcPr>
          <w:p>
            <w:pPr>
              <w:jc w:val="right"/>
              <w:ind w:right="13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1,984</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Casino and gaming</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6,542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6,740</w:t>
            </w:r>
          </w:p>
        </w:tc>
        <w:tc>
          <w:tcPr>
            <w:tcW w:w="5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1,365</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1,325</w:t>
            </w:r>
          </w:p>
        </w:tc>
        <w:tc>
          <w:tcPr>
            <w:tcW w:w="5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3,643</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13,619</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10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15,057</w:t>
            </w:r>
          </w:p>
        </w:tc>
        <w:tc>
          <w:tcPr>
            <w:tcW w:w="5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100.0%</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(1,438)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 *</w:t>
            </w:r>
          </w:p>
        </w:tc>
        <w:tc>
          <w:tcPr>
            <w:tcW w:w="3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3,413</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25.1%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3,276</w:t>
            </w:r>
          </w:p>
        </w:tc>
        <w:tc>
          <w:tcPr>
            <w:tcW w:w="5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60" w:firstLine="8"/>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domestic customers who may in turn ship those printers to international destinations.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both"/>
        <w:spacing w:after="0" w:line="276" w:lineRule="auto"/>
        <w:rPr>
          <w:sz w:val="20"/>
          <w:szCs w:val="20"/>
          <w:color w:val="auto"/>
        </w:rPr>
      </w:pPr>
      <w:r>
        <w:rPr>
          <w:rFonts w:ascii="Arial" w:cs="Arial" w:eastAsia="Arial" w:hAnsi="Arial"/>
          <w:sz w:val="17"/>
          <w:szCs w:val="17"/>
          <w:color w:val="auto"/>
        </w:rPr>
        <w:t>Net sales for the first quarter of 2014 decreased $1,438,000, or 10%, from the same period in 2013. Printer sales volume decreased 4% to approximately 35,000 units driven primarily by a 35% decrease in unit volume from the lottery market and an 11% decrease in unit volume from the food safety, banking and POS market. These decreases were partially offset by an increase in unit volume of 7% from the casino and gaming market. The average selling price of our printers remained relatively consistent, declining approximately 1% in the first quarter of 2014 compared to the first quarter of 2013. Overall, international sales increased $137,000, or 4%, primarily driven by higher international casino and gaming printer sales.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banking and POS: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from the food safety, banking and POS market includes sales of food safety terminals which are hardware devices that consist of a touchscreen and one or two thermal print mechanisms, that print easy-to-read food rotation labels and "enjoy by" date labels to help restaurants effectively manage food spoilage.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In addition, revenue includes sales of printers used by banks, credit unions and other financial institutions to print receipts and/ or validate checks at bank teller stations. A summary of sales of our worldwide food safety, banking and POS products for the three months ended March 31, 2014 and 2013 is as follows (in thousands, except percentages):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2014</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2013</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1,722</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1,958</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1,769</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1,984</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domestic food safety, banking and POS product revenue from the first quarter of 2013 was primarily driven by lower sales of our new Ithaca</w:t>
      </w:r>
    </w:p>
    <w:p>
      <w:pPr>
        <w:spacing w:after="0" w:line="46" w:lineRule="exact"/>
        <w:rPr>
          <w:sz w:val="20"/>
          <w:szCs w:val="20"/>
          <w:color w:val="auto"/>
        </w:rPr>
      </w:pPr>
    </w:p>
    <w:p>
      <w:pPr>
        <w:jc w:val="both"/>
        <w:ind w:firstLine="8"/>
        <w:spacing w:after="0" w:line="254" w:lineRule="auto"/>
        <w:tabs>
          <w:tab w:leader="none" w:pos="199" w:val="left"/>
        </w:tabs>
        <w:numPr>
          <w:ilvl w:val="0"/>
          <w:numId w:val="4"/>
        </w:numPr>
        <w:rPr>
          <w:rFonts w:ascii="Arial" w:cs="Arial" w:eastAsia="Arial" w:hAnsi="Arial"/>
          <w:sz w:val="18"/>
          <w:szCs w:val="18"/>
          <w:color w:val="auto"/>
        </w:rPr>
      </w:pPr>
      <w:r>
        <w:rPr>
          <w:rFonts w:ascii="Arial" w:cs="Arial" w:eastAsia="Arial" w:hAnsi="Arial"/>
          <w:sz w:val="18"/>
          <w:szCs w:val="18"/>
          <w:color w:val="auto"/>
        </w:rPr>
        <w:t>9700 food safety terminal and Ithaca® 280 printer during the quarter. Although sales of our food safety terminal declined in the first quarter 2014, we expect sales to increase as we move through the remainder of 2014 as we expect customers who are currently trialing the product to begin to make purchase decisions. These decreases were partially offset by higher sales of our Ithaca ® 9000 printers as McDonald’s accelerates it rollout of these printers for a new initiative that we expect to continue during the second quarter 2014.</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Revenue from the casino and gaming market includes sales of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Revenue from this market also includes royalties related to our patented casino and gaming technology. In addition, casino and gaming market revenue includes sales of our software solution (including annual software maintenance for), the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 that enables casino operators to create promotional coupons and marketing messages and to print them real-time at the slot machine. A summary of sales of our worldwide casino and gaming products for the three months ended March 31, 2014 and 2013 is as follows (in thousands, except percentages):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2014</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2013</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3,549</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3,902</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2,993</w:t>
            </w: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2,838</w:t>
            </w: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6,542</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6,740</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decrease in domestic sales of our casino and gaming products is primarily due to an 84% decrease in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software sales resulting from fewer installations in the first quarter of 2014 compared to the first quarter of 2013. Due to the project-oriented nature of sales of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software, we cannot predict the level of future sales and such sales may fluctuate significantly quarter-to-quarter. The decrease in software sales was partially offset by an 11% increase in sales of our thermal casino printers. We believe that our higher casino printer sales during the first quarter of 2014 resulted primarily from a higher replacement volume and market share gains as compared to the first quarter of 2013.</w:t>
      </w:r>
    </w:p>
    <w:p>
      <w:pPr>
        <w:spacing w:after="0" w:line="2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International casino and gaming printer sales increased due primarily to a 15% increase in sales of our thermal casino printers primarily due to 53% and 17% higher sales from our Australian and Asian customers, and our European distributor, respectively. These increases were partially offset by a 53% decrease in sales of our off-premise thermal gaming printers mainly from a 55% and 53% decrease in sales to customers in Australia and Asia, and our European distributor, respectively. Sales of our off-premise gaming printers are largely project-oriented, and we therefore cannot predict the level of future sales.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lottery market includes sales of thermal on-line and other lottery printers to GTECH Corporation (“GTECH”) and its subsidiaries for various lottery applications. A summary of sales of our worldwide lottery printers for the three months ended March 31, 2014 and 2013 is as follows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2014</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2013</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1,365</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Based on our backlog of orders and customer’s forecast, we expect total sales to GTECH for 2014 to be approximately $4 to $5 million.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Printrex branded printers are sold into markets that include wide format, desktop and rack mounted vehicle black/white and color thermal printers used by customers to log and plot oil field, seismic and down hole well drilling data in the oil and gas exploration industry. It also includes high-speed color inkjet desktop printers used to print logs at data centers of the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 summary of sales of our worldwide Printrex printers for the three months ended March 31, 2014 and 2013 is as follows (in thousands, except percentages):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2014</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2013</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sales of Printrex printers is primarily due to lower domestic and international sales in the oil and gas market.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 from TSG includes sales of consumable products (inkjet cartridges, ribbons, receipt paper, color thermal paper and other printing supplies), replacement parts, maintenance and repair services, testing services, refurbished printers, and shipping and handling charges. A summary of sales in our worldwide TSG market for the three months ended March 31, 2014 and 2013 is as follows (in thousands, except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8"/>
                <w:szCs w:val="18"/>
                <w:color w:val="auto"/>
              </w:rPr>
            </w:pPr>
          </w:p>
        </w:tc>
        <w:tc>
          <w:tcPr>
            <w:tcW w:w="23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ind w:left="6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2"/>
              </w:rPr>
              <w:t>March 31, 2014</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93"/>
              </w:rPr>
              <w:t>March 31, 2013</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3,261</w:t>
            </w: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3,432</w:t>
            </w:r>
          </w:p>
        </w:tc>
        <w:tc>
          <w:tcPr>
            <w:tcW w:w="5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International</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5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3,513</w:t>
            </w:r>
          </w:p>
        </w:tc>
        <w:tc>
          <w:tcPr>
            <w:tcW w:w="5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3,643</w:t>
            </w:r>
          </w:p>
        </w:tc>
        <w:tc>
          <w:tcPr>
            <w:tcW w:w="5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domestic revenue from TSG is primarily due to a 23% decrease in sales of non-Printrex consumable products, largely HP inkjet cartridges, as we continue to deemphasize this commoditized consumable product, as well as lower revenue from project-oriented paper testing service contracts as compared to the first quarter of 2013. These decreases were partially offset by higher sales of replacement parts and increased revenue contributions from consumables for our new Printrex color printers. Internationally, TSG revenue increased due primarily to higher sales of replacement parts and accessories as compared to the first quarter of 2013.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240" w:type="dxa"/>
            <w:vAlign w:val="bottom"/>
            <w:gridSpan w:val="2"/>
          </w:tcPr>
          <w:p>
            <w:pPr>
              <w:ind w:left="660"/>
              <w:spacing w:after="0"/>
              <w:rPr>
                <w:sz w:val="20"/>
                <w:szCs w:val="20"/>
                <w:color w:val="auto"/>
              </w:rPr>
            </w:pPr>
            <w:r>
              <w:rPr>
                <w:rFonts w:ascii="Arial" w:cs="Arial" w:eastAsia="Arial" w:hAnsi="Arial"/>
                <w:sz w:val="18"/>
                <w:szCs w:val="18"/>
                <w:b w:val="1"/>
                <w:bCs w:val="1"/>
                <w:color w:val="auto"/>
              </w:rPr>
              <w:t>Percent</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2240" w:type="dxa"/>
            <w:vAlign w:val="bottom"/>
            <w:gridSpan w:val="2"/>
          </w:tcPr>
          <w:p>
            <w:pPr>
              <w:ind w:left="640"/>
              <w:spacing w:after="0"/>
              <w:rPr>
                <w:sz w:val="20"/>
                <w:szCs w:val="20"/>
                <w:color w:val="auto"/>
              </w:rPr>
            </w:pPr>
            <w:r>
              <w:rPr>
                <w:rFonts w:ascii="Arial" w:cs="Arial" w:eastAsia="Arial" w:hAnsi="Arial"/>
                <w:sz w:val="18"/>
                <w:szCs w:val="18"/>
                <w:b w:val="1"/>
                <w:bCs w:val="1"/>
                <w:color w:val="auto"/>
              </w:rPr>
              <w:t>Change</w:t>
            </w: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Total Sales - 2014</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Total Sales - 2013</w:t>
            </w:r>
          </w:p>
        </w:tc>
      </w:tr>
      <w:tr>
        <w:trPr>
          <w:trHeight w:val="213"/>
        </w:trPr>
        <w:tc>
          <w:tcPr>
            <w:tcW w:w="20" w:type="dxa"/>
            <w:vAlign w:val="bottom"/>
          </w:tcPr>
          <w:p>
            <w:pPr>
              <w:spacing w:after="0"/>
              <w:rPr>
                <w:sz w:val="18"/>
                <w:szCs w:val="18"/>
                <w:color w:val="auto"/>
              </w:rPr>
            </w:pPr>
          </w:p>
        </w:tc>
        <w:tc>
          <w:tcPr>
            <w:tcW w:w="1180" w:type="dxa"/>
            <w:vAlign w:val="bottom"/>
            <w:tcBorders>
              <w:top w:val="single" w:sz="8" w:color="auto"/>
            </w:tcBorders>
          </w:tcPr>
          <w:p>
            <w:pPr>
              <w:jc w:val="right"/>
              <w:ind w:right="101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5,726</w:t>
            </w:r>
          </w:p>
        </w:tc>
        <w:tc>
          <w:tcPr>
            <w:tcW w:w="340" w:type="dxa"/>
            <w:vAlign w:val="bottom"/>
          </w:tcPr>
          <w:p>
            <w:pPr>
              <w:spacing w:after="0"/>
              <w:rPr>
                <w:sz w:val="18"/>
                <w:szCs w:val="18"/>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6,433</w:t>
            </w:r>
          </w:p>
        </w:tc>
        <w:tc>
          <w:tcPr>
            <w:tcW w:w="360" w:type="dxa"/>
            <w:vAlign w:val="bottom"/>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8"/>
                <w:szCs w:val="18"/>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380" w:type="dxa"/>
            <w:vAlign w:val="bottom"/>
          </w:tcPr>
          <w:p>
            <w:pPr>
              <w:spacing w:after="0"/>
              <w:rPr>
                <w:sz w:val="18"/>
                <w:szCs w:val="18"/>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 Gross profit decreased $707,000, or 11%, and our gross margin declined by 70 basis points as we experienced less favorable sales mix in the first quarter of 2014 compared to the first quarter of 2013. During the first quarter of 2013, our gross margin primarily benefited from sales contributions from our new Ithaca ® 9700 food safety terminal and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software sales. We expect our gross margin for the remainder of 2014 to be higher than in 2013 as we expect to benefit from increased sales of our new value-added products.</w:t>
      </w: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20"/>
                <w:szCs w:val="20"/>
                <w:color w:val="auto"/>
              </w:rPr>
            </w:pP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1,230</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1,012</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increased $218,000, or 22%, due primarily to additional engineering staff and higher outside testing and pre-production expenses related to the new products that were launched in 2014. We expect engineering, design and product development expenses in 2014 to be higher than in 2013 as we plan to launch three new products during 2014.</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340" w:type="dxa"/>
            <w:vAlign w:val="bottom"/>
          </w:tcPr>
          <w:p>
            <w:pPr>
              <w:spacing w:after="0"/>
              <w:rPr>
                <w:sz w:val="20"/>
                <w:szCs w:val="20"/>
                <w:color w:val="auto"/>
              </w:rPr>
            </w:pPr>
          </w:p>
        </w:tc>
        <w:tc>
          <w:tcPr>
            <w:tcW w:w="2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19"/>
                <w:szCs w:val="19"/>
                <w:color w:val="auto"/>
              </w:rPr>
            </w:pPr>
          </w:p>
        </w:tc>
        <w:tc>
          <w:tcPr>
            <w:tcW w:w="1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Change</w:t>
            </w:r>
          </w:p>
        </w:tc>
        <w:tc>
          <w:tcPr>
            <w:tcW w:w="3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1,965</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1,786</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by $179,000, or 10%, in the first quarter of 2014 compared to the first quarter of 2013 primarily due to higher expenses associated with sales commissions to our new casino and gaming distributor, Suzo-Happ, and the planned expansion of our sales staff and promotional marketing expenses as we further focus our selling and marketing efforts on our newly launched, value added products in 2014. During 2014, we expect to see continued higher selling and marketing expenses as we continue these efforts.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Percent</w:t>
            </w: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2014</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9"/>
                <w:szCs w:val="19"/>
                <w:color w:val="auto"/>
              </w:rPr>
            </w:pPr>
          </w:p>
        </w:tc>
        <w:tc>
          <w:tcPr>
            <w:tcW w:w="194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1,888</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2,034</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w:t>
            </w:r>
          </w:p>
        </w:tc>
        <w:tc>
          <w:tcPr>
            <w:tcW w:w="2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decreased $146,000, or 7%, due primarily to lower depreciation and amortization expense of approximately $85,000 as well as lower recruitment expenses for additional sales staff in the first quarter of 2013 that did not recur to the same extent in the first quarter of 2014.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gridSpan w:val="3"/>
          </w:tcPr>
          <w:p>
            <w:pPr>
              <w:ind w:left="100"/>
              <w:spacing w:after="0"/>
              <w:rPr>
                <w:sz w:val="20"/>
                <w:szCs w:val="20"/>
                <w:color w:val="auto"/>
              </w:rPr>
            </w:pPr>
            <w:r>
              <w:rPr>
                <w:rFonts w:ascii="Arial" w:cs="Arial" w:eastAsia="Arial" w:hAnsi="Arial"/>
                <w:sz w:val="18"/>
                <w:szCs w:val="18"/>
                <w:b w:val="1"/>
                <w:bCs w:val="1"/>
                <w:color w:val="auto"/>
                <w:w w:val="93"/>
              </w:rPr>
              <w:t>Three months ended</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2014</w:t>
            </w:r>
          </w:p>
        </w:tc>
        <w:tc>
          <w:tcPr>
            <w:tcW w:w="7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12</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(94.0%)</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8 to the Condensed Consolidated Financial Statements, in June 2012, Avery Dennison Corporation filed a civil complaint against the Company. In connection with this lawsuit, we incurred legal fees and other related expenses of $12,000 and $199,000 in the first quarter of 2014 and 2013, respectively. We may incur additional legal fees related to this lawsuit for the remainder of 2014 and beyond, although we cannot predict the timing and extent of such legal fees.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gridSpan w:val="2"/>
          </w:tcPr>
          <w:p>
            <w:pPr>
              <w:ind w:left="70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2014</w:t>
            </w:r>
          </w:p>
        </w:tc>
        <w:tc>
          <w:tcPr>
            <w:tcW w:w="7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9"/>
                <w:szCs w:val="19"/>
                <w:color w:val="auto"/>
              </w:rPr>
            </w:pPr>
          </w:p>
        </w:tc>
        <w:tc>
          <w:tcPr>
            <w:tcW w:w="19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2014</w:t>
            </w:r>
          </w:p>
        </w:tc>
        <w:tc>
          <w:tcPr>
            <w:tcW w:w="3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jc w:val="right"/>
              <w:ind w:right="109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631</w:t>
            </w:r>
          </w:p>
        </w:tc>
        <w:tc>
          <w:tcPr>
            <w:tcW w:w="700" w:type="dxa"/>
            <w:vAlign w:val="bottom"/>
            <w:shd w:val="clear" w:color="auto" w:fill="CCEEFF"/>
          </w:tcPr>
          <w:p>
            <w:pPr>
              <w:jc w:val="right"/>
              <w:ind w:right="54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1,402</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(55.0%)</w:t>
            </w:r>
          </w:p>
        </w:tc>
        <w:tc>
          <w:tcPr>
            <w:tcW w:w="2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income declined primarily due to 10% lower sales volume in combination with a 70 basis point decline in gross margin in the first quarter of 2014 as compared to the first quarter of 2013. In addition, both our operating profit and operating margin for the first quarter of 2014 and 2013 were negatively impacted by $12,000 and $199,000, respectively, of legal fees incurred in connection with the AD lawsuit. These fees reduced our operating margin by 10 and 130 basis points in the first quarter of 2014 and 2013, respectively.</w:t>
      </w:r>
    </w:p>
    <w:p>
      <w:pPr>
        <w:spacing w:after="0" w:line="200" w:lineRule="exact"/>
        <w:rPr>
          <w:sz w:val="20"/>
          <w:szCs w:val="20"/>
          <w:color w:val="auto"/>
        </w:rPr>
      </w:pPr>
    </w:p>
    <w:p>
      <w:pPr>
        <w:spacing w:after="0" w:line="2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We recorded net interest expense of $14,000 in the first quarter of 2014 compared to $1,000 in the first quarter of 2013 as we earned less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on a lower average cash balance in the first quarter 2014 as compared to the first quarter 2013. Interest expense related to the unused revolving credit line fee and amortization of deferred financing costs on our revolving credit facility with TD Bank remained consistent at approximately $15,000 in both the first quarter of 2014 and the first quarter of 2013. See “Liquidity and Capital Resources” below for more information.</w:t>
      </w:r>
    </w:p>
    <w:p>
      <w:pPr>
        <w:spacing w:after="0" w:line="200" w:lineRule="exact"/>
        <w:rPr>
          <w:sz w:val="20"/>
          <w:szCs w:val="20"/>
          <w:color w:val="auto"/>
        </w:rPr>
      </w:pPr>
    </w:p>
    <w:p>
      <w:pPr>
        <w:spacing w:after="0" w:line="24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$8,000 in the first quarter of 2014 compared to other income of $37,000 in the first quarter of 2013. The 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due to higher foreign currency transaction exchange losses recorded by our U.K. subsidiary in the first quarter of 2014 compared gains recorded in the first quarter of 2013.</w:t>
      </w:r>
    </w:p>
    <w:p>
      <w:pPr>
        <w:spacing w:after="0" w:line="200" w:lineRule="exact"/>
        <w:rPr>
          <w:sz w:val="20"/>
          <w:szCs w:val="20"/>
          <w:color w:val="auto"/>
        </w:rPr>
      </w:pPr>
    </w:p>
    <w:p>
      <w:pPr>
        <w:spacing w:after="0" w:line="2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recorded an income tax provision for the first quarter of 2014 of $215,000 at an effective tax rate of 35.3%, compared to an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 during the first quarter of 2013 of $278,000 at an effective tax rate of 19.3%. Our effective tax rate for the first quarter of 2013 was unusually low due because it included the full-year benefit from the 2012 federal research and development (“R&amp;D”) credit of approximately $220,000 as this credit expired at the end of 2011 and was not renewed until January 2, 2013 as a component of the American Taxpayer Relief Act of 2012 (the “Act”). Our effective tax rate for the first quarter 2014 does not include any benefit from the federal R&amp;D credit, as this credit again expired at the end of 2013. As a result, if this credit is not renewed, we expect our effective tax rate for the remainder of 2014 to be between 35% and 36%.</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quarter of 2014 of $394,000, or $0.05 per diluted share, compared to $1,160,000, or $0.13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first quarter of 2013.</w:t>
      </w:r>
    </w:p>
    <w:p>
      <w:pPr>
        <w:spacing w:after="0" w:line="1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u w:val="single" w:color="auto"/>
          <w:color w:val="auto"/>
        </w:rPr>
        <w:t>Impact of Inflation.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inflation has not had a material impact on our results of operations for the three months ended March 31, 2014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2013. However, there can be no assurance that future inflation would not have an adverse impact upon our future operation results and financial condition.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the first three months of 2014, our cash and cash equivalents balance increased $269,000, or 9%, from December 31, 2013 and we ended the first quarter of 2014 with $3,205,000 in cash and cash equivalents and no debt outstanding.</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$1,144,000 in the first three months of 2014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cash provided by operating activities of $2,319,000 in the first three months of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2014:</w:t>
      </w:r>
    </w:p>
    <w:p>
      <w:pPr>
        <w:spacing w:after="0" w:line="23" w:lineRule="exact"/>
        <w:rPr>
          <w:sz w:val="20"/>
          <w:szCs w:val="20"/>
          <w:color w:val="auto"/>
        </w:rPr>
      </w:pPr>
    </w:p>
    <w:p>
      <w:pPr>
        <w:ind w:left="1140" w:hanging="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$394,000.</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$505,000, including $78,000 of amortization related to intangible assets acquired from Printrex.</w:t>
      </w:r>
    </w:p>
    <w:p>
      <w:pPr>
        <w:ind w:left="1140" w:right="20" w:hanging="132"/>
        <w:spacing w:after="0" w:line="25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receivable decreased $329,000, or 2%, due to collections made from the high concentration of sales made during the latter portion of the fourth quarter of 2013.</w:t>
      </w:r>
    </w:p>
    <w:p>
      <w:pPr>
        <w:ind w:left="1140" w:hanging="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Inventories remained consistent, increasing $41,000, or less than 1%.</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Prepaid income taxes declined $198,000, or 51%, due to the income tax provision recorded for the first quarter 2014.</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current and long-term assets increased, $212,000, or 38%, due largely to advance payments made in the first quarter 2014 for tradeshow and annual ERP software maintenance expenses.</w:t>
      </w:r>
    </w:p>
    <w:p>
      <w:pPr>
        <w:ind w:left="1140" w:hanging="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payable remained consistent, decreasing $27,000, or less than 1%.</w:t>
      </w:r>
    </w:p>
    <w:p>
      <w:pPr>
        <w:spacing w:after="0" w:line="9" w:lineRule="exact"/>
        <w:rPr>
          <w:rFonts w:ascii="Arial" w:cs="Arial" w:eastAsia="Arial" w:hAnsi="Arial"/>
          <w:sz w:val="18"/>
          <w:szCs w:val="18"/>
          <w:color w:val="auto"/>
        </w:rPr>
      </w:pPr>
    </w:p>
    <w:p>
      <w:pPr>
        <w:ind w:left="1140" w:hanging="132"/>
        <w:spacing w:after="0" w:line="290" w:lineRule="auto"/>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$10,000 due primarily to the payment of 2013 annual bonuses in March 2014 largely offset by increases in accrued salaries as well as deferred revenue from new Epicentral maintenance and testing services contracts.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2013:</w:t>
      </w:r>
    </w:p>
    <w:p>
      <w:pPr>
        <w:spacing w:after="0" w:line="23" w:lineRule="exact"/>
        <w:rPr>
          <w:sz w:val="20"/>
          <w:szCs w:val="20"/>
          <w:color w:val="auto"/>
        </w:rPr>
      </w:pPr>
    </w:p>
    <w:p>
      <w:pPr>
        <w:ind w:left="1140" w:hanging="13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reported net income of $1,160,000.</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$588,000, including $78,000 of amortization related to intangible assets acquired from Printrex.</w:t>
      </w:r>
    </w:p>
    <w:p>
      <w:pPr>
        <w:ind w:left="1140" w:right="20" w:hanging="132"/>
        <w:spacing w:after="0" w:line="250"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receivable decreased $5,133,000 due primarily to collections made from the high concentration of sales made during the latter portion of the fourth quarter of 2012.</w:t>
      </w:r>
    </w:p>
    <w:p>
      <w:pPr>
        <w:ind w:left="1140" w:hanging="13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Inventories increased $900,000 as we increased stocking levels of our newly launched food safety and Printrex products.</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payable decreased $2,398,000 due primarily to higher payments during the quarter from inventory purchased in the fourth quarter of 2012 to support the higher sales volume during that period.</w:t>
      </w:r>
    </w:p>
    <w:p>
      <w:pPr>
        <w:ind w:left="1140" w:hanging="13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$942,000 due primarily to the payment of 2012 annual bonuses in March 2013.</w:t>
      </w:r>
    </w:p>
    <w:p>
      <w:pPr>
        <w:spacing w:after="0" w:line="238" w:lineRule="exact"/>
        <w:rPr>
          <w:sz w:val="20"/>
          <w:szCs w:val="20"/>
          <w:color w:val="auto"/>
        </w:rPr>
      </w:pPr>
    </w:p>
    <w:p>
      <w:pPr>
        <w:jc w:val="both"/>
        <w:spacing w:after="0" w:line="300"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Our capital expenditures were $288,000 and $226,000 in the first three months of 2014 and 2013, respectively. Expenditures in 2014</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approximately $224,000 of costs incurred for the purchase of new product tooling and the remaining amount primarily for the purchase of new computer equipment. Expenditures in 2013 included approximately $89,000 for costs incurred in connection with an upgrade to the Company’s ER software and the remaining amount primarily for the purchase of new product tooling and computer equipment. Additionally, our capitalized software development costs were $0 and $42,000 in the first three months of 2014 and 2013, respectively, all of which was related to our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print system.</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including capitalized software development costs, for 2014 are expected to be approximately $1,000,000 primarily for new product tooling and tooling enhancements for our existing products.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$582,000 of cash from financing activities during the first three months of 2014 to pay dividends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During the first three months of 2013, we used $1,128,000 of cash from financing activities to purchase $692,000 of common stock for treasury and $519,000 to pay our quarterly cash dividend to common shareholders, partially offset by proceeds and tax benefits from stock option exercises of $83,000.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working capital remained consistent, increasing less than 1% to $24,935,000 at March 31, 2014 from $24,871,000 at December 31, 2013. Our current ratio remained unchanged at 4.4 as of March 31, 2014 and December 31, 2013.</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a credit facility (the “TD Bank Credit Facility”) with TD Bank which provides for a $20,000,000 revolving credit line that expires on November 28, 2014. Borrowings under the TD Bank Credit Facility bear a floating rate of interest at the prime rate minus one percent and are secured by a lien on all of our assets. We also pay a fee of 0.25% on unused borrowings under the TD Bank Credit Facility. We expect to renew our credit facility with TD Bank or replace it with a similar credit facility from another institution during 2014.</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7, 2012, we signed an amendment to the TD Bank Credit Facility that allows us to declare and pay cash dividends to holders of our outstanding common shares subject to approval by our Board of Directors and provided that no default or event of default has occurred and is continuing under the credit facility on the date of the dividend payment. The amendment also allows us to use up to $5,000,000 in revolving credit loans to fund future cash dividend payments or treasury share buybacks as well as requires cash dividend payments to be treated as distributions for purposes of quarterly debt covenant calculations.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March 31, 2014. The following table lists the financial covenants and the performance measurements at March 31, 2014: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0"/>
              </w:rPr>
              <w:t>Financial Covenant</w:t>
            </w:r>
          </w:p>
        </w:tc>
        <w:tc>
          <w:tcPr>
            <w:tcW w:w="32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Requirement/Restriction</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Calculation at March 31, 2014</w:t>
            </w:r>
          </w:p>
        </w:tc>
      </w:tr>
      <w:tr>
        <w:trPr>
          <w:trHeight w:val="216"/>
        </w:trPr>
        <w:tc>
          <w:tcPr>
            <w:tcW w:w="46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Operating cash flow / Total debt service</w:t>
            </w:r>
          </w:p>
        </w:tc>
        <w:tc>
          <w:tcPr>
            <w:tcW w:w="32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Minimum of 1.25 times</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54.9 times</w:t>
            </w:r>
          </w:p>
        </w:tc>
      </w:tr>
      <w:tr>
        <w:trPr>
          <w:trHeight w:val="230"/>
        </w:trPr>
        <w:tc>
          <w:tcPr>
            <w:tcW w:w="4600" w:type="dxa"/>
            <w:vAlign w:val="bottom"/>
          </w:tcPr>
          <w:p>
            <w:pPr>
              <w:jc w:val="center"/>
              <w:ind w:left="110"/>
              <w:spacing w:after="0"/>
              <w:rPr>
                <w:sz w:val="20"/>
                <w:szCs w:val="20"/>
                <w:color w:val="auto"/>
              </w:rPr>
            </w:pPr>
            <w:r>
              <w:rPr>
                <w:rFonts w:ascii="Arial" w:cs="Arial" w:eastAsia="Arial" w:hAnsi="Arial"/>
                <w:sz w:val="18"/>
                <w:szCs w:val="18"/>
                <w:color w:val="auto"/>
                <w:w w:val="93"/>
              </w:rPr>
              <w:t>Funded Debt / EBITDA</w:t>
            </w:r>
          </w:p>
        </w:tc>
        <w:tc>
          <w:tcPr>
            <w:tcW w:w="3220" w:type="dxa"/>
            <w:vAlign w:val="bottom"/>
          </w:tcPr>
          <w:p>
            <w:pPr>
              <w:jc w:val="center"/>
              <w:ind w:left="30"/>
              <w:spacing w:after="0"/>
              <w:rPr>
                <w:sz w:val="20"/>
                <w:szCs w:val="20"/>
                <w:color w:val="auto"/>
              </w:rPr>
            </w:pPr>
            <w:r>
              <w:rPr>
                <w:rFonts w:ascii="Arial" w:cs="Arial" w:eastAsia="Arial" w:hAnsi="Arial"/>
                <w:sz w:val="18"/>
                <w:szCs w:val="18"/>
                <w:color w:val="auto"/>
                <w:w w:val="94"/>
              </w:rPr>
              <w:t>Maximum of 3.0 times</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0 times</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undrawn commitments under the TD Bank Credit facility were $20,000,000.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10, 2012, we announced that our Board of Directors approved the initiation of a quarterly cash dividend program which is subject to the Board’s approval each quarter. On May 2, 2013, our Board of Directors declared an increase to the quarterly cash dividend from $0.06 per share to $0.07 per share. For the three months ended March 31, 2014, our Board of Directors declared a quarterly cash dividend of $0.07 per share, totaling approximately $582,000, which was paid in March 2014 to common shareholders of record at the close of business on February 20, 2014. We expect to pay approximately $2,400,000 in cash dividends to our common shareholders during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 to its expiration on May 27, 2013, we maintained a stock repurchase program (the “Stock Repurchase Program”) whereby we were authorized to repurchase up to $15,000,000, as increased from $10,000,000 in March 2012, of our outstanding shares of common stock from time to time in the open market, depending on market conditions, share price and other factors. The Stock Repurchase Program expired on May 27, 2013 and was not renewed. During the three months ended March 31, 2013, we repurchased 88,900 shares of our common stock for approximately $692,000 at an average price per share of $7.78 under the Stock Repurchase Program. As of March 31, 2014, no additional shares are authorized for future repurchases due to the expiration of the Stock Repurchase Program.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We believe that our cash and cash equivalents on hand and cash flows generated from operating activities will provide sufficient resources to meet our working capital needs, finance our capital expenditures and dividend payments and meet our liquidity requirements through at least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2013. There have been no material changes in our contractual obligations outside the ordinary course of business since December 31, 2013. We have no material off-balance sheet arrangements as defined in Item 303(a)(4)(ii) of Regulation S-K.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2013. There has been no material change in our exposure to market risk during the three months ended March 31, 2014.</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recognized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2014, our Chief Executive Officer and Chief Financial Officer concluded that, as of such date, our disclosure controls and procedures were effective at the reasonable assurance level.</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March 31, 2014 that has materially affected, or is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8, 2012, Avery Dennison Corporation (“AD”) filed a civil complaint against the Company and a former employee of the Company and of AD, in the Court of Common Pleas (the “Court”)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the Company’s further sale and marketing of the food safety terminals, pending the appeals court's decision. On July 29, 2013, TransAct opposed this request. On October 15, 2013, the Eleventh District Court of Appeals affirmed the lower court’s decision in the Company’s favor and denied AD’s further request for an injunction pending the Court of Appeal’s decision. On October 24, 2013, AD filed a motion seeking that the Court of Appeals reconsider its decision. On April 16, 2014, the Court of Appeals denied AD’s motion to reconsider its decision.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2013.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27, 2013, the Company’s Stock Repurchase Program expired and was not renewed. From January 1, 2013 through March 31, 2013, we repurchased 88,900 shares of our common stock for approximately $692,000 at an average price per share of $7.78. As of March 31, 2014, no additional shares are authorized for future repurchases due to the expiration of the Stock Repurchase Program. For additional information, see the discussion under “Management’s Discussion and Analysis of Financial Condition and Results of Operations — Liquidity and Capital Resources — Stock Repurchase Program,” above.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Exhibit 31.1</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31.2</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32.1</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Exhibit 32.2</w:t>
            </w:r>
          </w:p>
        </w:tc>
        <w:tc>
          <w:tcPr>
            <w:tcW w:w="10160" w:type="dxa"/>
            <w:vAlign w:val="bottom"/>
          </w:tcPr>
          <w:p>
            <w:pPr>
              <w:ind w:left="3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51"/>
        </w:trPr>
        <w:tc>
          <w:tcPr>
            <w:tcW w:w="1260" w:type="dxa"/>
            <w:vAlign w:val="bottom"/>
          </w:tcPr>
          <w:p>
            <w:pPr>
              <w:spacing w:after="0"/>
              <w:rPr>
                <w:sz w:val="24"/>
                <w:szCs w:val="24"/>
                <w:color w:val="auto"/>
              </w:rPr>
            </w:pPr>
          </w:p>
        </w:tc>
        <w:tc>
          <w:tcPr>
            <w:tcW w:w="10160" w:type="dxa"/>
            <w:vAlign w:val="bottom"/>
          </w:tcPr>
          <w:p>
            <w:pPr>
              <w:ind w:left="4360"/>
              <w:spacing w:after="0"/>
              <w:rPr>
                <w:sz w:val="20"/>
                <w:szCs w:val="20"/>
                <w:color w:val="auto"/>
              </w:rPr>
            </w:pPr>
            <w:r>
              <w:rPr>
                <w:rFonts w:ascii="Arial" w:cs="Arial" w:eastAsia="Arial" w:hAnsi="Arial"/>
                <w:sz w:val="18"/>
                <w:szCs w:val="18"/>
                <w:color w:val="auto"/>
              </w:rPr>
              <w:t>18</w:t>
            </w:r>
          </w:p>
        </w:tc>
      </w:tr>
      <w:tr>
        <w:trPr>
          <w:trHeight w:val="118"/>
        </w:trPr>
        <w:tc>
          <w:tcPr>
            <w:tcW w:w="1260" w:type="dxa"/>
            <w:vAlign w:val="bottom"/>
            <w:tcBorders>
              <w:bottom w:val="single" w:sz="8" w:color="808080"/>
            </w:tcBorders>
          </w:tcPr>
          <w:p>
            <w:pPr>
              <w:spacing w:after="0"/>
              <w:rPr>
                <w:sz w:val="10"/>
                <w:szCs w:val="10"/>
                <w:color w:val="auto"/>
              </w:rPr>
            </w:pPr>
          </w:p>
        </w:tc>
        <w:tc>
          <w:tcPr>
            <w:tcW w:w="10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80" w:type="dxa"/>
            <w:vAlign w:val="bottom"/>
          </w:tcPr>
          <w:p>
            <w:pPr>
              <w:spacing w:after="0"/>
              <w:rPr>
                <w:sz w:val="20"/>
                <w:szCs w:val="20"/>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 TECHNOLOGIES INCORPORATED</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1"/>
        </w:trPr>
        <w:tc>
          <w:tcPr>
            <w:tcW w:w="5580" w:type="dxa"/>
            <w:vAlign w:val="bottom"/>
          </w:tcPr>
          <w:p>
            <w:pPr>
              <w:spacing w:after="0"/>
              <w:rPr>
                <w:sz w:val="24"/>
                <w:szCs w:val="24"/>
                <w:color w:val="auto"/>
              </w:rPr>
            </w:pP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May 9, 2014</w:t>
            </w:r>
          </w:p>
        </w:tc>
        <w:tc>
          <w:tcPr>
            <w:tcW w:w="5840" w:type="dxa"/>
            <w:vAlign w:val="bottom"/>
          </w:tcPr>
          <w:p>
            <w:pPr>
              <w:spacing w:after="0" w:line="201" w:lineRule="exact"/>
              <w:rPr>
                <w:sz w:val="20"/>
                <w:szCs w:val="20"/>
                <w:color w:val="auto"/>
              </w:rPr>
            </w:pPr>
            <w:r>
              <w:rPr>
                <w:rFonts w:ascii="Arial" w:cs="Arial" w:eastAsia="Arial" w:hAnsi="Arial"/>
                <w:sz w:val="18"/>
                <w:szCs w:val="18"/>
                <w:color w:val="auto"/>
              </w:rPr>
              <w:t>Steven A. DeMartino</w:t>
            </w:r>
          </w:p>
        </w:tc>
      </w:tr>
      <w:tr>
        <w:trPr>
          <w:trHeight w:val="216"/>
        </w:trPr>
        <w:tc>
          <w:tcPr>
            <w:tcW w:w="55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President, Chief Financial Officer, Treasurer and Secretary</w:t>
            </w:r>
          </w:p>
        </w:tc>
      </w:tr>
      <w:tr>
        <w:trPr>
          <w:trHeight w:val="230"/>
        </w:trPr>
        <w:tc>
          <w:tcPr>
            <w:tcW w:w="55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08"/>
        </w:trPr>
        <w:tc>
          <w:tcPr>
            <w:tcW w:w="5580" w:type="dxa"/>
            <w:vAlign w:val="bottom"/>
          </w:tcPr>
          <w:p>
            <w:pPr>
              <w:spacing w:after="0"/>
              <w:rPr>
                <w:sz w:val="24"/>
                <w:szCs w:val="24"/>
                <w:color w:val="auto"/>
              </w:rPr>
            </w:pPr>
          </w:p>
        </w:tc>
        <w:tc>
          <w:tcPr>
            <w:tcW w:w="5840" w:type="dxa"/>
            <w:vAlign w:val="bottom"/>
          </w:tcPr>
          <w:p>
            <w:pPr>
              <w:ind w:left="40"/>
              <w:spacing w:after="0"/>
              <w:rPr>
                <w:sz w:val="20"/>
                <w:szCs w:val="20"/>
                <w:color w:val="auto"/>
              </w:rPr>
            </w:pPr>
            <w:r>
              <w:rPr>
                <w:rFonts w:ascii="Arial" w:cs="Arial" w:eastAsia="Arial" w:hAnsi="Arial"/>
                <w:sz w:val="18"/>
                <w:szCs w:val="18"/>
                <w:color w:val="auto"/>
              </w:rPr>
              <w:t>19</w:t>
            </w:r>
          </w:p>
        </w:tc>
      </w:tr>
      <w:tr>
        <w:trPr>
          <w:trHeight w:val="118"/>
        </w:trPr>
        <w:tc>
          <w:tcPr>
            <w:tcW w:w="5580" w:type="dxa"/>
            <w:vAlign w:val="bottom"/>
            <w:tcBorders>
              <w:bottom w:val="single" w:sz="8" w:color="808080"/>
            </w:tcBorders>
          </w:tcPr>
          <w:p>
            <w:pPr>
              <w:spacing w:after="0"/>
              <w:rPr>
                <w:sz w:val="10"/>
                <w:szCs w:val="10"/>
                <w:color w:val="auto"/>
              </w:rPr>
            </w:pPr>
          </w:p>
        </w:tc>
        <w:tc>
          <w:tcPr>
            <w:tcW w:w="5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8740" w:type="dxa"/>
            <w:vAlign w:val="bottom"/>
          </w:tcPr>
          <w:p>
            <w:pPr>
              <w:ind w:left="4200"/>
              <w:spacing w:after="0"/>
              <w:rPr>
                <w:sz w:val="20"/>
                <w:szCs w:val="20"/>
                <w:color w:val="auto"/>
              </w:rPr>
            </w:pPr>
            <w:r>
              <w:rPr>
                <w:rFonts w:ascii="Arial" w:cs="Arial" w:eastAsia="Arial" w:hAnsi="Arial"/>
                <w:sz w:val="18"/>
                <w:szCs w:val="18"/>
                <w:color w:val="auto"/>
              </w:rPr>
              <w:t>EXHIBIT LIST</w:t>
            </w:r>
          </w:p>
        </w:tc>
      </w:tr>
      <w:tr>
        <w:trPr>
          <w:trHeight w:val="459"/>
        </w:trPr>
        <w:tc>
          <w:tcPr>
            <w:tcW w:w="968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87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874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98"/>
        </w:trPr>
        <w:tc>
          <w:tcPr>
            <w:tcW w:w="940" w:type="dxa"/>
            <w:vAlign w:val="bottom"/>
          </w:tcPr>
          <w:p>
            <w:pPr>
              <w:spacing w:after="0"/>
              <w:rPr>
                <w:sz w:val="24"/>
                <w:szCs w:val="24"/>
                <w:color w:val="auto"/>
              </w:rPr>
            </w:pPr>
          </w:p>
        </w:tc>
        <w:tc>
          <w:tcPr>
            <w:tcW w:w="8740" w:type="dxa"/>
            <w:vAlign w:val="bottom"/>
          </w:tcPr>
          <w:p>
            <w:pPr>
              <w:ind w:left="4700"/>
              <w:spacing w:after="0"/>
              <w:rPr>
                <w:sz w:val="20"/>
                <w:szCs w:val="20"/>
                <w:color w:val="auto"/>
              </w:rPr>
            </w:pPr>
            <w:r>
              <w:rPr>
                <w:rFonts w:ascii="Arial" w:cs="Arial" w:eastAsia="Arial" w:hAnsi="Arial"/>
                <w:sz w:val="14"/>
                <w:szCs w:val="14"/>
                <w:color w:val="auto"/>
              </w:rPr>
              <w:t>20</w:t>
            </w:r>
          </w:p>
        </w:tc>
      </w:tr>
    </w:tbl>
    <w:p>
      <w:pPr>
        <w:sectPr>
          <w:pgSz w:w="11900" w:h="16838" w:orient="portrait"/>
          <w:cols w:equalWidth="0" w:num="1">
            <w:col w:w="10219"/>
          </w:cols>
          <w:pgMar w:left="240" w:top="517" w:right="1440" w:bottom="1440"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807085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3" w:name="page24"/>
    <w:bookmarkEnd w:id="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March 31, 2014, as filed with the Securities and Exchange Commission on the date hereof (the “Report”), I, Bart C. Shuldman, Chairman and Chief Executive Officer of the Company, certify, pursuant to 18 U.S.C. § 1350, as adopted pursuant to § 906 of the Sarbanes-Oxley Act of 2002, that to the best of my knowledge:</w:t>
      </w:r>
    </w:p>
    <w:p>
      <w:pPr>
        <w:spacing w:after="0" w:line="193" w:lineRule="exact"/>
        <w:rPr>
          <w:sz w:val="20"/>
          <w:szCs w:val="20"/>
          <w:color w:val="auto"/>
        </w:rPr>
      </w:pPr>
    </w:p>
    <w:p>
      <w:pPr>
        <w:ind w:left="820" w:hanging="30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TransAct Technologies Incorporated (the “Company”) on Form 10-Q for the period ending March 31, 2014, as filed with the Securities and Exchange Commission on the date hereof (the “Report”), I, Steven A. DeMartino, President, Chief Financial Officer, Treasurer and Secretary of the Company, certify, pursuant to 18 U.S.C. § 1350, as adopted pursuant to § 906 of the Sarbanes-Oxley Act of 2002, that to the best of my knowledge:</w:t>
      </w:r>
    </w:p>
    <w:p>
      <w:pPr>
        <w:spacing w:after="0" w:line="214" w:lineRule="exact"/>
        <w:rPr>
          <w:sz w:val="20"/>
          <w:szCs w:val="20"/>
          <w:color w:val="auto"/>
        </w:rPr>
      </w:pPr>
    </w:p>
    <w:p>
      <w:pPr>
        <w:ind w:left="820" w:hanging="30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May 9,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0200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20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2019-12-06T14:47:55Z</dcterms:created>
  <dcterms:modified xsi:type="dcterms:W3CDTF">2019-12-06T14:47:55Z</dcterms:modified>
</cp:coreProperties>
</file>