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5715</wp:posOffset>
            </wp:positionV>
            <wp:extent cx="369633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4"/>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No.)</w:t>
            </w:r>
          </w:p>
        </w:tc>
      </w:tr>
      <w:tr>
        <w:trPr>
          <w:trHeight w:val="452"/>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4"/>
          </w:tcPr>
          <w:p>
            <w:pPr>
              <w:jc w:val="right"/>
              <w:ind w:right="2410"/>
              <w:spacing w:after="0"/>
              <w:rPr>
                <w:sz w:val="20"/>
                <w:szCs w:val="20"/>
                <w:color w:val="auto"/>
              </w:rPr>
            </w:pPr>
            <w:r>
              <w:rPr>
                <w:rFonts w:ascii="Arial" w:cs="Arial" w:eastAsia="Arial" w:hAnsi="Arial"/>
                <w:sz w:val="18"/>
                <w:szCs w:val="18"/>
                <w:b w:val="1"/>
                <w:bCs w:val="1"/>
                <w:color w:val="auto"/>
              </w:rPr>
              <w:t>06518</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6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06" w:right="239" w:bottom="1440" w:gutter="0" w:footer="0" w:header="0"/>
        </w:sectPr>
      </w:pPr>
    </w:p>
    <w:p>
      <w:pPr>
        <w:spacing w:after="0" w:line="261" w:lineRule="auto"/>
        <w:rPr>
          <w:sz w:val="20"/>
          <w:szCs w:val="20"/>
          <w:color w:val="auto"/>
        </w:rPr>
      </w:pPr>
      <w:r>
        <w:rPr>
          <w:rFonts w:ascii="Arial" w:cs="Arial" w:eastAsia="Arial" w:hAnsi="Arial"/>
          <w:sz w:val="18"/>
          <w:szCs w:val="18"/>
          <w:color w:val="auto"/>
        </w:rPr>
        <w:t>Large accelerated filer o Accelerated filer o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4" w:lineRule="exact"/>
        <w:rPr>
          <w:sz w:val="24"/>
          <w:szCs w:val="24"/>
          <w:color w:val="auto"/>
        </w:rPr>
      </w:pPr>
    </w:p>
    <w:p>
      <w:pPr>
        <w:sectPr>
          <w:pgSz w:w="11900" w:h="16838" w:orient="portrait"/>
          <w:cols w:equalWidth="0" w:num="2">
            <w:col w:w="8500" w:space="100"/>
            <w:col w:w="2820"/>
          </w:cols>
          <w:pgMar w:left="240" w:top="206"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3">
            <w:col w:w="8500" w:space="120"/>
            <w:col w:w="460" w:space="120"/>
            <w:col w:w="2220"/>
          </w:cols>
          <w:pgMar w:left="240" w:top="206"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As of April 29, 2016, the number of shares outstanding of the Company’s common stock, $0.01 par value, was 7,659,564.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5"/>
          </w:tcPr>
          <w:p>
            <w:pPr>
              <w:spacing w:after="0"/>
              <w:rPr>
                <w:sz w:val="20"/>
                <w:szCs w:val="20"/>
                <w:color w:val="auto"/>
              </w:rPr>
            </w:pPr>
            <w:r>
              <w:rPr>
                <w:rFonts w:ascii="Arial" w:cs="Arial" w:eastAsia="Arial" w:hAnsi="Arial"/>
                <w:sz w:val="18"/>
                <w:szCs w:val="18"/>
                <w:color w:val="0000EE"/>
              </w:rPr>
              <w:t>PART I - Financial Information:</w:t>
            </w:r>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2"/>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7120" w:type="dxa"/>
            <w:vAlign w:val="bottom"/>
            <w:gridSpan w:val="1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2016 and December 31, 2015</w:t>
              </w:r>
            </w:hyperlink>
          </w:p>
        </w:tc>
        <w:tc>
          <w:tcPr>
            <w:tcW w:w="322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three months ended March 31, 2016 and 201</w:t>
              </w:r>
            </w:hyperlink>
            <w:r>
              <w:rPr>
                <w:rFonts w:ascii="Arial" w:cs="Arial" w:eastAsia="Arial" w:hAnsi="Arial"/>
                <w:sz w:val="18"/>
                <w:szCs w:val="18"/>
                <w:color w:val="000000"/>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for the three months ended March 31, 2016 and 201</w:t>
              </w:r>
            </w:hyperlink>
            <w:r>
              <w:rPr>
                <w:rFonts w:ascii="Arial" w:cs="Arial" w:eastAsia="Arial" w:hAnsi="Arial"/>
                <w:sz w:val="18"/>
                <w:szCs w:val="18"/>
                <w:color w:val="000000"/>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360" w:type="dxa"/>
            <w:vAlign w:val="bottom"/>
            <w:tcBorders>
              <w:top w:val="single" w:sz="8" w:color="0000EE"/>
            </w:tcBorders>
            <w:gridSpan w:val="21"/>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Cash Flows for the three months ended March 31, 2016 and 201</w:t>
              </w:r>
            </w:hyperlink>
            <w:r>
              <w:rPr>
                <w:rFonts w:ascii="Arial" w:cs="Arial" w:eastAsia="Arial" w:hAnsi="Arial"/>
                <w:sz w:val="18"/>
                <w:szCs w:val="18"/>
                <w:color w:val="000000"/>
                <w:w w:val="98"/>
              </w:rPr>
              <w:t>5</w:t>
            </w:r>
          </w:p>
        </w:tc>
        <w:tc>
          <w:tcPr>
            <w:tcW w:w="1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00" w:type="dxa"/>
            <w:vAlign w:val="bottom"/>
            <w:tcBorders>
              <w:top w:val="single" w:sz="8" w:color="0000EE"/>
            </w:tcBorders>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00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1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51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774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82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SIGNATURES</w:t>
              </w:r>
            </w:hyperlink>
          </w:p>
        </w:tc>
        <w:tc>
          <w:tcPr>
            <w:tcW w:w="930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871"/>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5"/>
          </w:tcPr>
          <w:p>
            <w:pPr>
              <w:jc w:val="center"/>
              <w:ind w:left="4250"/>
              <w:spacing w:after="0"/>
              <w:rPr>
                <w:sz w:val="20"/>
                <w:szCs w:val="20"/>
                <w:color w:val="auto"/>
              </w:rPr>
            </w:pPr>
            <w:r>
              <w:rPr>
                <w:rFonts w:ascii="Arial" w:cs="Arial" w:eastAsia="Arial" w:hAnsi="Arial"/>
                <w:sz w:val="18"/>
                <w:szCs w:val="18"/>
                <w:color w:val="auto"/>
                <w:w w:val="99"/>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4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940" w:type="dxa"/>
            <w:vAlign w:val="bottom"/>
          </w:tcPr>
          <w:p>
            <w:pPr>
              <w:jc w:val="center"/>
              <w:ind w:left="1470"/>
              <w:spacing w:after="0"/>
              <w:rPr>
                <w:sz w:val="20"/>
                <w:szCs w:val="20"/>
                <w:color w:val="auto"/>
              </w:rPr>
            </w:pPr>
            <w:r>
              <w:rPr>
                <w:rFonts w:ascii="Arial" w:cs="Arial" w:eastAsia="Arial" w:hAnsi="Arial"/>
                <w:sz w:val="18"/>
                <w:szCs w:val="18"/>
                <w:b w:val="1"/>
                <w:bCs w:val="1"/>
                <w:color w:val="auto"/>
              </w:rPr>
              <w:t>TRANSACT TECHNOLOGIES INCORPORATED</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9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(unaudited)</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6"/>
              </w:rPr>
              <w:t>March 31,</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6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ind w:left="20"/>
              <w:spacing w:after="0" w:line="201" w:lineRule="exact"/>
              <w:rPr>
                <w:sz w:val="20"/>
                <w:szCs w:val="20"/>
                <w:color w:val="auto"/>
              </w:rPr>
            </w:pPr>
            <w:r>
              <w:rPr>
                <w:rFonts w:ascii="Arial" w:cs="Arial" w:eastAsia="Arial" w:hAnsi="Arial"/>
                <w:sz w:val="18"/>
                <w:szCs w:val="18"/>
                <w:i w:val="1"/>
                <w:iCs w:val="1"/>
                <w:color w:val="auto"/>
                <w:w w:val="96"/>
              </w:rPr>
              <w:t>(In thousands,</w:t>
            </w:r>
          </w:p>
        </w:tc>
        <w:tc>
          <w:tcPr>
            <w:tcW w:w="1360" w:type="dxa"/>
            <w:vAlign w:val="bottom"/>
            <w:gridSpan w:val="3"/>
          </w:tcPr>
          <w:p>
            <w:pPr>
              <w:jc w:val="right"/>
              <w:ind w:right="10"/>
              <w:spacing w:after="0" w:line="201" w:lineRule="exact"/>
              <w:rPr>
                <w:sz w:val="20"/>
                <w:szCs w:val="20"/>
                <w:color w:val="auto"/>
              </w:rPr>
            </w:pPr>
            <w:r>
              <w:rPr>
                <w:rFonts w:ascii="Arial" w:cs="Arial" w:eastAsia="Arial" w:hAnsi="Arial"/>
                <w:sz w:val="18"/>
                <w:szCs w:val="18"/>
                <w:i w:val="1"/>
                <w:iCs w:val="1"/>
                <w:color w:val="auto"/>
                <w:w w:val="83"/>
              </w:rPr>
              <w:t>except 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9,353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6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480"/>
              <w:spacing w:after="0"/>
              <w:rPr>
                <w:sz w:val="20"/>
                <w:szCs w:val="20"/>
                <w:color w:val="auto"/>
              </w:rPr>
            </w:pPr>
            <w:r>
              <w:rPr>
                <w:rFonts w:ascii="Arial" w:cs="Arial" w:eastAsia="Arial" w:hAnsi="Arial"/>
                <w:sz w:val="18"/>
                <w:szCs w:val="18"/>
                <w:color w:val="auto"/>
              </w:rPr>
              <w:t>Deferred tax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688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ind w:left="80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24,671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6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Goodwill</w:t>
            </w:r>
          </w:p>
        </w:tc>
        <w:tc>
          <w:tcPr>
            <w:tcW w:w="6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Deferred tax assets</w:t>
            </w:r>
          </w:p>
        </w:tc>
        <w:tc>
          <w:tcPr>
            <w:tcW w:w="6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$2,861 and $2,779, respectively</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806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6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9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31,893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liabilities:</w:t>
            </w:r>
          </w:p>
        </w:tc>
        <w:tc>
          <w:tcPr>
            <w:tcW w:w="6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ind w:left="48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221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289</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555</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6,435</w:t>
            </w: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3"/>
              </w:rPr>
              <w:t>Common stock, $0.01 par value, 20,000,000 shares authorized; 11,181,581 and 11,170,881 shares issued,</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respectively; 7,729,922 and 7,782,292 shares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outstanding, respectively</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29,163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22,958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Treasury stock, at cost, 3,451,659 and 3,388,589 shares respectively</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(26,691)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00"/>
              <w:spacing w:after="0"/>
              <w:rPr>
                <w:sz w:val="20"/>
                <w:szCs w:val="20"/>
                <w:color w:val="auto"/>
              </w:rPr>
            </w:pPr>
            <w:r>
              <w:rPr>
                <w:rFonts w:ascii="Arial" w:cs="Arial" w:eastAsia="Arial" w:hAnsi="Arial"/>
                <w:sz w:val="18"/>
                <w:szCs w:val="18"/>
                <w:color w:val="auto"/>
              </w:rPr>
              <w:t>Total shareholders’ equity</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25,458</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31,893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i w:val="1"/>
                <w:iCs w:val="1"/>
                <w:color w:val="auto"/>
                <w:w w:val="92"/>
              </w:rPr>
              <w:t>(In thousands,</w:t>
            </w:r>
          </w:p>
        </w:tc>
        <w:tc>
          <w:tcPr>
            <w:tcW w:w="1380" w:type="dxa"/>
            <w:vAlign w:val="bottom"/>
            <w:gridSpan w:val="3"/>
          </w:tcPr>
          <w:p>
            <w:pPr>
              <w:jc w:val="right"/>
              <w:ind w:right="110"/>
              <w:spacing w:after="0" w:line="201" w:lineRule="exact"/>
              <w:rPr>
                <w:sz w:val="20"/>
                <w:szCs w:val="20"/>
                <w:color w:val="auto"/>
              </w:rPr>
            </w:pPr>
            <w:r>
              <w:rPr>
                <w:rFonts w:ascii="Arial" w:cs="Arial" w:eastAsia="Arial" w:hAnsi="Arial"/>
                <w:sz w:val="18"/>
                <w:szCs w:val="18"/>
                <w:i w:val="1"/>
                <w:iCs w:val="1"/>
                <w:color w:val="auto"/>
                <w:w w:val="85"/>
              </w:rPr>
              <w:t>except per-share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ind w:right="265"/>
              <w:spacing w:after="0"/>
              <w:rPr>
                <w:sz w:val="20"/>
                <w:szCs w:val="20"/>
                <w:color w:val="auto"/>
              </w:rPr>
            </w:pPr>
            <w:r>
              <w:rPr>
                <w:rFonts w:ascii="Arial" w:cs="Arial" w:eastAsia="Arial" w:hAnsi="Arial"/>
                <w:sz w:val="18"/>
                <w:szCs w:val="18"/>
                <w:i w:val="1"/>
                <w:iCs w:val="1"/>
                <w:color w:val="auto"/>
              </w:rPr>
              <w:t>data)</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14,357</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sales</w:t>
            </w: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Gross profit</w:t>
            </w: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5,885</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Engineering, design and product development</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Selling and marketing</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Legal fees associated with lawsuit (Note 7)</w:t>
            </w: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income</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939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w:t>
            </w:r>
          </w:p>
        </w:tc>
        <w:tc>
          <w:tcPr>
            <w:tcW w:w="2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Interest, net</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936</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311</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625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0.08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Diluted</w:t>
            </w:r>
          </w:p>
        </w:tc>
        <w:tc>
          <w:tcPr>
            <w:tcW w:w="2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0.08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Diluted</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7,883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27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0.08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625</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621</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6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625</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9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324</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Deferred income tax provision (benefit)</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960"/>
              <w:spacing w:after="0"/>
              <w:rPr>
                <w:sz w:val="20"/>
                <w:szCs w:val="20"/>
                <w:color w:val="auto"/>
              </w:rPr>
            </w:pPr>
            <w:r>
              <w:rPr>
                <w:rFonts w:ascii="Arial" w:cs="Arial" w:eastAsia="Arial" w:hAnsi="Arial"/>
                <w:sz w:val="18"/>
                <w:szCs w:val="18"/>
                <w:color w:val="auto"/>
              </w:rPr>
              <w:t>Foreign currency transaction gains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(2,179)</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1,305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(1,677)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800"/>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(221)</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 of dividends on common stock</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(1,133)</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(1,581)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4,473</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2,892</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Capital expenditures funded by accounts payable</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2015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2015 included in our Annual Report on Form 10-K.</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March 31, 2016 are not necessarily indicative of the results to be expected for the full year.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0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15"/>
              <w:spacing w:after="0"/>
              <w:rPr>
                <w:sz w:val="20"/>
                <w:szCs w:val="20"/>
                <w:color w:val="auto"/>
              </w:rPr>
            </w:pPr>
            <w:r>
              <w:rPr>
                <w:rFonts w:ascii="Arial" w:cs="Arial" w:eastAsia="Arial" w:hAnsi="Arial"/>
                <w:sz w:val="18"/>
                <w:szCs w:val="18"/>
                <w:b w:val="1"/>
                <w:bCs w:val="1"/>
                <w:color w:val="auto"/>
                <w:w w:val="98"/>
              </w:rPr>
              <w:t>March 31,</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380" w:type="dxa"/>
            <w:vAlign w:val="bottom"/>
            <w:gridSpan w:val="3"/>
          </w:tcPr>
          <w:p>
            <w:pPr>
              <w:jc w:val="right"/>
              <w:ind w:right="650"/>
              <w:spacing w:after="0"/>
              <w:rPr>
                <w:sz w:val="20"/>
                <w:szCs w:val="20"/>
                <w:color w:val="auto"/>
              </w:rPr>
            </w:pPr>
            <w:r>
              <w:rPr>
                <w:rFonts w:ascii="Arial" w:cs="Arial" w:eastAsia="Arial" w:hAnsi="Arial"/>
                <w:sz w:val="17"/>
                <w:szCs w:val="17"/>
                <w:i w:val="1"/>
                <w:iCs w:val="1"/>
                <w:color w:val="auto"/>
                <w:w w:val="73"/>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240" w:type="dxa"/>
            <w:vAlign w:val="bottom"/>
            <w:gridSpan w:val="2"/>
          </w:tcPr>
          <w:p>
            <w:pPr>
              <w:jc w:val="right"/>
              <w:ind w:right="135"/>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9,921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three months ended March 31, 2016 and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89"/>
              </w:rPr>
              <w:t>Three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357"/>
              <w:spacing w:after="0"/>
              <w:rPr>
                <w:sz w:val="20"/>
                <w:szCs w:val="20"/>
                <w:color w:val="auto"/>
              </w:rPr>
            </w:pPr>
            <w:r>
              <w:rPr>
                <w:rFonts w:ascii="Arial" w:cs="Arial" w:eastAsia="Arial" w:hAnsi="Arial"/>
                <w:sz w:val="18"/>
                <w:szCs w:val="18"/>
                <w:b w:val="1"/>
                <w:bCs w:val="1"/>
                <w:color w:val="auto"/>
                <w:w w:val="96"/>
              </w:rPr>
              <w:t>March 31,</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020" w:type="dxa"/>
            <w:vAlign w:val="bottom"/>
            <w:gridSpan w:val="2"/>
          </w:tcPr>
          <w:p>
            <w:pPr>
              <w:jc w:val="right"/>
              <w:ind w:right="297"/>
              <w:spacing w:after="0"/>
              <w:rPr>
                <w:sz w:val="20"/>
                <w:szCs w:val="20"/>
                <w:color w:val="auto"/>
              </w:rPr>
            </w:pPr>
            <w:r>
              <w:rPr>
                <w:rFonts w:ascii="Arial" w:cs="Arial" w:eastAsia="Arial" w:hAnsi="Arial"/>
                <w:sz w:val="17"/>
                <w:szCs w:val="17"/>
                <w:i w:val="1"/>
                <w:iCs w:val="1"/>
                <w:color w:val="auto"/>
                <w:w w:val="73"/>
              </w:rPr>
              <w:t>thousands)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00" w:type="dxa"/>
            <w:vAlign w:val="bottom"/>
            <w:gridSpan w:val="2"/>
            <w:shd w:val="clear" w:color="auto" w:fill="CCEEFF"/>
          </w:tcPr>
          <w:p>
            <w:pPr>
              <w:jc w:val="right"/>
              <w:ind w:right="630"/>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Warranties issued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(74)</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Approximately $167,000 of the accrued product warranty liability is classified as current in Accrued liabilities at March 31, 2016 in the Condensed Consolidated Balance Sheets. The remaining $116,000 of the accrued product warranty liability is classified as long-term in Other liabilities.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i w:val="1"/>
                <w:iCs w:val="1"/>
                <w:color w:val="auto"/>
                <w:w w:val="89"/>
              </w:rPr>
              <w:t>(In thousands,</w:t>
            </w:r>
          </w:p>
        </w:tc>
        <w:tc>
          <w:tcPr>
            <w:tcW w:w="1380" w:type="dxa"/>
            <w:vAlign w:val="bottom"/>
            <w:gridSpan w:val="3"/>
          </w:tcPr>
          <w:p>
            <w:pPr>
              <w:jc w:val="right"/>
              <w:ind w:right="50"/>
              <w:spacing w:after="0" w:line="201" w:lineRule="exact"/>
              <w:rPr>
                <w:sz w:val="20"/>
                <w:szCs w:val="20"/>
                <w:color w:val="auto"/>
              </w:rPr>
            </w:pPr>
            <w:r>
              <w:rPr>
                <w:rFonts w:ascii="Arial" w:cs="Arial" w:eastAsia="Arial" w:hAnsi="Arial"/>
                <w:sz w:val="18"/>
                <w:szCs w:val="18"/>
                <w:i w:val="1"/>
                <w:iCs w:val="1"/>
                <w:color w:val="auto"/>
                <w:w w:val="90"/>
              </w:rPr>
              <w:t>except per 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ind w:right="185"/>
              <w:spacing w:after="0"/>
              <w:rPr>
                <w:sz w:val="20"/>
                <w:szCs w:val="20"/>
                <w:color w:val="auto"/>
              </w:rPr>
            </w:pPr>
            <w:r>
              <w:rPr>
                <w:rFonts w:ascii="Arial" w:cs="Arial" w:eastAsia="Arial" w:hAnsi="Arial"/>
                <w:sz w:val="18"/>
                <w:szCs w:val="18"/>
                <w:i w:val="1"/>
                <w:iCs w:val="1"/>
                <w:color w:val="auto"/>
              </w:rPr>
              <w:t>data)</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625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Shares:</w:t>
            </w:r>
          </w:p>
        </w:tc>
        <w:tc>
          <w:tcPr>
            <w:tcW w:w="1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spacing w:after="0" w:line="201" w:lineRule="exact"/>
              <w:rPr>
                <w:sz w:val="20"/>
                <w:szCs w:val="20"/>
                <w:color w:val="auto"/>
              </w:rPr>
            </w:pPr>
            <w:r>
              <w:rPr>
                <w:rFonts w:ascii="Arial" w:cs="Arial" w:eastAsia="Arial" w:hAnsi="Arial"/>
                <w:sz w:val="18"/>
                <w:szCs w:val="18"/>
                <w:color w:val="auto"/>
              </w:rPr>
              <w:t>Add: Dilutive effect of outstanding options and restricted stock units as determined</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60" w:type="dxa"/>
            <w:vAlign w:val="bottom"/>
            <w:gridSpan w:val="2"/>
          </w:tcPr>
          <w:p>
            <w:pPr>
              <w:spacing w:after="0"/>
              <w:rPr>
                <w:sz w:val="20"/>
                <w:szCs w:val="20"/>
                <w:color w:val="auto"/>
              </w:rPr>
            </w:pPr>
            <w:r>
              <w:rPr>
                <w:rFonts w:ascii="Arial" w:cs="Arial" w:eastAsia="Arial" w:hAnsi="Arial"/>
                <w:sz w:val="18"/>
                <w:szCs w:val="18"/>
                <w:color w:val="auto"/>
              </w:rPr>
              <w:t>by the treasury stock method</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and common equivalent shares outstanding</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Basic</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0.08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0.08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March 31, 2016 and 2015, there were 878,000 and 853,000, respectively, potentially dilutive shares consisting of stock awards that were excluded from the calculation of earnings per diluted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three months ended March 31, 2016 were as follows (in thousands):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25,728</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Issuance of deferred stock units, net of relinquishments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Reversal of deferred tax asset in connection with stock options forfeited</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Purchase of common stock for treasury</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declared and paid on common stock</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25,458</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2015 incentive bonus for the chief executive officer and chief financial officer in the form of deferred stock units. Such deferred stock units were granted in February 2016 and were fully vested at the time of grant.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2016, our Board of Directors declared a quarterly cash dividend of $0.08 per share, totaling approximately $623,000, which was paid in March 2016 to common shareholders of record at the close of business on February 20, 2016. For the three months ended March 31, 2015, dividends declared and paid totaled approximately $623,000, or $0.08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income tax provision for the first quarter of 2016 of $311,000 at an effective tax rate of 33.2%, compared to an income tax provision during the first quarter of 2015 of $81,000 at an effective tax rate of 36.0%. Our effective tax rate for the first quarter of 2016 was lower than the first quarter of 2015 because it includes the benefit from the 2016 federal research and development credit (“R&amp;D credit”). In 2015, the R&amp;D credit was not renewed until December 2015, and as such, the benefit was not recorded until the fourth quarter of 2015.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 (continued)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U.S. federal income tax as well as income tax of certain state and foreign jurisdictions. We have substantially concluded all U.S. federal income tax, state and local, and foreign tax matters through 2011. During 2013, an examination of our 2010 federal tax return was completed. However, our federal tax returns for the years 2012 through 2014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March 31, 2016, we had $114,000 of total gross unrecognized tax benefits that, if recognized, would favorably affect the effective income tax rate in any future periods.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food safety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Accounting pronouncements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2014, the FASB issued Accounting Standards Update (ASU)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April 2015, the FASB voted to defer the effective date of the new revenue recognition standard by one year. As a result, the provisions of this ASU are now effective for interim and annual periods beginning after December 15, 2017. We are currently evaluating the impact this ASU may have on our consolidated financial position, results of operations or cash flows.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2015, FASB issued ASU 2015-11, “Simplifying the Measurement of Inventory.” This ASU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The provisions of this ASU are effective for years beginning after December 15, 2016. This ASU is not expected to have a significant impact on our financial statements or disclosures.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Accounting pronouncements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This ASU eliminates the requirement to present deferred tax assets and liabilities as current and noncurrent on the balance sheet. Instead, all deferred tax assets and liabilities are now classified as noncurrent. ASU 2015-17 is effective for fiscal years beginning after December 15, 2016 with early adoption permitted. We will prospectively adopt ASU 2015-17 as required in the first reporting period for the year ending December 31, 2017.</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2016-02, “Leases”. The core principle of this ASU requires that a lessee should recognize the assets and liabilities on the balance sheet and disclose key information about leasing arrangements. The amendments in ASU 2016-02 are effective for fiscal years beginning after December 15, 2018, including interim periods. We are currently evaluating the impact this ASU may have on our consolidated financial position, results of operation or cash flows.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 “Compensation-Stock Compensation: Improvements to Employee Share-Based Payment Accounting”. This ASU is intended to simplify several aspects of the accounting for share-based payment transactions, including the income tax consequences, classification of awards as either equity or liabilities, classification on the statement of cash flows and accounting for forfeitures. The provisions of this ASU are effective for years beginning after December 15, 2016. We are currently evaluating the impact this ASU may have on our consolidated financial position, results of operation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statements.The forward-looking statements speak only as of the date of this report and we assume no duty to update them. As used in this Quarterly Report on Form 10-Q, unless the context otherwise requires, references to “we”, “us”, “our”, the “Company” and “TransAct” refer to TransAct Technologies Incorporated, and its consolidated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TransAct Technologies Incorporated (“TransAct”) is a global leader developing and selling software-driven technology and printing solutions for high growth markets including food safety, casino and gaming, lottery, mobile and oil and gas. Our world-class products are designed from the ground up based on customer requirements and are sold under the AccuDate™, Epic,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products.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 and our direct selling team, we address the on-line demand for these products. We operate in one reportable segment: the design, development, assembly and marketing of software-driven technology and printing solutions including related maintenance and repair services, consumables and spare parts.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2015. We have reviewed those policies and determined that they remain our critical accounting policies for the three months ended March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March 31, 2016 compared to three months ended March 31, 2015</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March 31, 2016 and 2015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9"/>
              </w:rPr>
              <w:t>Three months ended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9"/>
              </w:rPr>
              <w:t>Three months ended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92"/>
              </w:rPr>
              <w:t>March 31, 2016</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b w:val="1"/>
                <w:bCs w:val="1"/>
                <w:color w:val="auto"/>
                <w:w w:val="92"/>
              </w:rPr>
              <w:t>March 31, 2015</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3,137</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2,222</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Casino and gaming</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5,438</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37.9%</w:t>
            </w: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5,581</w:t>
            </w:r>
          </w:p>
        </w:tc>
        <w:tc>
          <w:tcPr>
            <w:tcW w:w="7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34.5%</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20.4%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4,031</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24.9%</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Printrex</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707</w:t>
            </w:r>
          </w:p>
        </w:tc>
        <w:tc>
          <w:tcPr>
            <w:tcW w:w="7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3,623</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22.4%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14,357</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16,164</w:t>
            </w:r>
          </w:p>
        </w:tc>
        <w:tc>
          <w:tcPr>
            <w:tcW w:w="7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2,531</w:t>
            </w:r>
          </w:p>
        </w:tc>
        <w:tc>
          <w:tcPr>
            <w:tcW w:w="6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17.6%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4,154</w:t>
            </w:r>
          </w:p>
        </w:tc>
        <w:tc>
          <w:tcPr>
            <w:tcW w:w="7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25.7%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80" w:type="dxa"/>
            <w:vAlign w:val="bottom"/>
          </w:tcPr>
          <w:p>
            <w:pPr>
              <w:spacing w:after="0"/>
              <w:rPr>
                <w:sz w:val="17"/>
                <w:szCs w:val="17"/>
                <w:color w:val="auto"/>
              </w:rPr>
            </w:pPr>
          </w:p>
        </w:tc>
        <w:tc>
          <w:tcPr>
            <w:tcW w:w="9740" w:type="dxa"/>
            <w:vAlign w:val="bottom"/>
          </w:tcPr>
          <w:p>
            <w:pPr>
              <w:ind w:left="1560"/>
              <w:spacing w:after="0" w:line="201" w:lineRule="exact"/>
              <w:rPr>
                <w:sz w:val="20"/>
                <w:szCs w:val="20"/>
                <w:color w:val="auto"/>
              </w:rPr>
            </w:pPr>
            <w:r>
              <w:rPr>
                <w:rFonts w:ascii="Arial" w:cs="Arial" w:eastAsia="Arial" w:hAnsi="Arial"/>
                <w:sz w:val="18"/>
                <w:szCs w:val="18"/>
                <w:color w:val="auto"/>
                <w:w w:val="93"/>
              </w:rPr>
              <w:t>International sales do not include sales of products made to domestic distributors or other domestic customers</w:t>
            </w:r>
          </w:p>
        </w:tc>
      </w:tr>
      <w:tr>
        <w:trPr>
          <w:trHeight w:val="230"/>
        </w:trPr>
        <w:tc>
          <w:tcPr>
            <w:tcW w:w="1680" w:type="dxa"/>
            <w:vAlign w:val="bottom"/>
          </w:tcPr>
          <w:p>
            <w:pPr>
              <w:jc w:val="right"/>
              <w:ind w:right="1490"/>
              <w:spacing w:after="0"/>
              <w:rPr>
                <w:sz w:val="20"/>
                <w:szCs w:val="20"/>
                <w:color w:val="auto"/>
              </w:rPr>
            </w:pPr>
            <w:r>
              <w:rPr>
                <w:rFonts w:ascii="Arial" w:cs="Arial" w:eastAsia="Arial" w:hAnsi="Arial"/>
                <w:sz w:val="18"/>
                <w:szCs w:val="18"/>
                <w:color w:val="auto"/>
              </w:rPr>
              <w:t>*</w:t>
            </w:r>
          </w:p>
        </w:tc>
        <w:tc>
          <w:tcPr>
            <w:tcW w:w="9740" w:type="dxa"/>
            <w:vAlign w:val="bottom"/>
          </w:tcPr>
          <w:p>
            <w:pPr>
              <w:ind w:left="1560"/>
              <w:spacing w:after="0"/>
              <w:rPr>
                <w:sz w:val="20"/>
                <w:szCs w:val="20"/>
                <w:color w:val="auto"/>
              </w:rPr>
            </w:pPr>
            <w:r>
              <w:rPr>
                <w:rFonts w:ascii="Arial" w:cs="Arial" w:eastAsia="Arial" w:hAnsi="Arial"/>
                <w:sz w:val="18"/>
                <w:szCs w:val="18"/>
                <w:color w:val="auto"/>
              </w:rPr>
              <w:t>who may in turn ship those products to international destinations.</w:t>
            </w:r>
          </w:p>
        </w:tc>
      </w:tr>
      <w:tr>
        <w:trPr>
          <w:trHeight w:val="608"/>
        </w:trPr>
        <w:tc>
          <w:tcPr>
            <w:tcW w:w="1680" w:type="dxa"/>
            <w:vAlign w:val="bottom"/>
          </w:tcPr>
          <w:p>
            <w:pPr>
              <w:spacing w:after="0"/>
              <w:rPr>
                <w:sz w:val="24"/>
                <w:szCs w:val="24"/>
                <w:color w:val="auto"/>
              </w:rPr>
            </w:pPr>
          </w:p>
        </w:tc>
        <w:tc>
          <w:tcPr>
            <w:tcW w:w="9740" w:type="dxa"/>
            <w:vAlign w:val="bottom"/>
          </w:tcPr>
          <w:p>
            <w:pPr>
              <w:jc w:val="right"/>
              <w:ind w:right="5530"/>
              <w:spacing w:after="0"/>
              <w:rPr>
                <w:sz w:val="20"/>
                <w:szCs w:val="20"/>
                <w:color w:val="auto"/>
              </w:rPr>
            </w:pPr>
            <w:r>
              <w:rPr>
                <w:rFonts w:ascii="Arial" w:cs="Arial" w:eastAsia="Arial" w:hAnsi="Arial"/>
                <w:sz w:val="18"/>
                <w:szCs w:val="18"/>
                <w:color w:val="auto"/>
              </w:rPr>
              <w:t>11</w:t>
            </w:r>
          </w:p>
        </w:tc>
      </w:tr>
      <w:tr>
        <w:trPr>
          <w:trHeight w:val="118"/>
        </w:trPr>
        <w:tc>
          <w:tcPr>
            <w:tcW w:w="1680" w:type="dxa"/>
            <w:vAlign w:val="bottom"/>
            <w:tcBorders>
              <w:bottom w:val="single" w:sz="8" w:color="808080"/>
            </w:tcBorders>
          </w:tcPr>
          <w:p>
            <w:pPr>
              <w:spacing w:after="0"/>
              <w:rPr>
                <w:sz w:val="10"/>
                <w:szCs w:val="10"/>
                <w:color w:val="auto"/>
              </w:rPr>
            </w:pPr>
          </w:p>
        </w:tc>
        <w:tc>
          <w:tcPr>
            <w:tcW w:w="9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Net sales for the first quarter of 2016 decreased $1,807,000, or 11%, from the same period in 2015. Printer sales volume decreased 12% to approximately 42,000 units driven primarily by a 30% and 19% decrease in unit volume from the lottery market and casino and gaming market, respectively. The decrease in the lottery and casino and gaming markets was partially offset by a 66% increase in unit volume from the food safety, banking and POS market. The average selling price of our printers remained consistent in first quarter of 2016 compared to the first quarter of 2015. International sales decreased $1,623,000, or 39%, primarily driven by lower international casino and gaming printer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food safety, banking and POS market includes sales of food safety terminals which are hardware devices that consist of a touchscreen and one or two thermal print mechanisms, that print easy-to-read food rotation labels and "enjoy by" date labels to help restaurants effectively manage food spoilage. Revenue from this market also includes sales of thermal and impact printers used primarily by restaurants (including fine dining, casual dining, quick-serve and hospitality establishments)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food safety, banking and POS products for the three months ended March 31, 2016 and 2015 is as follows (in thousands, except percentages):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2016</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2015</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2,918</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3,137</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2,222</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domestic food safety, banking and POS product revenue from the first quarter of 2015 was primarily driven by a 174% increase in sales of our Ithaca ® 9000 printer due to new initiatives by McDonald’s Corporation that started in 2015 and continued during the first quarter of 2016. We expect sales to McDonalds to be higher for the full year 2016 compared to the full year 2015 due to the continuation of these initiatives. In addition to increased sales of our Ithaca 9000 printer, domestic sales of our food safety terminal increased 7% as our sales pipeline continues to grow. These increases were partially offset by lower sales of our legacy banking and other POS printers.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International food safety, banking and POS sales decreased slightly by $24,000, for the first quarter of 2016 as compared to the first quarter of 2015.</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that enables casino operators to create promotional coupons and marketing messages and to print them real-time at the slot machine. A summary of sales of our worldwide casino and gaming products for the three months ended March 31, 2016 and 2015 is as follows (in thousands, except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2016</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2015</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3,303</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2,079</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2,135</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3,502</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5,438</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5,581</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domestic sales of our casino and gaming products resulted primarily from increased EPICENTRAL™ software sales as we completed two installations during the first quarter of 2016 compared to no domestic installations completed in the first quarter of 2015. Additionally, domestic printer sales increased 28% in the first quarter of 2016 compared to the first quarter 2015, which we believe is due to a continuation of market share gains that started in late 2015, as the replacement cycle for slot machines remains weak.</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casino and gaming printer sales declined for the first quarter of 2016 as compared to the first quarter of 2015 due primarily to a 41% decrease in sales of our thermal casino printer and to a lesser extent a 29% decrease in sales of our off-premise gaming printers, primarily to our European distributor. Sales of our off-premise gaming printers are largely project-oriented and therefore may fluctuate significantly from quarter to quarter and year to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International Game Technology (“IGT”) and its subsidiaries for various lottery applications. A summary of sales of our worldwide lottery printers for the three months ended March 31, 2016 and 2015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2016</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2015</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3,939</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4,031</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 Based on our backlog of orders and the customer’s forecast, we expect total lottery printer sales to IGT for 2016 to be lower than those reported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Printrex branded printers are sold into markets that include wide format, desktop and rack mounted and vehicle mounted black/white and color thermal printers used by customers to log and plot oil field, seismic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and other mobile printing applications. A summary of sales of our worldwide Printrex printers for the three months ended March 31, 2016 and 2015 is as follows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2016</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2015</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decrease in sales of Printrex printers in the first quarter of 2016 as compared to the first quarter of 2015 is primarily due to 71% lower domestic and international sales in the oil and gas market in the current year period due to the continued negative impact from the decline in worldwide oil prices, which we expect will continue to negatively impact our sales during the remainder of 2016. In addition, worldwide sales of our medical and mobile printers declined 90% due largely to the loss of a customer in the medical industry as we shift our focus towards the food safety terminal business. Due to the low margin on this product, we do not believe the loss of this customer will have a material adverse impact on our 2016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March 31, 2016 and 2015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2016</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2015</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2,534</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3,376</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decrease in domestic revenue from TSG is primarily due to a (1) 26% decrease in sales of replacement parts mainly to IGT who purchased an unusually high volume of spare parts for the lottery market in 2015 that is not likely to repeat in 2016, (2) 19% decrease in non-Printrex consumables, largely from the decline of HP inkjet cartridges, as we continue to deemphasize the commoditized consumable products, (3) 67% decrease of consumables sales for our Printrex color printers due to lower printing usage resulting from reduced drilling activity caused by the decline in worldwide oil prices, and (4) 20% decline in service revenue primarily due to project-oriented testing services that occurred in the first quarter of 2015 that did not recur in the first quarter of 2016.</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Internationally, TSG revenue decreased primarily due to lower sales of replacement parts and accessories in the first quarter of 2016 compared to the first quarter of 2015.</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5,885</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6,492</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print system. Gross profit decreased $607,000, or 9%, but our gross margin increased by 80 basis points as we experienced a more favorable sales mix in the first quarter of 2016 compared to the first quarter of 2015. During the first quarter of 2016, we completed two installations of our EPICENTRAL™ software which carries a higher margin than our other products. We expect our gross margin for the full year 2016 to be higher than in 2015, as we expect to benefit from increased sales of our newer, value-added products.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1,236</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868</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Engineering, design and product development expenses primarily include salary and payroll related expenses for our hardware and software engineering staff, depreciation and design expenses (including prototype expenses, outside design and testing services, and supplies). Such expenses increased $368,000, or 42%, due primarily to higher product development cost and the hiring of additional software engineers as we continue to focus and strategically invest in enhancements to our EPICENTRAL™ software and expansion of our line of food safety terminals. We expect engineering, design and product development expenses in 2016 to be higher than in 2015 due to the additional staff and higher product development expenses noted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1,823</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slightly by $30,000, or 2%, in the first quarter of 2016 compared to the first quarter of 2015 primarily due to lower travel and marketing expenses in our Printrex markets as we continue to reduce these expenses in response to the worldwide decline in the oil and gas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1,840</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increased $77,000, or 4%, due primarily to higher severance costs related to headcount reductions conducted during the first quarter of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ind w:left="700"/>
              <w:spacing w:after="0"/>
              <w:rPr>
                <w:sz w:val="20"/>
                <w:szCs w:val="20"/>
                <w:color w:val="auto"/>
              </w:rPr>
            </w:pPr>
            <w:r>
              <w:rPr>
                <w:rFonts w:ascii="Arial" w:cs="Arial" w:eastAsia="Arial" w:hAnsi="Arial"/>
                <w:sz w:val="18"/>
                <w:szCs w:val="18"/>
                <w:b w:val="1"/>
                <w:bCs w:val="1"/>
                <w:color w:val="auto"/>
              </w:rPr>
              <w:t>Percent</w:t>
            </w:r>
          </w:p>
        </w:tc>
        <w:tc>
          <w:tcPr>
            <w:tcW w:w="380" w:type="dxa"/>
            <w:vAlign w:val="bottom"/>
          </w:tcPr>
          <w:p>
            <w:pPr>
              <w:spacing w:after="0"/>
              <w:rPr>
                <w:sz w:val="20"/>
                <w:szCs w:val="20"/>
                <w:color w:val="auto"/>
              </w:rPr>
            </w:pP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1,744</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disclosed in Note 7 to the Condensed Consolidated Financial Statements, in June 2012, AD filed a civil complaint against the Company, which we settled in March 2015. In connection with this lawsuit, we incurred legal fees of $0 and $1,744,000 in the first quarter of 2016 and 2015, respectively. Due to the settlement of the AD lawsuit in March 2015, we do not expect to incur any further expenses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2016</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2016</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939</w:t>
            </w:r>
          </w:p>
        </w:tc>
        <w:tc>
          <w:tcPr>
            <w:tcW w:w="700" w:type="dxa"/>
            <w:vAlign w:val="bottom"/>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332.7%</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income increased primarily due to the legal fees incurred in connection with the AD lawsuit in the first quarter of 2015. Excluding the AD legal fees, our operating income would have decreased $1,022,000 or 52% primarily due to the 11% decrease in sales as well as higher engineering, design and product development expenses in the first quarter of 2016 compared to the first quarter of 2015.</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$4,000 in the first quarter of 2016 compared to $6,000 in the first quarter of 2015 due a higher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earned from carrying a higher average cash balance in the first quarter of 2016 compared to the first quarter of 2015.</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We recorded other income of $1,000 in the first quarter of 2016 compared to $14,000 in the first quarter of 2015. The change was due to lower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foreign currency transaction exchange gains recorded by our U.K. subsidiary in the first quarter of 2016 compared to the first quarter of 2015.</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quarter of 2016 of $311,000 at an effective tax rate of 33.2%,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the first quarter of 2015 of $81,000 at an effective tax rate of 36.0%. Our effective tax rate for the first quarter of 2016 was lower than the first quarter of 2015 because it includes the benefit from the 2016 federal research and development credit (“R&amp;D credit”). In 2015, the R&amp;D credit was not renewed until December 2015, and as such, the benefit was not recorded until the fourth quarter of 2015.</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quarter of 2016 of $625,000, or $0.08 per diluted share, compared to $144,000, or $0.02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first quarter of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u w:val="single" w:color="auto"/>
          <w:color w:val="auto"/>
        </w:rPr>
        <w:t>Impact of Inflation.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inflation has not had a material impact on our results of operations for the three months ended March 31, 2016,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2014. However, there can be no assurance that future inflation would not have an adverse impact upon our future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the first three months of 2016, our cash and cash equivalents balance decreased $1,581,000, or 35%, from December 31, 2015 and we ended the first quarter of 2016 with $2,892,000 in cash and cash equivalents and no debt outstanding.</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used in operating activities of $221,000 in the first three months of 2016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cash provided by operating activities of $2,752,000 in the first three months of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2016:</w:t>
      </w:r>
    </w:p>
    <w:p>
      <w:pPr>
        <w:spacing w:after="0" w:line="23" w:lineRule="exact"/>
        <w:rPr>
          <w:sz w:val="20"/>
          <w:szCs w:val="20"/>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reported net income of $625,000.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$469,000.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increased $2,179,000, or 30%, due to the increase and timing of sales during the first quarter of 2016.</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decreased $1,375,000, or 12%, due to the sell through of inventory on hand during the first quarter of 2016.</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current and long-term assets increased, $252,000, or 54%, due largely to advance payments made in the first quarter 2016 for annual ERP software maintenance expenses.</w:t>
      </w:r>
    </w:p>
    <w:p>
      <w:pPr>
        <w:ind w:left="1140" w:hanging="13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payable increased $1,305,000, or 49%, due to increased inventory purchases towards the end of the first quarter 2016.</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$1,677,000 due primarily to the payment of 2015 annual bonuses in March 2016.</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2015:</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$144,000.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$503,000.</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increased $1,711,000, or 19%, due to the timing of sales during the first quarter of 2015.</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decreased $1,040,000, or 9%, due to the sell through of inventory on hand during 2015 compared to the increased stocking levels of our new food safety and Printrex products in the first quarter of 2014.</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income taxes declined $368,000, or 90%, due to the receipt of a refund during the first quarter of 2015 that resulted from an overpayment of federal income taxes in 2014.</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current and long-term assets increased, $186,000, or 36%, due largely to advance payments made in the first quarter 2015 for annual ERP software maintenance expenses.</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increased $3,633,000, or 154%, due to unpaid legal fees related to the AD lawsuit as well as increased inventory purchases to support a higher level of sales.</w:t>
      </w:r>
    </w:p>
    <w:p>
      <w:pPr>
        <w:ind w:left="1140" w:right="20" w:hanging="132"/>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$1,025,000 due primarily to the payment of 2014 annual bonuses in March 2015 and lower accruals for uninvoiced legal fees related to the AD lawsuit.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$221,000 and $188,000 in the first three months of 2016 and 2015, respectively. Expenditures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were primarily for computer and networking equipment and to a lesser extent new tooling equipment and purchases of furniture and fixtures. Expenditures in 2015 included approximately $119,000 for costs incurred for the purchase of a new phone system and the remaining amount primarily for the purchase of new tooling equipment and computer equipment.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for 2016 are expected to be approximately $1,000,000 primarily for new product tooling and tooling enhancements for our existing products, as well as for new computer software and equipment purchases.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$1,133,000 of cash from financing activities during the first three months of 2016 to pay dividends of $623,000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and to purchase $510,000 of common stock for treasury. During the first three months of 2015, we used $1,643,000 of cash from financing activities to pay dividends of $623,000 to common shareholders and to purchase $1,020,000 of common stock for treasury.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working capital decreased slightly by 1% to $18,791,000 at March 31, 2016 from $18,983,000 at December 31, 2015. Our current ratio of current assets to current liabilities increased to 4.2 as of March 31, 2016 compared to 4.0 at December 31, 2015.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TD Bank Credit Facility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amendment increases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(including the $3,625,000 expense we incurred in the fourth quarter of 2014 related to the settlement of the AD lawsuit); and modified the definition of Operating Cash Flow to exclude unfinanced capital expenditures for the quarters ending December 31, 2014, March 31, 2015 and June 30, 2015.</w:t>
      </w:r>
    </w:p>
    <w:p>
      <w:pPr>
        <w:spacing w:after="0" w:line="2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March 31, 2016. The following table lists the financial covenants and the performance measurements at March 31, 2016:</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Financial Covenant</w:t>
            </w:r>
          </w:p>
        </w:tc>
        <w:tc>
          <w:tcPr>
            <w:tcW w:w="3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Requirement/Restriction</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Calculation at March 31, 2016</w:t>
            </w:r>
          </w:p>
        </w:tc>
      </w:tr>
      <w:tr>
        <w:trPr>
          <w:trHeight w:val="216"/>
        </w:trPr>
        <w:tc>
          <w:tcPr>
            <w:tcW w:w="46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Operating cash flow / Total debt service</w:t>
            </w:r>
          </w:p>
        </w:tc>
        <w:tc>
          <w:tcPr>
            <w:tcW w:w="3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Minimum of 1.25 times</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76.6 times</w:t>
            </w:r>
          </w:p>
        </w:tc>
      </w:tr>
      <w:tr>
        <w:trPr>
          <w:trHeight w:val="230"/>
        </w:trPr>
        <w:tc>
          <w:tcPr>
            <w:tcW w:w="4600" w:type="dxa"/>
            <w:vAlign w:val="bottom"/>
          </w:tcPr>
          <w:p>
            <w:pPr>
              <w:jc w:val="center"/>
              <w:ind w:left="110"/>
              <w:spacing w:after="0"/>
              <w:rPr>
                <w:sz w:val="20"/>
                <w:szCs w:val="20"/>
                <w:color w:val="auto"/>
              </w:rPr>
            </w:pPr>
            <w:r>
              <w:rPr>
                <w:rFonts w:ascii="Arial" w:cs="Arial" w:eastAsia="Arial" w:hAnsi="Arial"/>
                <w:sz w:val="18"/>
                <w:szCs w:val="18"/>
                <w:color w:val="auto"/>
                <w:w w:val="93"/>
              </w:rPr>
              <w:t>Funded Debt / EBITDA</w:t>
            </w:r>
          </w:p>
        </w:tc>
        <w:tc>
          <w:tcPr>
            <w:tcW w:w="3220" w:type="dxa"/>
            <w:vAlign w:val="bottom"/>
          </w:tcPr>
          <w:p>
            <w:pPr>
              <w:jc w:val="center"/>
              <w:ind w:left="30"/>
              <w:spacing w:after="0"/>
              <w:rPr>
                <w:sz w:val="20"/>
                <w:szCs w:val="20"/>
                <w:color w:val="auto"/>
              </w:rPr>
            </w:pPr>
            <w:r>
              <w:rPr>
                <w:rFonts w:ascii="Arial" w:cs="Arial" w:eastAsia="Arial" w:hAnsi="Arial"/>
                <w:sz w:val="18"/>
                <w:szCs w:val="18"/>
                <w:color w:val="auto"/>
                <w:w w:val="94"/>
              </w:rPr>
              <w:t>Maximum of 3.0 times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undrawn commitments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2012, we announced that our Board of Directors approved the initiation of a quarterly cash dividend program which is subject to the Board’s approval each quarter. For the three months ended March 31, 2016, our Board of Directors declared a quarterly cash dividend of $0.08 per share, totaling approximately $623,000, which was paid in March 2016 to common shareholders of record at the close of business on February 20, 2016. We expect to pay approximately $2,500,000 in cash dividends to our common shareholders during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25, 2016, our Board of Directors approved a new stock repurchase program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the three months ended March 31, 2016, we purchased 63,070 shares of our common stock for approximately $510,000 at an average price per share of $8.09.</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2015 we repurchased 166,553 shares of our common stock for approximately $1,020,000 at an average price per share of $6.12 under a prior stock repurchase program that expired on July 31, 2015. Under the expired repurchase program, we were authorized to repurchase up to $7,500,000 of our outstanding shares of common stock from time to time in the open market, depending on market conditions, share price and other factors.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cash and cash equivalents on hand, cash flows generated from operating activities and borrowings available under our TD Bank Credit Facility will provide sufficient resources to meet our working capital needs, finance our capital expenditures, treasury stock repurchases, dividend payments and meet our liquidity requirements through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2015.</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14, 2016 we signed Amendment No. 2 to the lease agreement for our facility in Ithaca, New York with Bomax Properties, LLC to extend our lease in Ithaca to May 31, 2021.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items mentioned above, there have been no other material changes in our contractual obligations outside the ordinary course of business since December 31, 2015. We have no material off-balance sheet arrangements as defined in Item 303(a)(4)(ii) of Regulation S-K.</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2015. There has been no material change in our exposure to market risk during the three months ended March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2016, our Chief Executive Officer and Chief Financial Officer concluded that, as of such date, our disclosure controls and procedures were effective at the reasonable assurance level.</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March 31, 2016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previously reported legal proceedings refer to Part I, Item 3 of our Annual Report on Form 10-K for the year ended December 31, 2015. There have been no material changes from the legal proceedings previously disclosed in that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2015.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our Board of Directors approved the Stock Repurchase Program. Under the Stock Repurchase Program, we are authorized to repurchase up to $5,000,000 of our outstanding shares of common stock from time to time in the open market through December 31, 2017 at prevailing market prices based on market conditions, share price and other factors. During the three months ended March 31, 2016, we purchased 63,070 shares of our common stock for approximately $510,000 at an average price per share of $8.09. As of March 31, 2016, approximately $4,490,000 remains authorized for future repurchase under the Stock Repurchase Program. The following table summarizes the repurchase of our common stock in the three months ended March 31,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 as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Part of Publicly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w w:val="96"/>
              </w:rPr>
              <w:t>under the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4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Repurchase</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January 1, 2016 – January 31, 2016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February 1, 2016 – February 29, 2016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March 1, 2016 – March 31, 2016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63,070</w:t>
            </w:r>
          </w:p>
        </w:tc>
        <w:tc>
          <w:tcPr>
            <w:tcW w:w="700" w:type="dxa"/>
            <w:vAlign w:val="bottom"/>
            <w:gridSpan w:val="2"/>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8.09</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63,070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Exhibit 10.1</w:t>
            </w:r>
          </w:p>
        </w:tc>
        <w:tc>
          <w:tcPr>
            <w:tcW w:w="9000" w:type="dxa"/>
            <w:vAlign w:val="bottom"/>
          </w:tcPr>
          <w:p>
            <w:pPr>
              <w:ind w:left="360"/>
              <w:spacing w:after="0"/>
              <w:rPr>
                <w:sz w:val="20"/>
                <w:szCs w:val="20"/>
                <w:color w:val="auto"/>
              </w:rPr>
            </w:pPr>
            <w:r>
              <w:rPr>
                <w:rFonts w:ascii="Arial" w:cs="Arial" w:eastAsia="Arial" w:hAnsi="Arial"/>
                <w:sz w:val="18"/>
                <w:szCs w:val="18"/>
                <w:color w:val="auto"/>
                <w:w w:val="91"/>
              </w:rPr>
              <w:t>Amendment No. 2 to Lease Agreement between Bomax Properties, LLC and TransAct, dated January 2014, 2016 (1).</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10.2</w:t>
            </w:r>
          </w:p>
        </w:tc>
        <w:tc>
          <w:tcPr>
            <w:tcW w:w="9000" w:type="dxa"/>
            <w:vAlign w:val="bottom"/>
          </w:tcPr>
          <w:p>
            <w:pPr>
              <w:ind w:left="360"/>
              <w:spacing w:after="0"/>
              <w:rPr>
                <w:sz w:val="20"/>
                <w:szCs w:val="20"/>
                <w:color w:val="auto"/>
              </w:rPr>
            </w:pPr>
            <w:r>
              <w:rPr>
                <w:rFonts w:ascii="Arial" w:cs="Arial" w:eastAsia="Arial" w:hAnsi="Arial"/>
                <w:sz w:val="18"/>
                <w:szCs w:val="18"/>
                <w:color w:val="auto"/>
              </w:rPr>
              <w:t>2014 Equity Incentive Plan Time-based Restricted Stock Unit Agreement.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31.1</w:t>
            </w:r>
          </w:p>
        </w:tc>
        <w:tc>
          <w:tcPr>
            <w:tcW w:w="900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31.2</w:t>
            </w:r>
          </w:p>
        </w:tc>
        <w:tc>
          <w:tcPr>
            <w:tcW w:w="900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32.1</w:t>
            </w:r>
          </w:p>
        </w:tc>
        <w:tc>
          <w:tcPr>
            <w:tcW w:w="9000" w:type="dxa"/>
            <w:vAlign w:val="bottom"/>
          </w:tcPr>
          <w:p>
            <w:pPr>
              <w:ind w:left="36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00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00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00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00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00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0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exhibit, which was previously filed with the Company’s Annual Report on Form 10-K filed March 11, 2016 is incorporated by reference.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5580" w:type="dxa"/>
            <w:vAlign w:val="bottom"/>
          </w:tcPr>
          <w:p>
            <w:pPr>
              <w:spacing w:after="0"/>
              <w:rPr>
                <w:sz w:val="24"/>
                <w:szCs w:val="2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May 5, 2016</w:t>
            </w:r>
          </w:p>
        </w:tc>
        <w:tc>
          <w:tcPr>
            <w:tcW w:w="584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5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40" w:type="dxa"/>
            <w:vAlign w:val="bottom"/>
          </w:tcPr>
          <w:p>
            <w:pPr>
              <w:ind w:left="4200"/>
              <w:spacing w:after="0"/>
              <w:rPr>
                <w:sz w:val="20"/>
                <w:szCs w:val="20"/>
                <w:color w:val="auto"/>
              </w:rPr>
            </w:pPr>
            <w:r>
              <w:rPr>
                <w:rFonts w:ascii="Arial" w:cs="Arial" w:eastAsia="Arial" w:hAnsi="Arial"/>
                <w:sz w:val="18"/>
                <w:szCs w:val="18"/>
                <w:color w:val="auto"/>
              </w:rPr>
              <w:t>EXHIBIT LIST</w:t>
            </w: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7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8740" w:type="dxa"/>
            <w:vAlign w:val="bottom"/>
          </w:tcPr>
          <w:p>
            <w:pPr>
              <w:ind w:left="100"/>
              <w:spacing w:after="0"/>
              <w:rPr>
                <w:sz w:val="20"/>
                <w:szCs w:val="20"/>
                <w:color w:val="auto"/>
              </w:rPr>
            </w:pPr>
            <w:r>
              <w:rPr>
                <w:rFonts w:ascii="Arial" w:cs="Arial" w:eastAsia="Arial" w:hAnsi="Arial"/>
                <w:sz w:val="18"/>
                <w:szCs w:val="18"/>
                <w:color w:val="auto"/>
              </w:rPr>
              <w:t>2014 Equity Incentive Plan Time-based Restricted Stock Unit Agreement.</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TIME-BASED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agreement (the “Agreement”) evidences an award (the “Award”) of time-based restricted stock units granted on [</w:t>
      </w:r>
      <w:r>
        <w:rPr>
          <w:rFonts w:ascii="Arial" w:cs="Arial" w:eastAsia="Arial" w:hAnsi="Arial"/>
          <w:sz w:val="18"/>
          <w:szCs w:val="18"/>
          <w:b w:val="1"/>
          <w:bCs w:val="1"/>
          <w:color w:val="auto"/>
        </w:rPr>
        <w:t>INSERT DATE]</w:t>
      </w:r>
      <w:r>
        <w:rPr>
          <w:rFonts w:ascii="Arial" w:cs="Arial" w:eastAsia="Arial" w:hAnsi="Arial"/>
          <w:sz w:val="18"/>
          <w:szCs w:val="18"/>
          <w:color w:val="auto"/>
        </w:rPr>
        <w:t xml:space="preserve"> to the Participant named below (“Participant”) pursuant to and subject to the terms of the 2014 Equity Incentive Plan, as from time to time amended (the “Plan”) of TransAct Technologies Incorporated (the “Company”). The Agreement is subject in its entirety to the provisions of the Plan, including, without limitation, the forfeiture and clawback provisions of Section 6(a)(5), which are hereby incorporated by reference in this Agreement. In the event of any conflict between the terms of this Agreement and the Plan, the terms of the Plan shall control. Except as otherwise defined herein, all capitalized terms used herein have the same meaning as in the Plan.</w:t>
      </w:r>
    </w:p>
    <w:p>
      <w:pPr>
        <w:spacing w:after="0" w:line="215" w:lineRule="exact"/>
        <w:rPr>
          <w:sz w:val="20"/>
          <w:szCs w:val="20"/>
          <w:color w:val="auto"/>
        </w:rPr>
      </w:pPr>
    </w:p>
    <w:p>
      <w:pPr>
        <w:spacing w:after="0"/>
        <w:tabs>
          <w:tab w:leader="none" w:pos="760" w:val="left"/>
          <w:tab w:leader="none" w:pos="38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8"/>
          <w:szCs w:val="18"/>
          <w:b w:val="1"/>
          <w:bCs w:val="1"/>
          <w:u w:val="single" w:color="auto"/>
          <w:color w:val="auto"/>
        </w:rPr>
        <w:t>[INSERT NAME]</w:t>
      </w:r>
    </w:p>
    <w:p>
      <w:pPr>
        <w:spacing w:after="0" w:line="252" w:lineRule="exact"/>
        <w:rPr>
          <w:sz w:val="20"/>
          <w:szCs w:val="20"/>
          <w:color w:val="auto"/>
        </w:rPr>
      </w:pPr>
    </w:p>
    <w:p>
      <w:pPr>
        <w:ind w:left="780" w:hanging="772"/>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AWARD.</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hereby grants to Participant, on the date of grant specified in Section 4, and subject to the terms and conditions of the Plan and the Award, the number of Restricted Stock Units specified in Section 3, subject to adjustment pursuant to Section 7. Each Restricted Stock Unit represents the right to receive one share of Stock, but only if and when a Restricted Stock Unit becomes vested under Section 5. Except as otherwise provided herein, if the Participant’s employment with the Company terminates for any reason prior to the date on which a Restricted Stock Unit becomes vested under Section 5, then any such unvested Restricted Stock Units shall be immediately forfeited automatically. The Award is unfunded and unsecured, and Participant’s rights to any Stock hereunder shall be no greater than those of an unsecured general creditor of the Company. The Award may not be assigned, transferred, pledged, hypothecated or otherwise disposed of, except for disposition at death as provided below. The Award does not entitle Participant to any rights as a shareholder with respect to any shares of Stock subject to the Award, unless and until such shares of Stock have been transferred to Participant.</w:t>
      </w:r>
    </w:p>
    <w:p>
      <w:pPr>
        <w:spacing w:after="0" w:line="189" w:lineRule="exact"/>
        <w:rPr>
          <w:sz w:val="20"/>
          <w:szCs w:val="20"/>
          <w:color w:val="auto"/>
        </w:rPr>
      </w:pPr>
    </w:p>
    <w:p>
      <w:pPr>
        <w:ind w:left="780" w:hanging="772"/>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RESTRICTED STOCK UNITS: [INSERT NUMBER]</w:t>
      </w:r>
    </w:p>
    <w:p>
      <w:pPr>
        <w:spacing w:after="0" w:line="252" w:lineRule="exact"/>
        <w:rPr>
          <w:rFonts w:ascii="Arial" w:cs="Arial" w:eastAsia="Arial" w:hAnsi="Arial"/>
          <w:sz w:val="18"/>
          <w:szCs w:val="18"/>
          <w:b w:val="1"/>
          <w:bCs w:val="1"/>
          <w:color w:val="auto"/>
        </w:rPr>
      </w:pPr>
    </w:p>
    <w:p>
      <w:pPr>
        <w:ind w:left="780" w:hanging="772"/>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GRANT OF AWARD: </w:t>
      </w:r>
      <w:r>
        <w:rPr>
          <w:rFonts w:ascii="Arial" w:cs="Arial" w:eastAsia="Arial" w:hAnsi="Arial"/>
          <w:sz w:val="18"/>
          <w:szCs w:val="18"/>
          <w:b w:val="1"/>
          <w:bCs w:val="1"/>
          <w:u w:val="single" w:color="auto"/>
          <w:color w:val="auto"/>
        </w:rPr>
        <w:t>[INSERT DATE]</w:t>
      </w:r>
    </w:p>
    <w:p>
      <w:pPr>
        <w:spacing w:after="0" w:line="252" w:lineRule="exact"/>
        <w:rPr>
          <w:rFonts w:ascii="Arial" w:cs="Arial" w:eastAsia="Arial" w:hAnsi="Arial"/>
          <w:sz w:val="18"/>
          <w:szCs w:val="18"/>
          <w:b w:val="1"/>
          <w:bCs w:val="1"/>
          <w:color w:val="auto"/>
        </w:rPr>
      </w:pPr>
    </w:p>
    <w:p>
      <w:pPr>
        <w:ind w:left="780" w:hanging="772"/>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DELIVERY OF SHARES.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shares of Stock represented by the number of Restricted Stock Units specified in Section 3, as adjusted pursuant to Section 7, shall be become vested and shall be delivered immediately upon the earliest to occur of (a) or (b)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tbl>
      <w:tblPr>
        <w:tblLayout w:type="fixed"/>
        <w:tblInd w:w="1500" w:type="dxa"/>
        <w:tblCellMar>
          <w:top w:w="0" w:type="dxa"/>
          <w:left w:w="0" w:type="dxa"/>
          <w:bottom w:w="0" w:type="dxa"/>
          <w:right w:w="0" w:type="dxa"/>
        </w:tblCellMar>
      </w:tblPr>
      <w:tr>
        <w:trPr>
          <w:trHeight w:val="234"/>
        </w:trPr>
        <w:tc>
          <w:tcPr>
            <w:tcW w:w="3140" w:type="dxa"/>
            <w:vAlign w:val="bottom"/>
          </w:tcPr>
          <w:p>
            <w:pPr>
              <w:jc w:val="right"/>
              <w:ind w:right="1450"/>
              <w:spacing w:after="0"/>
              <w:rPr>
                <w:sz w:val="20"/>
                <w:szCs w:val="20"/>
                <w:color w:val="auto"/>
              </w:rPr>
            </w:pPr>
            <w:r>
              <w:rPr>
                <w:rFonts w:ascii="Arial" w:cs="Arial" w:eastAsia="Arial" w:hAnsi="Arial"/>
                <w:sz w:val="18"/>
                <w:szCs w:val="18"/>
                <w:b w:val="1"/>
                <w:bCs w:val="1"/>
                <w:color w:val="auto"/>
                <w:w w:val="99"/>
              </w:rPr>
              <w:t>(a) [INSERT DATE]</w:t>
            </w:r>
          </w:p>
        </w:tc>
        <w:tc>
          <w:tcPr>
            <w:tcW w:w="3660" w:type="dxa"/>
            <w:vAlign w:val="bottom"/>
          </w:tcPr>
          <w:p>
            <w:pPr>
              <w:ind w:left="1520"/>
              <w:spacing w:after="0"/>
              <w:rPr>
                <w:sz w:val="20"/>
                <w:szCs w:val="20"/>
                <w:color w:val="auto"/>
              </w:rPr>
            </w:pPr>
            <w:r>
              <w:rPr>
                <w:rFonts w:ascii="Arial" w:cs="Arial" w:eastAsia="Arial" w:hAnsi="Arial"/>
                <w:sz w:val="18"/>
                <w:szCs w:val="18"/>
                <w:b w:val="1"/>
                <w:bCs w:val="1"/>
                <w:color w:val="auto"/>
                <w:w w:val="99"/>
              </w:rPr>
              <w:t>[INSERT 25% OF TOTAL]</w:t>
            </w:r>
          </w:p>
        </w:tc>
      </w:tr>
      <w:tr>
        <w:trPr>
          <w:trHeight w:val="459"/>
        </w:trPr>
        <w:tc>
          <w:tcPr>
            <w:tcW w:w="3140" w:type="dxa"/>
            <w:vAlign w:val="bottom"/>
          </w:tcPr>
          <w:p>
            <w:pPr>
              <w:jc w:val="right"/>
              <w:ind w:right="1450"/>
              <w:spacing w:after="0"/>
              <w:rPr>
                <w:sz w:val="20"/>
                <w:szCs w:val="20"/>
                <w:color w:val="auto"/>
              </w:rPr>
            </w:pPr>
            <w:r>
              <w:rPr>
                <w:rFonts w:ascii="Arial" w:cs="Arial" w:eastAsia="Arial" w:hAnsi="Arial"/>
                <w:sz w:val="18"/>
                <w:szCs w:val="18"/>
                <w:b w:val="1"/>
                <w:bCs w:val="1"/>
                <w:color w:val="auto"/>
              </w:rPr>
              <w:t>[INSERT DATE]</w:t>
            </w:r>
          </w:p>
        </w:tc>
        <w:tc>
          <w:tcPr>
            <w:tcW w:w="3660" w:type="dxa"/>
            <w:vAlign w:val="bottom"/>
          </w:tcPr>
          <w:p>
            <w:pPr>
              <w:ind w:left="1520"/>
              <w:spacing w:after="0"/>
              <w:rPr>
                <w:sz w:val="20"/>
                <w:szCs w:val="20"/>
                <w:color w:val="auto"/>
              </w:rPr>
            </w:pPr>
            <w:r>
              <w:rPr>
                <w:rFonts w:ascii="Arial" w:cs="Arial" w:eastAsia="Arial" w:hAnsi="Arial"/>
                <w:sz w:val="18"/>
                <w:szCs w:val="18"/>
                <w:b w:val="1"/>
                <w:bCs w:val="1"/>
                <w:color w:val="auto"/>
                <w:w w:val="99"/>
              </w:rPr>
              <w:t>[INSERT 25% OF TOTAL]</w:t>
            </w:r>
          </w:p>
        </w:tc>
      </w:tr>
      <w:tr>
        <w:trPr>
          <w:trHeight w:val="459"/>
        </w:trPr>
        <w:tc>
          <w:tcPr>
            <w:tcW w:w="3140" w:type="dxa"/>
            <w:vAlign w:val="bottom"/>
          </w:tcPr>
          <w:p>
            <w:pPr>
              <w:jc w:val="right"/>
              <w:ind w:right="1450"/>
              <w:spacing w:after="0"/>
              <w:rPr>
                <w:sz w:val="20"/>
                <w:szCs w:val="20"/>
                <w:color w:val="auto"/>
              </w:rPr>
            </w:pPr>
            <w:r>
              <w:rPr>
                <w:rFonts w:ascii="Arial" w:cs="Arial" w:eastAsia="Arial" w:hAnsi="Arial"/>
                <w:sz w:val="18"/>
                <w:szCs w:val="18"/>
                <w:b w:val="1"/>
                <w:bCs w:val="1"/>
                <w:color w:val="auto"/>
              </w:rPr>
              <w:t>[INSERT DATE]</w:t>
            </w:r>
          </w:p>
        </w:tc>
        <w:tc>
          <w:tcPr>
            <w:tcW w:w="3660" w:type="dxa"/>
            <w:vAlign w:val="bottom"/>
          </w:tcPr>
          <w:p>
            <w:pPr>
              <w:ind w:left="1520"/>
              <w:spacing w:after="0"/>
              <w:rPr>
                <w:sz w:val="20"/>
                <w:szCs w:val="20"/>
                <w:color w:val="auto"/>
              </w:rPr>
            </w:pPr>
            <w:r>
              <w:rPr>
                <w:rFonts w:ascii="Arial" w:cs="Arial" w:eastAsia="Arial" w:hAnsi="Arial"/>
                <w:sz w:val="18"/>
                <w:szCs w:val="18"/>
                <w:b w:val="1"/>
                <w:bCs w:val="1"/>
                <w:color w:val="auto"/>
                <w:w w:val="99"/>
              </w:rPr>
              <w:t>[INSERT 25% OF TOTAL]</w:t>
            </w:r>
          </w:p>
        </w:tc>
      </w:tr>
      <w:tr>
        <w:trPr>
          <w:trHeight w:val="459"/>
        </w:trPr>
        <w:tc>
          <w:tcPr>
            <w:tcW w:w="3140" w:type="dxa"/>
            <w:vAlign w:val="bottom"/>
          </w:tcPr>
          <w:p>
            <w:pPr>
              <w:jc w:val="right"/>
              <w:ind w:right="1450"/>
              <w:spacing w:after="0"/>
              <w:rPr>
                <w:sz w:val="20"/>
                <w:szCs w:val="20"/>
                <w:color w:val="auto"/>
              </w:rPr>
            </w:pPr>
            <w:r>
              <w:rPr>
                <w:rFonts w:ascii="Arial" w:cs="Arial" w:eastAsia="Arial" w:hAnsi="Arial"/>
                <w:sz w:val="18"/>
                <w:szCs w:val="18"/>
                <w:b w:val="1"/>
                <w:bCs w:val="1"/>
                <w:color w:val="auto"/>
              </w:rPr>
              <w:t>[INSERT DATE]</w:t>
            </w:r>
          </w:p>
        </w:tc>
        <w:tc>
          <w:tcPr>
            <w:tcW w:w="3660" w:type="dxa"/>
            <w:vAlign w:val="bottom"/>
          </w:tcPr>
          <w:p>
            <w:pPr>
              <w:ind w:left="1520"/>
              <w:spacing w:after="0"/>
              <w:rPr>
                <w:sz w:val="20"/>
                <w:szCs w:val="20"/>
                <w:color w:val="auto"/>
              </w:rPr>
            </w:pPr>
            <w:r>
              <w:rPr>
                <w:rFonts w:ascii="Arial" w:cs="Arial" w:eastAsia="Arial" w:hAnsi="Arial"/>
                <w:sz w:val="18"/>
                <w:szCs w:val="18"/>
                <w:b w:val="1"/>
                <w:bCs w:val="1"/>
                <w:color w:val="auto"/>
                <w:w w:val="99"/>
              </w:rPr>
              <w:t>[INSERT 25% OF TOTAL]</w:t>
            </w:r>
          </w:p>
        </w:tc>
      </w:tr>
    </w:tbl>
    <w:p>
      <w:pPr>
        <w:spacing w:after="0" w:line="229" w:lineRule="exact"/>
        <w:rPr>
          <w:sz w:val="20"/>
          <w:szCs w:val="20"/>
          <w:color w:val="auto"/>
        </w:rPr>
      </w:pPr>
    </w:p>
    <w:p>
      <w:pPr>
        <w:ind w:left="820" w:hanging="2"/>
        <w:spacing w:after="0" w:line="277" w:lineRule="auto"/>
        <w:tabs>
          <w:tab w:leader="none" w:pos="143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of a Change in Control that also qualifies as a “change in control event” (as defined in Section 1.409A-3(i)(5) of the Treasury Regulations under Section 409A);</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in the event that shares of Stock become deliverable under (b) above, they may be delivered, in the discretion of the Administrator, as early as</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earlier than) thirty (30) days prior to the consummation of the “change in control” event.</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Notwithstanding anything else herein to the contrary, if Participant’s employment with the Company ends as a result of Participant’s death or disability, then any unvested Restricted Stock Units shall become fully vested, and the shares of Stock represented by such Restricted Stock Units shall be delivered to the Participant or to the Participant’s Beneficiary (subject to any required tax withholding requirements) within sixty (60) days following such employment termination. A Participant’s Beneficiary shall be designated prior to death in a manner acceptable to the Administrator (or, if no such beneficiary has been so designated, then the Participant’s estate shall be considered to be the Beneficiary for this purpose) (such designated beneficiary or the estate, as the case may be, being herein referred to as Participant’s “Beneficiary”). For this purpose, “disability” shall mean, as determined in the sole and absolute discretion of the Administrator in accordance with Treas. Reg. Section 1.409A-3(i)(4),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00" w:lineRule="exact"/>
        <w:rPr>
          <w:sz w:val="20"/>
          <w:szCs w:val="20"/>
          <w:color w:val="auto"/>
        </w:rPr>
      </w:pPr>
    </w:p>
    <w:p>
      <w:pPr>
        <w:spacing w:after="0" w:line="221" w:lineRule="exact"/>
        <w:rPr>
          <w:sz w:val="20"/>
          <w:szCs w:val="20"/>
          <w:color w:val="auto"/>
        </w:rPr>
      </w:pPr>
    </w:p>
    <w:p>
      <w:pPr>
        <w:ind w:left="780" w:hanging="772"/>
        <w:spacing w:after="0"/>
        <w:tabs>
          <w:tab w:leader="none" w:pos="7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VOTING RIGHTS.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Participant shall not be entitled to any dividends or other distributions, including amounts in lieu of dividends, with respect to shares of Stock subject to the Award, except as to shares of Stock actually transferred to Participant under Section 5 above as to which Participant is the record owner on the record date for the dividend or other distribution. Similarly, the Participant shall have no voting rights with respect to the Restricted Stock Units granted hereunder, except as to shares of Stock actually transferred to Participant under Section 5 above, as to which Participant is the record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4" w:name="page25"/>
    <w:bookmarkEnd w:id="24"/>
    <w:p>
      <w:pPr>
        <w:ind w:left="780" w:hanging="772"/>
        <w:spacing w:after="0"/>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Award and the number of Restricted Stock Units subject to the Award are subject to adjustment as provided in Section 7(c) of the Plan.</w:t>
      </w:r>
    </w:p>
    <w:p>
      <w:pPr>
        <w:spacing w:after="0" w:line="248" w:lineRule="exact"/>
        <w:rPr>
          <w:sz w:val="20"/>
          <w:szCs w:val="20"/>
          <w:color w:val="auto"/>
        </w:rPr>
      </w:pPr>
    </w:p>
    <w:p>
      <w:pPr>
        <w:ind w:left="780" w:hanging="772"/>
        <w:spacing w:after="0"/>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Participant or Beneficiary shall, no later than the date on which any share of Stock is transferred to Participant or Beneficiary and as a condition to such transfer, pay to the Company in cash, or make arrangements satisfactory to the Administrator regarding payment of, any and all federal, state, and local taxes of any kind required by law to be withheld with respect to such income. If any taxes are required to be withheld by the Company prior to such transfer of such share of Stock (for example, upon the vesting of the right to receive such share), the Participant or Beneficiary must (i) pay such taxes timely in cash by separate payment, (ii) instruct the Company to withhold the required taxes from other amounts payable to Participant or Beneficiary, (iii) deliver shares of Stock that have a fair market value equal to the required tax amount, or (iv) make other arrangements for the payment of such taxes as the Administrator determines in its sole discretion. If Participant or Beneficiary does not timely elect a method to pay such taxes, the Company may require Participant or Beneficiary to make any required tax payment by any of (ii), (ii) or (iv) above as the Administrator determines in its sole discretion.</w:t>
      </w:r>
    </w:p>
    <w:p>
      <w:pPr>
        <w:spacing w:after="0" w:line="189" w:lineRule="exact"/>
        <w:rPr>
          <w:sz w:val="20"/>
          <w:szCs w:val="20"/>
          <w:color w:val="auto"/>
        </w:rPr>
      </w:pPr>
    </w:p>
    <w:p>
      <w:pPr>
        <w:ind w:left="780" w:hanging="772"/>
        <w:spacing w:after="0"/>
        <w:tabs>
          <w:tab w:leader="none" w:pos="7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SECTION 83(b) NOT APPLICABLE.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Participant expressly acknowledges that because the Award does not give to Participant a present ownership right in any Stock, but only consists of an unfunded and unsecured promise by the Company to deliver shares of Stock in the future, it is not possible to make a so-called “83(b) election” with respect to the Award.</w:t>
      </w:r>
    </w:p>
    <w:p>
      <w:pPr>
        <w:spacing w:after="0" w:line="204" w:lineRule="exact"/>
        <w:rPr>
          <w:sz w:val="20"/>
          <w:szCs w:val="20"/>
          <w:color w:val="auto"/>
        </w:rPr>
      </w:pPr>
    </w:p>
    <w:p>
      <w:pPr>
        <w:ind w:left="860" w:hanging="852"/>
        <w:spacing w:after="0"/>
        <w:tabs>
          <w:tab w:leader="none" w:pos="8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EFFECT ON EMPLOYMENT.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Neither the grant of this Award, nor the delivery of any Stock hereunder, will give the Participant any right to be retained in the employ of the Company or any of its Affiliates or affect the right of the Company or any of its Affiliates to discharge or discipline such Participant at any time.</w:t>
      </w:r>
    </w:p>
    <w:p>
      <w:pPr>
        <w:spacing w:after="0" w:line="193" w:lineRule="exact"/>
        <w:rPr>
          <w:sz w:val="20"/>
          <w:szCs w:val="20"/>
          <w:color w:val="auto"/>
        </w:rPr>
      </w:pPr>
    </w:p>
    <w:p>
      <w:pPr>
        <w:ind w:left="860" w:hanging="852"/>
        <w:spacing w:after="0"/>
        <w:tabs>
          <w:tab w:leader="none" w:pos="8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LIMITATION OF LIABILITY.</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Award is intended to be exempt from, or to otherwise comply with, Section 409A of the Code, and will be construed and interpreted accordingly. Notwithstanding the foregoing, the Company makes no representations or warranties that the payments and benefits provided under this Award are exempt from or comply with Section 409A, and in no event will the Company, any Affiliate, the Administrator, or any person acting on behalf of the Company, any Affiliate or the Administrator, be liable to the Participant or to the estate or beneficiary of any Participant by reason of the acceleration of income, or any additional tax, penalties, interest or other expenses, asserted by reason of the failure of the Award to satisfy the requirements of Section 409A, or by reason of Section 4999 of the Code, or otherwise asserted with respect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this instrument to be executed by its duly authorized officer.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TransAct Technologies Incorporated</w:t>
      </w:r>
    </w:p>
    <w:p>
      <w:pPr>
        <w:spacing w:after="0" w:line="200" w:lineRule="exact"/>
        <w:rPr>
          <w:sz w:val="20"/>
          <w:szCs w:val="20"/>
          <w:color w:val="auto"/>
        </w:rPr>
      </w:pPr>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Participant: </w:t>
      </w:r>
      <w:r>
        <w:rPr>
          <w:rFonts w:ascii="Arial" w:cs="Arial" w:eastAsia="Arial" w:hAnsi="Arial"/>
          <w:sz w:val="18"/>
          <w:szCs w:val="18"/>
          <w:b w:val="1"/>
          <w:bCs w:val="1"/>
          <w:color w:val="auto"/>
        </w:rPr>
        <w:t>[Insert Name]</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b w:val="1"/>
          <w:bCs w:val="1"/>
          <w:color w:val="auto"/>
        </w:rPr>
        <w:t>[INSERT DATE]</w:t>
      </w:r>
    </w:p>
    <w:p>
      <w:pPr>
        <w:sectPr>
          <w:pgSz w:w="11900" w:h="16838" w:orient="portrait"/>
          <w:cols w:equalWidth="0" w:num="1">
            <w:col w:w="10219"/>
          </w:cols>
          <w:pgMar w:left="240" w:top="1242"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March 31, 2016,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93" w:lineRule="exact"/>
        <w:rPr>
          <w:sz w:val="20"/>
          <w:szCs w:val="20"/>
          <w:color w:val="auto"/>
        </w:rPr>
      </w:pPr>
    </w:p>
    <w:p>
      <w:pPr>
        <w:ind w:left="820" w:hanging="30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2019-12-29T12:23:18Z</dcterms:created>
  <dcterms:modified xsi:type="dcterms:W3CDTF">2019-12-29T12:23:18Z</dcterms:modified>
</cp:coreProperties>
</file>