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 (d) OF THE SECURITIES EXCHANGE ACT OF 1934</w:t>
      </w:r>
    </w:p>
    <w:p>
      <w:pPr>
        <w:spacing w:after="0" w:line="225" w:lineRule="exact"/>
        <w:rPr>
          <w:sz w:val="24"/>
          <w:szCs w:val="24"/>
          <w:color w:val="auto"/>
        </w:rPr>
      </w:pPr>
    </w:p>
    <w:p>
      <w:pPr>
        <w:ind w:left="820"/>
        <w:spacing w:after="0"/>
        <w:tabs>
          <w:tab w:leader="none" w:pos="4060" w:val="left"/>
          <w:tab w:leader="none" w:pos="51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5715</wp:posOffset>
            </wp:positionV>
            <wp:extent cx="3249930" cy="754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49930"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_____________________________________________________________________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00" w:type="dxa"/>
            <w:vAlign w:val="bottom"/>
            <w:gridSpan w:val="2"/>
          </w:tcPr>
          <w:p>
            <w:pPr>
              <w:jc w:val="right"/>
              <w:ind w:right="2270"/>
              <w:spacing w:after="0"/>
              <w:rPr>
                <w:sz w:val="20"/>
                <w:szCs w:val="20"/>
                <w:color w:val="auto"/>
              </w:rPr>
            </w:pPr>
            <w:r>
              <w:rPr>
                <w:rFonts w:ascii="Arial" w:cs="Arial" w:eastAsia="Arial" w:hAnsi="Arial"/>
                <w:sz w:val="18"/>
                <w:szCs w:val="18"/>
                <w:b w:val="1"/>
                <w:bCs w:val="1"/>
                <w:color w:val="auto"/>
              </w:rPr>
              <w:t>06-1456680</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52"/>
        </w:trPr>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00" w:type="dxa"/>
            <w:vAlign w:val="bottom"/>
            <w:gridSpan w:val="2"/>
          </w:tcPr>
          <w:p>
            <w:pPr>
              <w:jc w:val="right"/>
              <w:ind w:right="2490"/>
              <w:spacing w:after="0"/>
              <w:rPr>
                <w:sz w:val="20"/>
                <w:szCs w:val="20"/>
                <w:color w:val="auto"/>
              </w:rPr>
            </w:pPr>
            <w:r>
              <w:rPr>
                <w:rFonts w:ascii="Arial" w:cs="Arial" w:eastAsia="Arial" w:hAnsi="Arial"/>
                <w:sz w:val="18"/>
                <w:szCs w:val="18"/>
                <w:b w:val="1"/>
                <w:bCs w:val="1"/>
                <w:color w:val="auto"/>
              </w:rPr>
              <w:t>06518</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346" w:right="239" w:bottom="1440" w:gutter="0" w:footer="0" w:header="0"/>
        </w:sect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8" w:lineRule="exact"/>
        <w:rPr>
          <w:sz w:val="24"/>
          <w:szCs w:val="24"/>
          <w:color w:val="auto"/>
        </w:rPr>
      </w:pPr>
    </w:p>
    <w:p>
      <w:pPr>
        <w:sectPr>
          <w:pgSz w:w="11900" w:h="16838" w:orient="portrait"/>
          <w:cols w:equalWidth="0" w:num="3">
            <w:col w:w="5800" w:space="720"/>
            <w:col w:w="1960" w:space="100"/>
            <w:col w:w="2840"/>
          </w:cols>
          <w:pgMar w:left="240" w:top="346" w:right="239" w:bottom="1440" w:gutter="0" w:footer="0" w:header="0"/>
          <w:type w:val="continuous"/>
        </w:sectPr>
      </w:pPr>
    </w:p>
    <w:p>
      <w:pPr>
        <w:spacing w:after="0" w:line="6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As of October 31, 2018, the number of shares outstanding of the Company’s common stock, $0.01 par value, was 7,391,028.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694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rPr>
              <w:t>TRANSACT TECHNOLOGIES INCORPORATED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2"/>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5420" w:type="dxa"/>
            <w:vAlign w:val="bottom"/>
            <w:gridSpan w:val="4"/>
          </w:tcPr>
          <w:p>
            <w:pPr>
              <w:spacing w:after="0"/>
              <w:rPr>
                <w:sz w:val="20"/>
                <w:szCs w:val="20"/>
                <w:color w:val="auto"/>
              </w:rPr>
            </w:pPr>
            <w:r>
              <w:rPr>
                <w:rFonts w:ascii="Arial" w:cs="Arial" w:eastAsia="Arial" w:hAnsi="Arial"/>
                <w:sz w:val="18"/>
                <w:szCs w:val="18"/>
                <w:color w:val="auto"/>
              </w:rPr>
              <w:t>PART I - Financial Information:</w:t>
            </w:r>
          </w:p>
        </w:tc>
        <w:tc>
          <w:tcPr>
            <w:tcW w:w="580" w:type="dxa"/>
            <w:vAlign w:val="bottom"/>
            <w:tcBorders>
              <w:top w:val="single" w:sz="8" w:color="auto"/>
            </w:tcBorders>
          </w:tcPr>
          <w:p>
            <w:pPr>
              <w:spacing w:after="0"/>
              <w:rPr>
                <w:sz w:val="24"/>
                <w:szCs w:val="24"/>
                <w:color w:val="auto"/>
              </w:rPr>
            </w:pPr>
          </w:p>
        </w:tc>
        <w:tc>
          <w:tcPr>
            <w:tcW w:w="4640" w:type="dxa"/>
            <w:vAlign w:val="bottom"/>
            <w:gridSpan w:val="2"/>
          </w:tcPr>
          <w:p>
            <w:pPr>
              <w:spacing w:after="0"/>
              <w:rPr>
                <w:sz w:val="24"/>
                <w:szCs w:val="24"/>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Financial Statements (unaudited)</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Condensed Consolidated Balance Sheets as of September 30, 2018 and December 31,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Condensed Consolidated Statements of Income for the three and nine months ended September 30, 2018 and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w w:val="90"/>
              </w:rPr>
              <w:t>Condensed Consolidated Statements of Comprehensive Income for the three and nine months ended September 30, 2018 and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Condensed Consolidated Statements of Cash Flows for the nine months ended September 30, 2018 and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Notes to Condensed Consolidated Financial Statements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Controls and Procedures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PART II - Other Information:</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1A</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Risk Factors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2</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Default Upon Senior Securities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4</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Mine Safety Disclosures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Other Information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6</w:t>
            </w:r>
          </w:p>
        </w:tc>
        <w:tc>
          <w:tcPr>
            <w:tcW w:w="972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Exhibits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rPr>
              <w:t>SIGNATURES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80" w:type="dxa"/>
            <w:vAlign w:val="bottom"/>
            <w:gridSpan w:val="3"/>
          </w:tcPr>
          <w:p>
            <w:pPr>
              <w:jc w:val="center"/>
              <w:ind w:left="4411"/>
              <w:spacing w:after="0"/>
              <w:rPr>
                <w:sz w:val="20"/>
                <w:szCs w:val="20"/>
                <w:color w:val="auto"/>
              </w:rPr>
            </w:pPr>
            <w:r>
              <w:rPr>
                <w:rFonts w:ascii="Arial" w:cs="Arial" w:eastAsia="Arial" w:hAnsi="Arial"/>
                <w:sz w:val="14"/>
                <w:szCs w:val="14"/>
                <w:color w:val="auto"/>
                <w:w w:val="76"/>
              </w:rPr>
              <w:t>2</w:t>
            </w:r>
          </w:p>
        </w:tc>
        <w:tc>
          <w:tcPr>
            <w:tcW w:w="1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September 30, 2018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December 31, 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9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i w:val="1"/>
                <w:iCs w:val="1"/>
                <w:color w:val="auto"/>
              </w:rPr>
              <w:t>(In thousands,</w:t>
            </w:r>
          </w:p>
        </w:tc>
        <w:tc>
          <w:tcPr>
            <w:tcW w:w="1820" w:type="dxa"/>
            <w:vAlign w:val="bottom"/>
            <w:gridSpan w:val="4"/>
          </w:tcPr>
          <w:p>
            <w:pPr>
              <w:jc w:val="right"/>
              <w:ind w:right="430"/>
              <w:spacing w:after="0" w:line="201" w:lineRule="exact"/>
              <w:rPr>
                <w:sz w:val="20"/>
                <w:szCs w:val="20"/>
                <w:color w:val="auto"/>
              </w:rPr>
            </w:pPr>
            <w:r>
              <w:rPr>
                <w:rFonts w:ascii="Arial" w:cs="Arial" w:eastAsia="Arial" w:hAnsi="Arial"/>
                <w:sz w:val="18"/>
                <w:szCs w:val="18"/>
                <w:i w:val="1"/>
                <w:iCs w:val="1"/>
                <w:color w:val="auto"/>
                <w:w w:val="85"/>
              </w:rPr>
              <w:t>except share data)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Prepaid income taxes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29,070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Fixed assets, net of accumulated depreciation of $20,319 and $19,752, respectively</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2,263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$3,454, and $3,359, respectively</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assets</w:t>
            </w:r>
          </w:p>
        </w:tc>
        <w:tc>
          <w:tcPr>
            <w:tcW w:w="300" w:type="dxa"/>
            <w:vAlign w:val="bottom"/>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37,078</w:t>
            </w:r>
          </w:p>
        </w:tc>
        <w:tc>
          <w:tcPr>
            <w:tcW w:w="140" w:type="dxa"/>
            <w:vAlign w:val="bottom"/>
          </w:tcPr>
          <w:p>
            <w:pPr>
              <w:spacing w:after="0"/>
              <w:rPr>
                <w:sz w:val="18"/>
                <w:szCs w:val="18"/>
                <w:color w:val="auto"/>
              </w:rPr>
            </w:pP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790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6,359</w:t>
            </w:r>
          </w:p>
        </w:tc>
        <w:tc>
          <w:tcPr>
            <w:tcW w:w="140" w:type="dxa"/>
            <w:vAlign w:val="bottom"/>
          </w:tcPr>
          <w:p>
            <w:pPr>
              <w:spacing w:after="0"/>
              <w:rPr>
                <w:sz w:val="18"/>
                <w:szCs w:val="18"/>
                <w:color w:val="auto"/>
              </w:rPr>
            </w:pP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10,113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80" w:type="dxa"/>
            <w:vAlign w:val="bottom"/>
          </w:tcPr>
          <w:p>
            <w:pPr>
              <w:ind w:left="160"/>
              <w:spacing w:after="0" w:line="201" w:lineRule="exact"/>
              <w:rPr>
                <w:sz w:val="20"/>
                <w:szCs w:val="20"/>
                <w:color w:val="auto"/>
              </w:rPr>
            </w:pPr>
            <w:r>
              <w:rPr>
                <w:rFonts w:ascii="Arial" w:cs="Arial" w:eastAsia="Arial" w:hAnsi="Arial"/>
                <w:sz w:val="18"/>
                <w:szCs w:val="18"/>
                <w:color w:val="auto"/>
                <w:w w:val="90"/>
              </w:rPr>
              <w:t>Common stock, $0.01 par value, 20,000,000 shares authorized; 11,435,870 and 11,366,526 shares issued,</w:t>
            </w:r>
          </w:p>
        </w:tc>
        <w:tc>
          <w:tcPr>
            <w:tcW w:w="30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respectively; 7,391,028 and 7,478,094 shares outstanding, respectively</w:t>
            </w:r>
          </w:p>
        </w:tc>
        <w:tc>
          <w:tcPr>
            <w:tcW w:w="3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27,219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Treasury stock, at cost, 4,044,842 and 3,888,432 shares</w:t>
            </w:r>
          </w:p>
        </w:tc>
        <w:tc>
          <w:tcPr>
            <w:tcW w:w="30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(32,110)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26,965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26,014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Pr>
          <w:p>
            <w:pPr>
              <w:jc w:val="right"/>
              <w:ind w:right="142"/>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37,078</w:t>
            </w:r>
          </w:p>
        </w:tc>
        <w:tc>
          <w:tcPr>
            <w:tcW w:w="140" w:type="dxa"/>
            <w:vAlign w:val="bottom"/>
          </w:tcPr>
          <w:p>
            <w:pPr>
              <w:spacing w:after="0"/>
              <w:rPr>
                <w:sz w:val="18"/>
                <w:szCs w:val="18"/>
                <w:color w:val="auto"/>
              </w:rPr>
            </w:pP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33,950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7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4"/>
              </w:rPr>
              <w:t>September 30,</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i w:val="1"/>
                <w:iCs w:val="1"/>
                <w:color w:val="auto"/>
                <w:w w:val="89"/>
              </w:rPr>
              <w:t>(In thousands, except</w:t>
            </w:r>
          </w:p>
        </w:tc>
        <w:tc>
          <w:tcPr>
            <w:tcW w:w="200" w:type="dxa"/>
            <w:vAlign w:val="bottom"/>
          </w:tcPr>
          <w:p>
            <w:pPr>
              <w:jc w:val="right"/>
              <w:spacing w:after="0"/>
              <w:rPr>
                <w:sz w:val="20"/>
                <w:szCs w:val="20"/>
                <w:color w:val="auto"/>
              </w:rPr>
            </w:pPr>
            <w:r>
              <w:rPr>
                <w:rFonts w:ascii="Arial" w:cs="Arial" w:eastAsia="Arial" w:hAnsi="Arial"/>
                <w:sz w:val="17"/>
                <w:szCs w:val="17"/>
                <w:i w:val="1"/>
                <w:iCs w:val="1"/>
                <w:color w:val="auto"/>
                <w:w w:val="73"/>
              </w:rPr>
              <w:t>per</w:t>
            </w:r>
          </w:p>
        </w:tc>
        <w:tc>
          <w:tcPr>
            <w:tcW w:w="1140" w:type="dxa"/>
            <w:vAlign w:val="bottom"/>
            <w:gridSpan w:val="2"/>
          </w:tcPr>
          <w:p>
            <w:pPr>
              <w:jc w:val="right"/>
              <w:ind w:right="190"/>
              <w:spacing w:after="0"/>
              <w:rPr>
                <w:sz w:val="20"/>
                <w:szCs w:val="20"/>
                <w:color w:val="auto"/>
              </w:rPr>
            </w:pPr>
            <w:r>
              <w:rPr>
                <w:rFonts w:ascii="Arial" w:cs="Arial" w:eastAsia="Arial" w:hAnsi="Arial"/>
                <w:sz w:val="18"/>
                <w:szCs w:val="18"/>
                <w:i w:val="1"/>
                <w:iCs w:val="1"/>
                <w:color w:val="auto"/>
                <w:w w:val="92"/>
              </w:rPr>
              <w:t>share data)</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00" w:type="dxa"/>
            <w:vAlign w:val="bottom"/>
          </w:tcPr>
          <w:p>
            <w:pPr>
              <w:spacing w:after="0"/>
              <w:rPr>
                <w:sz w:val="17"/>
                <w:szCs w:val="17"/>
                <w:color w:val="auto"/>
              </w:rPr>
            </w:pPr>
          </w:p>
        </w:tc>
        <w:tc>
          <w:tcPr>
            <w:tcW w:w="2840" w:type="dxa"/>
            <w:vAlign w:val="bottom"/>
            <w:gridSpan w:val="2"/>
          </w:tcPr>
          <w:p>
            <w:pPr>
              <w:spacing w:after="0"/>
              <w:rPr>
                <w:sz w:val="17"/>
                <w:szCs w:val="17"/>
                <w:color w:val="auto"/>
              </w:rPr>
            </w:pPr>
          </w:p>
        </w:tc>
        <w:tc>
          <w:tcPr>
            <w:tcW w:w="62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74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0"/>
              </w:rPr>
              <w:t>15,838</w:t>
            </w:r>
          </w:p>
        </w:tc>
        <w:tc>
          <w:tcPr>
            <w:tcW w:w="11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w w:val="94"/>
              </w:rPr>
              <w:t>15,524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42,832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Cost of sales</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7,834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8,005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21,975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Gross profit</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15"/>
              <w:spacing w:after="0"/>
              <w:rPr>
                <w:sz w:val="20"/>
                <w:szCs w:val="20"/>
                <w:color w:val="auto"/>
              </w:rPr>
            </w:pPr>
            <w:r>
              <w:rPr>
                <w:rFonts w:ascii="Arial" w:cs="Arial" w:eastAsia="Arial" w:hAnsi="Arial"/>
                <w:sz w:val="18"/>
                <w:szCs w:val="18"/>
                <w:color w:val="auto"/>
              </w:rPr>
              <w:t>7,519</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20,857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1,147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3,510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1,798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15"/>
              <w:spacing w:after="0"/>
              <w:rPr>
                <w:sz w:val="20"/>
                <w:szCs w:val="20"/>
                <w:color w:val="auto"/>
              </w:rPr>
            </w:pPr>
            <w:r>
              <w:rPr>
                <w:rFonts w:ascii="Arial" w:cs="Arial" w:eastAsia="Arial" w:hAnsi="Arial"/>
                <w:sz w:val="18"/>
                <w:szCs w:val="18"/>
                <w:color w:val="auto"/>
              </w:rPr>
              <w:t>1,895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4,792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4,928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15,171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Operating income</w:t>
            </w: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3,212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115"/>
              <w:spacing w:after="0"/>
              <w:rPr>
                <w:sz w:val="20"/>
                <w:szCs w:val="20"/>
                <w:color w:val="auto"/>
              </w:rPr>
            </w:pPr>
            <w:r>
              <w:rPr>
                <w:rFonts w:ascii="Arial" w:cs="Arial" w:eastAsia="Arial" w:hAnsi="Arial"/>
                <w:sz w:val="18"/>
                <w:szCs w:val="18"/>
                <w:color w:val="auto"/>
              </w:rPr>
              <w:t>2,591</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5,686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w:t>
            </w:r>
          </w:p>
        </w:tc>
        <w:tc>
          <w:tcPr>
            <w:tcW w:w="1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Interest, net</w:t>
            </w: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55"/>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(57)</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jc w:val="right"/>
              <w:ind w:right="55"/>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3,155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15"/>
              <w:spacing w:after="0"/>
              <w:rPr>
                <w:sz w:val="20"/>
                <w:szCs w:val="20"/>
                <w:color w:val="auto"/>
              </w:rPr>
            </w:pPr>
            <w:r>
              <w:rPr>
                <w:rFonts w:ascii="Arial" w:cs="Arial" w:eastAsia="Arial" w:hAnsi="Arial"/>
                <w:sz w:val="18"/>
                <w:szCs w:val="18"/>
                <w:color w:val="auto"/>
              </w:rPr>
              <w:t>2,582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5,528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769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w:t>
            </w:r>
          </w:p>
        </w:tc>
        <w:tc>
          <w:tcPr>
            <w:tcW w:w="18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2,574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1,813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4,464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
        </w:trPr>
        <w:tc>
          <w:tcPr>
            <w:tcW w:w="352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84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0.35</w:t>
            </w:r>
          </w:p>
        </w:tc>
        <w:tc>
          <w:tcPr>
            <w:tcW w:w="11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84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0.33</w:t>
            </w:r>
          </w:p>
        </w:tc>
        <w:tc>
          <w:tcPr>
            <w:tcW w:w="11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15"/>
              <w:spacing w:after="0"/>
              <w:rPr>
                <w:sz w:val="20"/>
                <w:szCs w:val="20"/>
                <w:color w:val="auto"/>
              </w:rPr>
            </w:pPr>
            <w:r>
              <w:rPr>
                <w:rFonts w:ascii="Arial" w:cs="Arial" w:eastAsia="Arial" w:hAnsi="Arial"/>
                <w:sz w:val="18"/>
                <w:szCs w:val="18"/>
                <w:color w:val="auto"/>
              </w:rPr>
              <w:t>0.24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7,408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7,758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15"/>
              <w:spacing w:after="0"/>
              <w:rPr>
                <w:sz w:val="20"/>
                <w:szCs w:val="20"/>
                <w:color w:val="auto"/>
              </w:rPr>
            </w:pPr>
            <w:r>
              <w:rPr>
                <w:rFonts w:ascii="Arial" w:cs="Arial" w:eastAsia="Arial" w:hAnsi="Arial"/>
                <w:sz w:val="18"/>
                <w:szCs w:val="18"/>
                <w:color w:val="auto"/>
              </w:rPr>
              <w:t>7,586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89"/>
              </w:rPr>
              <w:t>Dividends declared and paid per common share:</w:t>
            </w:r>
          </w:p>
        </w:tc>
        <w:tc>
          <w:tcPr>
            <w:tcW w:w="284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0.09</w:t>
            </w:r>
          </w:p>
        </w:tc>
        <w:tc>
          <w:tcPr>
            <w:tcW w:w="11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15"/>
              <w:spacing w:after="0"/>
              <w:rPr>
                <w:sz w:val="20"/>
                <w:szCs w:val="20"/>
                <w:color w:val="auto"/>
              </w:rPr>
            </w:pPr>
            <w:r>
              <w:rPr>
                <w:rFonts w:ascii="Arial" w:cs="Arial" w:eastAsia="Arial" w:hAnsi="Arial"/>
                <w:sz w:val="18"/>
                <w:szCs w:val="18"/>
                <w:color w:val="auto"/>
              </w:rPr>
              <w:t>0.09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560" w:type="dxa"/>
            <w:vAlign w:val="bottom"/>
            <w:gridSpan w:val="6"/>
          </w:tcPr>
          <w:p>
            <w:pPr>
              <w:jc w:val="right"/>
              <w:ind w:right="130"/>
              <w:spacing w:after="0"/>
              <w:rPr>
                <w:sz w:val="20"/>
                <w:szCs w:val="20"/>
                <w:color w:val="auto"/>
              </w:rPr>
            </w:pPr>
            <w:r>
              <w:rPr>
                <w:rFonts w:ascii="Arial" w:cs="Arial" w:eastAsia="Arial" w:hAnsi="Arial"/>
                <w:sz w:val="18"/>
                <w:szCs w:val="18"/>
                <w:color w:val="auto"/>
                <w:w w:val="88"/>
              </w:rPr>
              <w:t>See notes to Condensed Consolidated Financial Statements.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840" w:type="dxa"/>
            <w:vAlign w:val="bottom"/>
            <w:gridSpan w:val="2"/>
          </w:tcPr>
          <w:p>
            <w:pPr>
              <w:jc w:val="right"/>
              <w:ind w:right="530"/>
              <w:spacing w:after="0"/>
              <w:rPr>
                <w:sz w:val="20"/>
                <w:szCs w:val="20"/>
                <w:color w:val="auto"/>
              </w:rPr>
            </w:pPr>
            <w:r>
              <w:rPr>
                <w:rFonts w:ascii="Arial" w:cs="Arial" w:eastAsia="Arial" w:hAnsi="Arial"/>
                <w:sz w:val="14"/>
                <w:szCs w:val="14"/>
                <w:color w:val="auto"/>
              </w:rPr>
              <w:t>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40" w:type="dxa"/>
            <w:vAlign w:val="bottom"/>
            <w:gridSpan w:val="7"/>
          </w:tcPr>
          <w:p>
            <w:pPr>
              <w:ind w:left="8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September 30,</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2017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gridSpan w:val="3"/>
          </w:tcPr>
          <w:p>
            <w:pPr>
              <w:jc w:val="right"/>
              <w:ind w:right="90"/>
              <w:spacing w:after="0"/>
              <w:rPr>
                <w:sz w:val="20"/>
                <w:szCs w:val="20"/>
                <w:color w:val="auto"/>
              </w:rPr>
            </w:pPr>
            <w:r>
              <w:rPr>
                <w:rFonts w:ascii="Arial" w:cs="Arial" w:eastAsia="Arial" w:hAnsi="Arial"/>
                <w:sz w:val="18"/>
                <w:szCs w:val="18"/>
                <w:i w:val="1"/>
                <w:iCs w:val="1"/>
                <w:color w:val="auto"/>
              </w:rPr>
              <w:t>(In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12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2,574</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4,464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0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1"/>
              </w:rPr>
              <w:t>Nine Months Ended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9"/>
              </w:rPr>
              <w:t>September 30,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3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80" w:type="dxa"/>
            <w:vAlign w:val="bottom"/>
            <w:gridSpan w:val="4"/>
          </w:tcPr>
          <w:p>
            <w:pPr>
              <w:jc w:val="center"/>
              <w:ind w:left="510"/>
              <w:spacing w:after="0"/>
              <w:rPr>
                <w:sz w:val="20"/>
                <w:szCs w:val="20"/>
                <w:color w:val="auto"/>
              </w:rPr>
            </w:pPr>
            <w:r>
              <w:rPr>
                <w:rFonts w:ascii="Arial" w:cs="Arial" w:eastAsia="Arial" w:hAnsi="Arial"/>
                <w:sz w:val="18"/>
                <w:szCs w:val="18"/>
                <w:i w:val="1"/>
                <w:iCs w:val="1"/>
                <w:color w:val="auto"/>
                <w:w w:val="90"/>
              </w:rPr>
              <w:t>(In thousands)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8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Share-based compensation expense</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640"/>
              <w:spacing w:after="0"/>
              <w:rPr>
                <w:sz w:val="20"/>
                <w:szCs w:val="20"/>
                <w:color w:val="auto"/>
              </w:rPr>
            </w:pPr>
            <w:r>
              <w:rPr>
                <w:rFonts w:ascii="Arial" w:cs="Arial" w:eastAsia="Arial" w:hAnsi="Arial"/>
                <w:sz w:val="18"/>
                <w:szCs w:val="18"/>
                <w:color w:val="auto"/>
              </w:rPr>
              <w:t>Foreign currency transaction losses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(782)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Inventories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(4,205)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0"/>
              <w:spacing w:after="0"/>
              <w:rPr>
                <w:sz w:val="20"/>
                <w:szCs w:val="20"/>
                <w:color w:val="auto"/>
              </w:rPr>
            </w:pPr>
            <w:r>
              <w:rPr>
                <w:rFonts w:ascii="Arial" w:cs="Arial" w:eastAsia="Arial" w:hAnsi="Arial"/>
                <w:sz w:val="18"/>
                <w:szCs w:val="18"/>
                <w:color w:val="auto"/>
              </w:rPr>
              <w:t>Prepaid income taxes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current and long term assets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liabilities and other liabilities</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top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Borders>
              <w:top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(722)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160"/>
              <w:spacing w:after="0"/>
              <w:rPr>
                <w:sz w:val="20"/>
                <w:szCs w:val="20"/>
                <w:color w:val="auto"/>
              </w:rPr>
            </w:pPr>
            <w:r>
              <w:rPr>
                <w:rFonts w:ascii="Arial" w:cs="Arial" w:eastAsia="Arial" w:hAnsi="Arial"/>
                <w:sz w:val="18"/>
                <w:szCs w:val="18"/>
                <w:color w:val="auto"/>
              </w:rPr>
              <w:t>Additions to capitalized software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(466)</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Payment of dividends on common stock</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(2,001)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common stock for treasury</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320"/>
              <w:spacing w:after="0"/>
              <w:rPr>
                <w:sz w:val="20"/>
                <w:szCs w:val="20"/>
                <w:color w:val="auto"/>
              </w:rPr>
            </w:pPr>
            <w:r>
              <w:rPr>
                <w:rFonts w:ascii="Arial" w:cs="Arial" w:eastAsia="Arial" w:hAnsi="Arial"/>
                <w:sz w:val="18"/>
                <w:szCs w:val="18"/>
                <w:color w:val="auto"/>
              </w:rPr>
              <w:t>Proceeds from stock option exercises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Withholding taxes paid on stock issuances</w:t>
            </w: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1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(4,037)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(Decrease) increase in cash and cash equivalents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(1,712)</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5,507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3,795</w:t>
            </w:r>
          </w:p>
        </w:tc>
        <w:tc>
          <w:tcPr>
            <w:tcW w:w="140" w:type="dxa"/>
            <w:vAlign w:val="bottom"/>
          </w:tcPr>
          <w:p>
            <w:pPr>
              <w:spacing w:after="0"/>
              <w:rPr>
                <w:sz w:val="18"/>
                <w:szCs w:val="18"/>
                <w:color w:val="auto"/>
              </w:rPr>
            </w:pPr>
          </w:p>
        </w:tc>
        <w:tc>
          <w:tcPr>
            <w:tcW w:w="6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
        </w:trPr>
        <w:tc>
          <w:tcPr>
            <w:tcW w:w="68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Supplemental schedule of non-cash investing activities:</w:t>
            </w: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included in accounts payable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financial statements of TransAct Technologies Incorporated (the “Company") have been prepared in accordance with accounting principles generally accepted in the United States of America (“U.S. GAAP”) for interim financial information. Accordingly, they do not include all of the information and footnotes required by U.S. GAAP to be included in full year financial statements. In the opinion of management, all adjustments considered necessary for a fair statement of the results for the periods presented have been included and are of a normal recurring nature. The December 31, 2017 Condensed Consolidated Balance Sheet data was derived from audited financial statements, but does not include all disclosures required by U.S. GAAP. These interim financial statements should be read in conjunction with the audited financial statements for the year ended December 31, 2017 included in our Annual Report on Form 10-K.</w:t>
      </w:r>
    </w:p>
    <w:p>
      <w:pPr>
        <w:spacing w:after="0" w:line="2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loss, net of tax", in the Condensed Consolidated Balance Sheets. Transaction gains and losses are included in “Other, net”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nine months ended September 30, 2018 are not necessarily indicative of the results to be expected for the full year.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2. Inventories, net</w:t>
            </w: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60" w:type="dxa"/>
            <w:vAlign w:val="bottom"/>
            <w:gridSpan w:val="2"/>
          </w:tcPr>
          <w:p>
            <w:pPr>
              <w:spacing w:after="0"/>
              <w:rPr>
                <w:sz w:val="20"/>
                <w:szCs w:val="20"/>
                <w:color w:val="auto"/>
              </w:rPr>
            </w:pPr>
            <w:r>
              <w:rPr>
                <w:rFonts w:ascii="Arial" w:cs="Arial" w:eastAsia="Arial" w:hAnsi="Arial"/>
                <w:sz w:val="18"/>
                <w:szCs w:val="18"/>
                <w:color w:val="auto"/>
              </w:rPr>
              <w:t>The components of inventories, net are:</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88"/>
              </w:rPr>
              <w:t>September 30, 2018</w:t>
            </w:r>
          </w:p>
        </w:tc>
        <w:tc>
          <w:tcPr>
            <w:tcW w:w="20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i w:val="1"/>
                <w:iCs w:val="1"/>
                <w:color w:val="auto"/>
              </w:rPr>
              <w:t>(In</w:t>
            </w:r>
          </w:p>
        </w:tc>
        <w:tc>
          <w:tcPr>
            <w:tcW w:w="920" w:type="dxa"/>
            <w:vAlign w:val="bottom"/>
            <w:gridSpan w:val="2"/>
          </w:tcPr>
          <w:p>
            <w:pPr>
              <w:spacing w:after="0"/>
              <w:rPr>
                <w:sz w:val="20"/>
                <w:szCs w:val="20"/>
                <w:color w:val="auto"/>
              </w:rPr>
            </w:pPr>
            <w:r>
              <w:rPr>
                <w:rFonts w:ascii="Arial" w:cs="Arial" w:eastAsia="Arial" w:hAnsi="Arial"/>
                <w:sz w:val="18"/>
                <w:szCs w:val="18"/>
                <w:i w:val="1"/>
                <w:iCs w:val="1"/>
                <w:color w:val="auto"/>
              </w:rPr>
              <w:t>thousands)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8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9,820</w:t>
            </w:r>
          </w:p>
        </w:tc>
        <w:tc>
          <w:tcPr>
            <w:tcW w:w="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Work-in-process</w:t>
            </w: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3,242</w:t>
            </w:r>
          </w:p>
        </w:tc>
        <w:tc>
          <w:tcPr>
            <w:tcW w:w="2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13,065</w:t>
            </w:r>
          </w:p>
        </w:tc>
        <w:tc>
          <w:tcPr>
            <w:tcW w:w="9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24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recorded in the accrued product warranty liability during the nine months ended September 30, 2018 and 2017:</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4"/>
          </w:tcPr>
          <w:p>
            <w:pPr>
              <w:jc w:val="center"/>
              <w:ind w:left="250"/>
              <w:spacing w:after="0"/>
              <w:rPr>
                <w:sz w:val="20"/>
                <w:szCs w:val="20"/>
                <w:color w:val="auto"/>
              </w:rPr>
            </w:pPr>
            <w:r>
              <w:rPr>
                <w:rFonts w:ascii="Arial" w:cs="Arial" w:eastAsia="Arial" w:hAnsi="Arial"/>
                <w:sz w:val="18"/>
                <w:szCs w:val="18"/>
                <w:i w:val="1"/>
                <w:iCs w:val="1"/>
                <w:color w:val="auto"/>
                <w:w w:val="90"/>
              </w:rPr>
              <w:t>(In thousands)</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60" w:type="dxa"/>
            <w:vAlign w:val="bottom"/>
          </w:tcPr>
          <w:p>
            <w:pPr>
              <w:spacing w:after="0"/>
              <w:rPr>
                <w:sz w:val="17"/>
                <w:szCs w:val="17"/>
                <w:color w:val="auto"/>
              </w:rPr>
            </w:pPr>
          </w:p>
        </w:tc>
        <w:tc>
          <w:tcPr>
            <w:tcW w:w="78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267</w:t>
            </w:r>
          </w:p>
        </w:tc>
        <w:tc>
          <w:tcPr>
            <w:tcW w:w="9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Warranties issued</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233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(205)</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Balance, end of period</w:t>
            </w:r>
          </w:p>
        </w:tc>
        <w:tc>
          <w:tcPr>
            <w:tcW w:w="78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295</w:t>
            </w:r>
          </w:p>
        </w:tc>
        <w:tc>
          <w:tcPr>
            <w:tcW w:w="92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2018, $197 thousand of the accrued product warranty liability is classified as current in "Accrued liabilities" in the Condensed Consolidated Balance Sheets and the remaining $98 thousand is classified as non-current in "Other liabilities".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4.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0" w:type="dxa"/>
            <w:vAlign w:val="bottom"/>
            <w:gridSpan w:val="7"/>
          </w:tcPr>
          <w:p>
            <w:pPr>
              <w:jc w:val="right"/>
              <w:ind w:right="60"/>
              <w:spacing w:after="0"/>
              <w:rPr>
                <w:sz w:val="20"/>
                <w:szCs w:val="20"/>
                <w:color w:val="auto"/>
              </w:rPr>
            </w:pPr>
            <w:r>
              <w:rPr>
                <w:rFonts w:ascii="Arial" w:cs="Arial" w:eastAsia="Arial" w:hAnsi="Arial"/>
                <w:sz w:val="18"/>
                <w:szCs w:val="18"/>
                <w:i w:val="1"/>
                <w:iCs w:val="1"/>
                <w:color w:val="auto"/>
                <w:w w:val="90"/>
              </w:rPr>
              <w:t>(In thousands, except per share data)</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59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1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2,574</w:t>
            </w:r>
          </w:p>
        </w:tc>
        <w:tc>
          <w:tcPr>
            <w:tcW w:w="8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7,413</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7,408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7,449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Dilutive effect of outstanding options and restricted stock units as</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determined by the treasury stock method</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tcBorders>
              <w:right w:val="single" w:sz="8" w:color="CCEEFF"/>
            </w:tcBorders>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w w:val="92"/>
              </w:rPr>
              <w:t>Diluted: Weighted average common and common equivalent shares outstanding</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7,758</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7,586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7,774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1"/>
        </w:trPr>
        <w:tc>
          <w:tcPr>
            <w:tcW w:w="59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88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88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0.24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0.57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computation of diluted earnings per share excludes the effect of the potential exercise of stock awards, including stock options and restricted stock units, when the average market price of the common stock is lower than the exercise price of the related stock award during the period. These outstanding stock awards are not included in the computation of diluted earnings per share because the effect would be anti-dilutive. For the three months ended September 30, 2018 and 2017, there were 147 thousand and 382 thousand, respectively, of potentially dilutive shares consisting of stock awards that were excluded from the calculation of earnings per diluted share. For the nine months ended September 30, 2018 and 2017, there were 149 thousand and 404 thousand, respectively, of potentially dilutive shares consisting of stock awards that were excluded from the calculation of earnings per diluted share.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5. Shareholders’ equity</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180" w:type="dxa"/>
            <w:vAlign w:val="bottom"/>
            <w:gridSpan w:val="2"/>
          </w:tcPr>
          <w:p>
            <w:pPr>
              <w:spacing w:after="0"/>
              <w:rPr>
                <w:sz w:val="20"/>
                <w:szCs w:val="20"/>
                <w:color w:val="auto"/>
              </w:rPr>
            </w:pPr>
            <w:r>
              <w:rPr>
                <w:rFonts w:ascii="Arial" w:cs="Arial" w:eastAsia="Arial" w:hAnsi="Arial"/>
                <w:sz w:val="18"/>
                <w:szCs w:val="18"/>
                <w:color w:val="auto"/>
              </w:rPr>
              <w:t>Changes in shareholders’ equity for the nine months ended September 30, 2018 were as follows (in thousands):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Issuance of shares from exercise of stock options</w:t>
            </w:r>
          </w:p>
        </w:tc>
        <w:tc>
          <w:tcPr>
            <w:tcW w:w="3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Relinquishment of stock awards upon exercise and fully vested deferred stock units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Purchase of common stock for treasury</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declared and paid on common stock</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26,965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September 30, 2018, our Board of Directors declared a quarterly cash dividend of $0.09 per share, totaling $665 thousand, which was paid on September 14, 2018 to common shareholders of record at the close of business on August 20, 2018. For the three months ended September 30, 2017, dividends declared and paid totaled $661 thousand, or $0.09 per share. For the nine months ended September 30, 2018 and 2017, dividends declared and paid totaled $2.0 million, or $0.27 per share, and $1.9 million, or $0.26 per share,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recorded an income tax provision for the third quarter of 2018 of $581 thousand at an effective tax rate of 18.4%, compared to an income tax provision during the third quarter of 2017 of $769 thousand at an effective tax rate of 29.8%. For the nine months ended September 30, 2018, we recorded an income tax provision of $1.06 million at an effective tax rate of 19.2%, compared to an income tax provision during the nine months ended September 30, 2017 of $1.66 million at an effective tax rate of 31.4%. We expect our annual effective tax rate for 2018 to be between 19% and 20%. The effective tax rate for the three and nine months ended September 30, 2018 was lower than the effective tax rate for the three and nine months ended September 30, 2017 due to the passage of the Tax Cuts and Jobs Act (the "Tax Reform Act") enacted on December 22, 2017. The legislation significantly changes U.S. tax law by, among other things, lowering corporate income tax rates, implementing a territorial tax system and imposing a one-time repatriation tax on undistributed foreign earnings. The Tax Reform Act reduced the U.S. corporate income tax rate from a maximum of 35% to a flat 21% rate effective January 1, 2018 and, as a result, reduced our statutory U.S. corporate income tax rate from 34% to 21%.</w:t>
      </w:r>
    </w:p>
    <w:p>
      <w:pPr>
        <w:sectPr>
          <w:pgSz w:w="11900" w:h="16838" w:orient="portrait"/>
          <w:cols w:equalWidth="0" w:num="1">
            <w:col w:w="11420"/>
          </w:cols>
          <w:pgMar w:left="240" w:top="121"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both"/>
        <w:spacing w:after="0" w:line="270" w:lineRule="auto"/>
        <w:rPr>
          <w:sz w:val="20"/>
          <w:szCs w:val="20"/>
          <w:color w:val="auto"/>
        </w:rPr>
      </w:pPr>
      <w:r>
        <w:rPr>
          <w:rFonts w:ascii="Arial" w:cs="Arial" w:eastAsia="Arial" w:hAnsi="Arial"/>
          <w:sz w:val="17"/>
          <w:szCs w:val="17"/>
          <w:color w:val="auto"/>
        </w:rPr>
        <w:t>On December 22, 2017, the Securities and Exchange Commission ("SEC") staff issued Staff Accounting Bulletin No. 118 ("SAB 118") to address the application of U.S. GAAP in situations where a registrant does not have the necessary information available, prepared, or analyzed in reasonable detail to complete the accounting for certain income tax effects of the Tax Reform Act. SAB 118 provides a measurement period, not to exceed one year from the enactment of the Tax Reform Act. In accordance with SAB 118, the Company has recognized provisional tax impacts related to the revaluation of deferred tax assets and liabilities and included these amounts in its consolidated financial statements for the year ended December 31, 2017, and no changes were made to these provisional amounts during the quarter ended September 30, 2018. The ultimate impact may differ from these provisional amounts, possibly materially, due to, among other things, additional analysis, changes in interpretations and assumptions, additional regulatory guidance from Treasury, the Internal Revenue Service and State Governments, and actions the Company may take as a result of the Tax Reform Act, but the enactment of this legislation did not result in a material adjustment for the nine months ended September 30, 2018.</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 The GILTI provisions require the Company to include in its U.S. income tax return foreign subsidiary earnings in excess of an allowable return on the foreign subsidiary's tangible assets. The BEAT provisions in the Tax Reform Act eliminate the deduction of certain base-erosion payments made to related foreign corporations, and impose a minimum tax if greater than regular income tax. The Company has not recorded any impacts of GILTI or BEAT in its consolidated financial statements for the quarter ended September 30, 2018.</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income tax in certain state and foreign jurisdictions. We have substantially concluded all U.S. federal income tax, state and local, and foreign tax regulatory examination matters through 2014. However, our federal tax returns for the years 2015 through 2017 remain open to examination. Various state and foreign tax jurisdiction tax years remain open to examination as well, though we believe that any additional assessment would be immaterial to the Condensed Consolidated Financial Statements.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2018, we had $76 thousand of total gross unrecognized tax benefits that, if recognized, would favorably affect the effective income tax rate in any future periods. During the third quarter of 2018, we recognized $28 thousand of previously unrecognized tax benefits as the statute of limitations on the use of our 2014 R&amp;D credits expired during the third quarter of 2018.</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interest and penalties related to uncertain tax positions in the income tax provision reported as "Deferred tax assets" in the Condensed Consolidated Balance Sheet. As of September 30, 2018, we have $14 thousand of accrued interest and penalties related to uncertain tax positions. The Company maintains a valuation allowance against certain deferred tax assets where realization is not certain.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accounting pronouncements will be adopted in future reporting periods: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supersedes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 and is effective for public entities for annual periods beginning after December 15, 2018 and for interim periods within those fiscal years. Early adoption is permitted. The Company does have leases for equipment and real property which exceed 12 months and we are in the process of finalizing our review of our lease agreements and evaluating the impact of Topic 842. The Company intends to elect the package of practical expedients and currently expects that most of its operating lease commitments will be subject to the new standard and recognized as operating lease liabilities and right-of-use assets upon adoption of Topic 842. While we expect to record material right-of-use assets and corresponding liabilities upon adoption of Topic 482, we do not expect adoption of the guidance will result in a material impact on the Company's results of operations or cash flows.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accounting pronouncements were adopted during 2018:</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Revenue recognition: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ASU No. 2014-09, "Revenue from Contracts with Customers” and its related amendments (collectively, ASC 606) are effective for reporting periods beginning after December 15, 2017, and interim periods therein.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Entities have the option of using either a full retrospective approach or modified retrospective approach to adopt the amended guidance. We adopted ASC 606 effective January 1, 2018 and elected the modified retrospective approach. The results for periods before 2018 were not adjusted for the new standard and no cumulative effective for the change in accounting was recognized through retained earnings at the date of adoption.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prior to January 1, 2018</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revenue recognition method prior to the adoption of ASC 606 can be found under Note 2. Summary of significant accounting policies within the “Notes to Consolidated Financial Statements” in the Annual Report on Form 10-K for the fiscal year ended December 31, 2017.</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commencing January 1, 2018</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accordance with ASC 606, a performance obligation is a promise in a contract with a customer to transfer a distinct good or service to the customer. Some of our contracts with customers contain a single performance obligation, while other contracts contain multiple performance obligations (most commonly when contracts include product and extended warranties). A contract's transaction price is allocated to each distinct performance obligation and recognized as revenue when, or as, the performance obligation is satisfied. When there are multiple performance obligations within a contract, we allocate the transaction price to each performance obligation based on its standalone selling price.</w:t>
      </w:r>
    </w:p>
    <w:p>
      <w:pPr>
        <w:spacing w:after="0" w:line="20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transaction price is determined based on the consideration to which the Company will be entitled in exchange for transferring services to the customer. To the extent the transaction price includes variable consideration, such as price protection, reserves for returns and other allowances, the Company estimates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the Company’s judgment, it is probable that a significant future reversal of cumulative revenue under the contract will not occur.</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For a majority of our revenue, which consists of printers, terminals, consumables, and replacement parts, the Company recognizes revenue as of a point of time. The transaction price is recognized upon shipment of the order when control of the goods is transferred to the customer and at the time the performance obligation is fulfilled. We also sell a software solution, EPICENTRAL™, that enables casino operators to create promotional coupons and marketing messages and to print them in real-time at the slot machine. EPICENTRAL</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is primarily comprised of both a software component, which is licensed to the customer, and a hardware component. EPICENTRAL™ software and hardware are integrated to deliver the system's full functionality. The transaction prices from EPICENTRAL™ software license and hardware are recognized upon installation and formal acceptance by the customer when control of the license is transferred to the customer. For out-of-warranty repairs, the transaction price is recognized after completion of the repair work is completed and the printer or terminal is returned to the customer, as control of the product is transferred to the customer.</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Performance obligations are satisfied over time if the customer receives the benefits as we perform work, if the customer controls the asset as it is being produced, or if the product being produced for the customer has no alternative use and we have a contractual right to payment. For our separately priced extended warranty, technical support for our restaurant solution terminals and maintenance agreements (including free one-year maintenance received by the customers upon completion of EPICENTRAL™ installation) revenue is recognized over time as the customer receives the benefit. The transaction price from the maintenance services is recognized ratably over time, using output methods, as control of the services is transferred to the customer. For extended warranties, the transaction price is recognized ratably over the warranty period, using output methods, as control of the services is transferred to the customer.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cases where there is more than one performance obligation in a customer arrangement, the Company typically uses the “standalone selling price” method to determine the transaction price to allocate to each performance obligation. The Company sells the performance obligations separately and has established standalone selling prices for its products and services. In the case of an overall price discount, the discount is applied to each performance obligation proportionately based on standalone selling price. To determine the standalone selling price for initial EPICENTRAL™ installations, the Company uses the adjusted market assessment approach.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disaggregates our revenue by market-type, as we believe it best depicts how the nature, amount, timing and uncertainty of our revenue and cash flows are affected by economic factors. Sales and usage-based taxes are excluded from 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Nine Months Ended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 2018</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86"/>
              </w:rPr>
              <w:t>United States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International</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i w:val="1"/>
                <w:iCs w:val="1"/>
                <w:color w:val="auto"/>
                <w:w w:val="90"/>
              </w:rPr>
              <w:t>(In thousands)</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Restaurant solutions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POS Automation and Banking</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5,901</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Casino and Gaming</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21,274</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Lottery</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1,771</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Printrex</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w:t>
            </w: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TransAct Services Group</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9,202</w:t>
            </w:r>
          </w:p>
        </w:tc>
      </w:tr>
      <w:tr>
        <w:trPr>
          <w:trHeight w:val="257"/>
        </w:trPr>
        <w:tc>
          <w:tcPr>
            <w:tcW w:w="74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net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42,832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 and financial statement impact of adopting ASC 606</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for the changes below, we have consistently applied the accounting policies to all periods presented in the consolidated financial statements. As noted above, we adopted ASC 606 using the modified retrospective approach which allows the Company to record any changes using the cumulative effect. The adoption of the ASC 606 did not require the Company to record an adjustment to retained earnings at January 1, 2018 and did not have an impact on the consolidated income statement during the first nine months of 2018, basic or diluted earnings per share, consolidated statement of cash flows or consolidated balance sheet at September 30, 2018.</w:t>
      </w:r>
    </w:p>
    <w:p>
      <w:pPr>
        <w:spacing w:after="0" w:line="2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auto"/>
        </w:rPr>
        <w:t xml:space="preserve">Costs to Obtain a Contract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Costs to obtain a contract, such as sales commissions, were previously expensed as incurred. The Company applied the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 for contracts with customers for a term of twelve months or less, in accordance with ASC 340-40-25-4, which allows TransAct to continue to expense sales commissions as incurred, since the expected amortization period of the cost to obtain a contract is less than 12 months. No amounts were capitalized as of the adoption of ASC 606 or as of September 30,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contract liabilities consist of customer pre-payments and deferred revenue. Customer prepayments are reported as “Accrued Liabilities” in current liabilities in the Condensed Consolidated Balance Sheets and represent customer payments made in advance of performance obligations in instances where credit has not been extended and is recognized as revenue when the performance obligation is complete. Deferred revenue is reported separately in current liabilities and non-current liabilities and consists of our extended warranty contracts, technical support for our restaurant solution terminals, EPICENTRAL™ maintenance contracts and testing service contracts, and is recognized as revenue as (or when) we perform under the contract. The increase in current and non-current deferred revenue is due to the sale of extended warranties and technical support for our restaurant solution terminals. We do not have any contract asset balances as of September 30, 2018 or December 31, 2017. In the first nine months of 2018, we recognized revenue of $587 thousand related to our contract liabilities at January 1, 2018. Total contract liabilities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September 30, 2018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January 1,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i w:val="1"/>
                <w:iCs w:val="1"/>
                <w:color w:val="auto"/>
              </w:rPr>
              <w:t>(In</w:t>
            </w:r>
          </w:p>
        </w:tc>
        <w:tc>
          <w:tcPr>
            <w:tcW w:w="1920" w:type="dxa"/>
            <w:vAlign w:val="bottom"/>
            <w:gridSpan w:val="4"/>
          </w:tcPr>
          <w:p>
            <w:pPr>
              <w:jc w:val="right"/>
              <w:ind w:right="1210"/>
              <w:spacing w:after="0"/>
              <w:rPr>
                <w:sz w:val="20"/>
                <w:szCs w:val="20"/>
                <w:color w:val="auto"/>
              </w:rPr>
            </w:pPr>
            <w:r>
              <w:rPr>
                <w:rFonts w:ascii="Arial" w:cs="Arial" w:eastAsia="Arial" w:hAnsi="Arial"/>
                <w:sz w:val="17"/>
                <w:szCs w:val="17"/>
                <w:i w:val="1"/>
                <w:i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6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Customer pre-payments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Total contract liabilities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652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Remaining performance obligations represent the transaction price of firm orders for which a good or service has not been delivered to our customer. As of September 30, 2018, the aggregate amount of the transaction price allocated to remaining performance obligations was $6.0 million. The Company expects to recognize revenue on $5.5 million of our remaining performance obligations within the next 12 months, $0.4 million within the next 24 months and the balance of these remaining performance obligations recognized within the next 36 months.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tabs>
          <w:tab w:leader="none" w:pos="3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Stock compensation:</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2017, the FASB issued ASU No. 2017-09, "Compensation-Stock Compensation: Scope of modification accounting". ASU 2017-09 provides guidance about which changes to the terms or conditions of a share-based payment award require an entity to apply modification accounting in Topic 718. ASU No. 2017-09 is effective for fiscal years beginning after December 15, 2017. The amendments are applied prospectively to an award modified on or after the adoption date. We adopted this guidance in the first quarter of 2018 and the adoption has not resulted in a change to our financial statements.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tabs>
          <w:tab w:leader="none" w:pos="1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(the “Exchange Act”).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TransAct Technologies Incorporated (“TransAct”) is a global leader in developing and selling software-driven technology and printing solutions for high growth markets including restaurant solutions, point of sale (“POS”) automation and banking, casino and gaming, lottery, and oil and gas. Our world-class products are designed from the ground up based on market and customer requirements and are sold under the AccuDate™, Epic, EPICENTRAL™, Ithaca® and Printrex® brand names. Known and respected worldwide for innovative designs and real-world service reliability, our thermal and inkjet printers and terminals generate top-quality date code, grab-and-go and nutritional labels for food items and transaction records such as receipts, tickets, coupons, register journals and other documents, as well as printed logging and plotting of data. We sell our products to original equipment manufacturers ("OEMs"), value-added resellers ("VARs"), select distributors, as well as directly to end-users. Our product distribution spans across the Americas, the Middle East, Africa, Asia, Australia, the Caribbean Islands and the South Pacific. TransAct also provides world-class service, spare parts, accessories and printing supplies to its growing worldwide installed base of products. Through our TransAct Services Group ("TSG"), we provide a complete range of supplies and consumables used in the printing and scanning activities of customers in the restaurant and hospitality, banking, retail, casino and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demand for these products. We operate in one reportable segment, the design, development, and marketing of software-driven technology and printing solutions for high growth markets, and provide related services, supplies and spare parts.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2017. We have reviewed those policies and determined that they remain our critical accounting policies for the nine months ended September 30, 2018.</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Results of Operations: Three months ended September 30, 2018 compared to three months ended September 30, 2017</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September 30, 2018 and 2017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2018</w:t>
            </w: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2017</w:t>
            </w: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Restaurant solutions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1,803</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POS automation and banking</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1,829</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Casino and gaming</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8,267</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5,111</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2,160</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Printrex</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15,838</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15,524</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
        </w:trPr>
        <w:tc>
          <w:tcPr>
            <w:tcW w:w="3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International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3,171</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2,050</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for the third quarter of 2018 increased $314 thousand, or 2%, from the same period in 2017. Printer and terminal sales volume increased 12% to approximately 42 thousand units for the third quarter of 2018, driven primarily by a 73% increase in unit volume from the casino and gaming market and, to a lesser extent, a 9% increase in unit volume from the POS automation and banking market. These increases were partially offset by a 74% decline in unit volume from the lottery market and, to a lesser extent, a 41% decline in unit volume from the restaurant solutions market. The average selling price of our printers and terminals increased 4% in the third quarter of 2018 compared to the third quarter of 2017 due primarily to lower lottery printer sales, which sell at a lower price than our other products.</w:t>
      </w:r>
    </w:p>
    <w:p>
      <w:pPr>
        <w:spacing w:after="0" w:line="2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International sales for the third quarter of 2018 increased $1.1 million, or 55%, from the same period in 2017 due primarily to a 58% increase in sales in the international casino and gaming 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 from the restaurant solutions market includes sales of terminals that combine hardware and software in a device that includes an operating system, touchscreen and one or two thermal print mechanisms that print easy-to-read food rotation labels, grab and go labels for prepared foods, and "enjoy by" date labels to help food service establishments and restaurants (including fine dining, casual dining, quick-serve convenience and hospitality establishments) effectively manage food safety and automate and manage back-of-the-restaurant operations. A summary of sales of our worldwide restaurant solutions products for the three months ended September 30, 2018 and 2017 is as follows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2018</w:t>
            </w: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1,685</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1,318</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1,803</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domestic restaurant solutions terminal sales in the third quarter of 2018 compared to the third quarter of 2017 was driven by lower sales of our AccuDate 9700 terminal due to lower sales to McDonald's. This decrease was partially offset by increased sales of our newer AccuDate XL2e terminal to three large corporate customers in support of large-scale, multi-quarter rollouts of the terminal. Shipments of AccuDate XL2e terminals exceeded sales of AccuDate 9700 terminals for the second consecutive quarter in the third quarter of 2018. We expect full year 2018 sales of our restaurant solutions terminals to be relatively consistent with full year 2017 sales.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the POS automation and banking market includes sales of thermal printers used primarily by restaurants (including fine dining, casual dining, quick serve and hospitality establishments) located either at the checkout counter or within self-service kiosks to print receipts for consumers or print on linerless labels. In addition, revenue includes sales of inkjet printers used by banks, credit unions and other financial institutions to print deposit or withdrawal receipts and/or validate checks at bank teller stations. A summary of sales of our worldwide POS automation and banking products for the three months ended September 30, 2018 and 2017 is as follows (in thousands, except percentages):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2018</w:t>
            </w: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1,910</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1,697</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1,829</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increase in domestic POS automation and banking product revenue from the third quarter of 2017 was driven by a 22% increase in sales of our Ithaca® 9000 printer, as sales to McDonald’s have returned to the near record levels experienced during 2017. We expect this level of sales to McDonald’s to decrease during the fourth quarter of 2018. This increase was partially offset by 81% lower domestic sales of our legacy banking and other POS printers for the third quarter of 2018 compared to the third quarter of 2017. We expect sales of these legacy products to continue to decline during the remainder of 2018, as we expect to exit the banking market at the end of 2018 and have shifted our focus to our newer products.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sales from our POS automation and banking products decreased during the third quarter of 2018 compared to the third quarter of 2017 due to lower sales of our Ithaca® 9000 printer to our Canadian distributor for McDonald’s.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casino and gaming market includes sales of thermal ticket printers used in slot machines, video lottery terminals, and other gaming machines that print tickets or receipts instead of issuing coins at casinos and racetracks and other gaming venues worldwide. Revenue from this market also includes sales of thermal roll-fed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the EPICENTRAL™ print system, our software solution (including annual software maintenance), that enables casino operators to create promotional coupons and marketing messages and to print them real-time at the slot machine. A summary of sales of our worldwide casino and gaming products for the three months ended September 30, 2018 and 2017 is as follows (in thousands, except percentages):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8"/>
              </w:rPr>
              <w:t>Three months ended</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90"/>
              </w:rPr>
              <w:t>September 30, 2018</w:t>
            </w:r>
          </w:p>
        </w:tc>
        <w:tc>
          <w:tcPr>
            <w:tcW w:w="5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2017</w:t>
            </w:r>
          </w:p>
        </w:tc>
        <w:tc>
          <w:tcPr>
            <w:tcW w:w="5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5,733</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3,511</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w:t>
            </w: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8,267</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5,111</w:t>
            </w: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3,156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domestic sales of our casino and gaming products was due to an 79% increase in domestic sales of our thermal casino printer sales in the third quarter of 2018 compared to the third quarter of 2017, driven primarily by a large order of replacement printers from a domestic casino operator, as well as increased sales to our OEMs. Additionally, we experienced an increase in domestic sales of our off-premise gaming printers to an OEM based in the U.S. that we don’t expect to reoccur in the fourth quarter of 2018. These increases were partially offset by lower sales of our EPICENTRAL™ software systems as no new installations were completed during the third quarter of 2018 compared to two installations completed during the third quarter of 2017. Sales of EPICENTRAL™ are project based, and as a result, may fluctuate significantly quarter-to-quarter and year-to-year.</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international sales of our casino and gaming products in the third quarter of 2018 compared to the third quarter of 2017 was due to a 76% increase in sales of our thermal casino printers. These increases were due to the success of the transition away from using our previous exclusive worldwide distributor whose contract ended at the end of 2017 and included a large non-recurring order to an international OEM that we don’t expect to reoccur in the fourth quarter of 2018.</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expect casino and gaming sales to increase in the fourth quarter of 2018 compared to the fourth quarter of 2017, we do not expect domestic and international sales of our thermal casino printers to continue at the level experienced during the third quarter of 2018 for the remainder of 2018, as the third quarter results included two large orders that we do not expect to reoccur in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primarily to International Game Technology and its subsidiaries ("IGT") and, to a lesser extent, other lottery system companies for various lottery applications. A summary of sales of our worldwide lottery printers for the three months ended September 30, 2018 and 2017 is as follows (in thousands, except percentages):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2018</w:t>
            </w: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2,149</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2,160</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(69.7%)</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to IGT are directly dependent on the timing and number of new and upgraded lottery terminal installations that IGT performs, and as a result, may fluctuate significantly quarter-to-quarter and year-to-year. However, our lottery market sales are not indicative of IGT’s overall business or revenue. We expect lottery printer sales to be lower for the full year 2018 compared to the full year 2017, as we have shifted our focus away from the lottery market to our higher-value, technology enabled restaurant solutions and casino and gaming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Printrex branded printers are sold into markets that include wide format, desktop and rack mounted and vehicle mounted black/white thermal printers used by customers to log and plot oil field, seismic and down hole well drilling data in the oil and gas exploration industry. It also includes high-speed color inkjet desktop printers used to print logs at the data centers of the oil and gas field service companies. Revenue in this market also includes sales of vehicle mounted printers used to print schematics and certain other critical information in emergency services vehicles and other mobile printing applications. A summary of sales of our worldwide Printrex printers for the three months ended September 30, 2018 and 2017 is as follows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2018</w:t>
            </w: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67.4%</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ind w:left="6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ind w:left="64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increase in sales of Printrex printers in the third quarter of 2018 compared to third quarter of 2017 resulted from a 67% increase in domestic and international sales of our oil and gas printers. This increase was partially offset by 97% lower domestic and international sales of our medical and mobile printers in the third quarter of 2018 compared to the third quarter of 2017. We expect Printrex sales for the full year of 2018 to be higher than 2017, as we expect a continued modest recovery in the global oil and gas industry to more than offset lower expected sales of medical and mobile printers as we shift our focus to our higher value, technology-enabled restaurant solutions and casino and gaming products.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 from TSG includes sales of consumable products (inkjet cartridges, ribbons, receipt paper, color thermal paper, food safety labels and other printing supplies), replacement parts, maintenance and repair services, testing services, refurbished printers, and shipping and handling charges. A summary of sales in our worldwide TSG market for the three months ended September 30, 2018 and 2017 is as follows (in thousands, except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Three months ended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2018</w:t>
            </w:r>
          </w:p>
        </w:tc>
        <w:tc>
          <w:tcPr>
            <w:tcW w:w="5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3"/>
            <w:shd w:val="clear" w:color="auto" w:fill="CCEEFF"/>
          </w:tcPr>
          <w:p>
            <w:pPr>
              <w:jc w:val="center"/>
              <w:ind w:left="70"/>
              <w:spacing w:after="0"/>
              <w:rPr>
                <w:sz w:val="20"/>
                <w:szCs w:val="20"/>
                <w:color w:val="auto"/>
              </w:rPr>
            </w:pPr>
            <w:r>
              <w:rPr>
                <w:rFonts w:ascii="Arial" w:cs="Arial" w:eastAsia="Arial" w:hAnsi="Arial"/>
                <w:sz w:val="18"/>
                <w:szCs w:val="18"/>
                <w:b w:val="1"/>
                <w:bCs w:val="1"/>
                <w:color w:val="auto"/>
                <w:w w:val="89"/>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Domestic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4,174</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97.9%</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3,214</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8"/>
              </w:rPr>
              <w:t>100.0%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4,263</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decrease in domestic revenue from TSG for the third quarter of 2018 as compared to the prior year period was due primarily to decreased replacement part sales and non-Printrex consumable product sales. Replacement part sales decreased 44% due to lower sales of lottery printer spare parts to IGT. Non-Printrex consumables declined 15% due to lower sales of our legacy HP inkjet cartridges used in our banking printers, as we continue to deemphasize our sales of this commoditized consumable product and expect to exit the banking market at the end of 2018. The decreases were partially offset by increased AccuDate label sales which quadrupled during the third quarter of 2018 compared to the third quarter of 2017. Based on our backlog of orders and contractual commitments for replacement parts for our installed base of lottery printers, we expect TSG sales to decrease for the full year 2018 compared to the unusually high level of spare parts sales, largely from lottery printer spare part sales to IGT, during 2017.</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Internationally, TSG revenue increased due to a 370% increase in sales of replacement parts and accessories in the third quarter of 2018 compared to the third quarter of 2017, as sales of replacement parts and accessories to international casino and gaming customers have increased upon the transition away from using our previous exclusive worldwide distributor and using our new direct sales team to sell to end user casino and gaming customers.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information for the three months ended September 30, 2018 and 2017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21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 print system. In the third quarter of 2018, gross profit increased $485 thousand, or 7%, compared to the same period in 2017 and our gross margin improved by 210 basis points to 50.5% in the third quarter of 2018. The increase in gross profit was driven by 2% higher sales and a favorable product sales mix in the third quarter of 2018 compared to the third quarter of 2017. We expect our full year gross margin to be higher for 2018 compared to the full year 2017, as our sales mix shifts towards higher-value, technology driven solutions in the restaurant solutions and casino and gaming markets.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2018 and 2017 is summarized below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Three months ended</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22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3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hardware and software engineering staff, depreciation and design expenses (including prototype printer expenses, outside design, development and testing services, and supplies). Such expenses decreased $41 thousand, or 4% in the third quarter of 2018 compared to the third quarter of 2017 due primarily to lower contracted design expense to support new product development in the restaurant solutions market. This decrease was partially offset by the hiring of additional engineering staff during 2018 to support new product developments in the restaurant solutions and casino and gaming markets. We expect engineering, design and product development expenses to be higher for the full year 2018 compared to full year 2017, due to the expanded engineering staff to support new product development for the restaurant solutions market.</w:t>
      </w:r>
    </w:p>
    <w:p>
      <w:pPr>
        <w:spacing w:after="0" w:line="21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three months ended September 30, 2018 and 2017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Three months ended</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22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3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by $97 thousand, or 5%, in the third quarter of 2018 compared to the third quarter of 2017 due primarily to the retirement of our EVP, Sales and Marketing in December 2017, whose position was replaced by an existing employee of TransAct, as well as the elimination of sales commission expense to our former international casino and gaming distributor, Suzo-Happ. These decreases were somewhat offset by the hiring of additional sales staff in the U.K. to support our new direct selling model for the casino and gaming market in Europe. We expect selling and marketing expenses in 2018 to be relatively consistent with 2017, as increased costs related to the build-out of our internal sales infrastructure in Europe during 2018 will be offset by savings from the retirement of our former EVP, Sales and Marketing and the elimination of sales commissions to our former gaming international distributor.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three months ended September 30, 2018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is summarized below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21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primarily include salaries, incentive compensation, and other payroll related expenses for our executive, accounting, human resource and information technology staff, expenses for our corporate headquarters, professional and legal expenses, telecommunication expenses, and other expenses related to being a publicly-traded company. General and administrative expenses remained consistent during the third quarter of 2018 compared to the third quarter of 2017 due to higher legal expenses being mostly offset by lower incentive compensation expenses incurred during 2018. We expect general and administrative expenses to be higher in 2018 than 2017 due to recruiting expenses related to the expansion of our restaurant solutions sales staff, sales staff for our European casino and gaming market, and engineering staff.</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three months ended September 30, 2018 and 2017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21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jc w:val="right"/>
              <w:ind w:right="103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income increased $621 thousand, or 24%, in the third quarter of 2018 compared to the third quarter of 2017, and our operating margin increased to 20.3% of net sales largely due to higher gross profit resulting from an 2% increase in sales and a 210 basis point improvement in gross margin, as well as proportionately lower operating expenses as a percentage of net sales, in the third quarter of 2018 compared to the prior year period.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We recorded net interest expense of $7 thousand in the third quarter of 2018 compared to $9 thousand in the third quarter of 2017.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not expect significant changes in net interest expense for the remainder of 2018.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We recorded other expense of $50 thousand in the third quarter of 2018 compared to no other income or expense recorded in the third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2017 due to higher foreign exchange losses recorded by our U.K. entity in the third quarter of 2018. Going forward we may continue to experience more foreign exchange volatility as we increase our casino and gaming sales in Europe.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third quarter of 2018 of $581 thousand at an effective tax rate of 18.4%, compared to an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during the third quarter of 2017 of $769 thousand at an effective tax rate of 29.8%. The effective tax rate in the third quarter of 2018 was lower than the effective tax rate in the third quarter of 2017 due to the passage of the Tax Reform Act that was signed on December 22, 2017. The legislation significantly changed U.S. tax law by, among other things, lowering corporate income tax rates, implementing a territorial tax system and imposing a one-time repatriation tax on undistributed foreign earnings. The Tax Reform Act reduced the U.S. corporate income tax rate from a maximum of 35% to a flat 21% rate effective January 1, 2018 and, as a result, reduced our statutory U.S. corporate income tax rate from 34% to 21%. We expect our effective tax rate to be between 19% and 20% for the full year 2018.</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for the third quarter of 2018 of $2.6 million, or $0.33 per diluted share, compared to $1.8 million, or $0.24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third quarter of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 Nine months ended September 30, 2018 compared to nine months ended September 30, 2017</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nine months ended September 30, 2018 and 2017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2018</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2017</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Restaurant solutions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3,622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3,351</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POS automation and banking</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6,335</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Casino and gaming</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21,274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14,213</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7,928</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Printrex</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TSG</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42,832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43,117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
        </w:trPr>
        <w:tc>
          <w:tcPr>
            <w:tcW w:w="3240" w:type="dxa"/>
            <w:vAlign w:val="bottom"/>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International *</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8,637</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6,596</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and terminals made to domestic distributors or other domestic customers who may in turn ship those printers and terminals to international destinations.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for the first nine months of 2018 decreased $285 thousand, or 1%, from the same period in 2017. Printer sales volume decreased by 5% to approximately 112 thousand units in the first nine months of 2018 driven primarily by an 79% decrease in unit volume from the lottery market and, to a lesser extent, a 4% decrease in the POS automation and banking market. These decreases were partially offset by an increase in sales volume of 50% in the casino and gaming market. Although unit volume decreased in the first nine months of 2018 compared to the first nine months of 2017, the average selling price of our printers increased 9% during the first nine months of 2018 compared to the first nine months of 2017, due primarily to the decreased volume of lottery printers which carry lower prices than our other products.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International sales increased $2 million, or 31%, primarily driven by 63% higher international sales in the casino and gaming market. This increase was partially offset by a $1.1 million sales decrease in our international lottery market during the first nine months of 2018 compared to the first nine months of 2017.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solutions: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restaurant solutions products for the nine months ended September 30, 2018 and 2017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ind w:left="22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2018</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1"/>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3,295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3,099</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3,622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3,351</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domestic restaurant solutions terminal sales in the first nine months of 2018 compared to the first nine months of 2017 was driven by increased sales of our AccuDate XL2e to three large corporate customers in support of a large-scale, multi-quarter rollouts of the terminal. This increase was partially offset by lower sales of our AccuDate 9700 terminal to McDonald’s and our former U.S. distributor.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restaurant solutions sales increased during the first nine months of 2018 compared to the first nine months of 2017 due to increased sales of the AccuDate 9700 for McDonald’s through our Asian distributor.</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POS automation and banking: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POS automation and banking products for the nine months ended September 30, 2018 and 2017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2018</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2017</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5,765</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6,150</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5,901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6,335</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domestic POS automation and banking sales in the first nine months of 2018 compared to the first nine months of 2017 was primarily driven by a 74% decrease in sales of our legacy banking and other POS printers as we continue to deemphasize these products. These decreases were partially offset by a slight increase in sales of our Ithaca® 9000 printers of 1% during the first nine months of 2018 compared to the first nine months of 2017, as sales rebounded to prior year, near-record levels during the second and third quarters of 2018.</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International POS automation and banking sales decreased due to lower sales of our Ithaca® 9000 printer to our Canadian distributor for McDonald’s during the first nine months of 2018 compared to the first nine months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casino and gaming products for the nine months ended September 30, 2018 and 2017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ind w:left="22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2018</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1"/>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14,084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66.2%</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9,790</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68.9%</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7,190</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21,274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14,213</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domestic sales of our casino and gaming products was due primarily to a 35% increase in domestic sales of our thermal casino printer in the first nine months of 2018 compared to the first nine months of 2017, driven primarily by increased sales to our OEMs and a large order from a domestic casino operator for replacement printers in the third quarter of 2018. Domestic sales also increased due to a significant sale of our off-premise gaming printers to an OEM based in the U.S. These increases were partially offset by lower domestic sales of EPICENTRAL™ software which decreased 41% as we completed one new installation during the first nine months of 2018 compared to two new installations completed in the first nine months of 2017. Sales of EPICENTRAL™ are project based, and as a result, may fluctuate significantly quarter-to-quarter and year-to-year.</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international sales in the first nine months of 2018 compared to the first nine months of 2017 was due to a 98% increase of thermal casino printer sales and, to a lesser extent, a 9% increase in international sales of off-premise gaming printers. These increases were due to the success of the transition away from using our previous exclusive worldwide distributor and using our new direct sales team to sell to end user casino and gaming customers in Europe and included a large order to an international OEM in the third quarter of 2018.</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lottery printers for the nine months ended September 30, 2018 and 2017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2018</w:t>
            </w: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2017</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97.3%</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6,749</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7"/>
        </w:trPr>
        <w:tc>
          <w:tcPr>
            <w:tcW w:w="20" w:type="dxa"/>
            <w:vAlign w:val="bottom"/>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1,771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7,928</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(77.7%)</w:t>
            </w: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sales to IGT are directly dependent on the timing and number of new and upgraded lottery terminal installations that IGT performs, and as a result, may fluctuate significantly quarter-to-quarter and year-to-year. However, our lottery market sales are not indicative of IGT’s overall business or revenue.</w:t>
      </w:r>
    </w:p>
    <w:p>
      <w:pPr>
        <w:spacing w:after="0" w:line="17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decrease in international lottery sales in the first nine months of 2018 compared to the first nine months of 2017 was primarily due to a sale of lottery printers to IGT for the Canadian lottery in the first nine months of 2017 and no comparable sale occurring in the first nine months of 2018.</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Printrex printers for the nine months ended September 30, 2018 and 2017 is as follows (in thousands, except percentages):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ind w:left="220"/>
              <w:spacing w:after="0"/>
              <w:rPr>
                <w:sz w:val="20"/>
                <w:szCs w:val="20"/>
                <w:color w:val="auto"/>
              </w:rPr>
            </w:pPr>
            <w:r>
              <w:rPr>
                <w:rFonts w:ascii="Arial" w:cs="Arial" w:eastAsia="Arial" w:hAnsi="Arial"/>
                <w:sz w:val="18"/>
                <w:szCs w:val="18"/>
                <w:b w:val="1"/>
                <w:bCs w:val="1"/>
                <w:color w:val="auto"/>
                <w:w w:val="90"/>
              </w:rPr>
              <w:t>Nine months ended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9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2018</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1"/>
              </w:rPr>
              <w:t>September 30, 2017</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Domestic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628</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23"/>
        </w:trPr>
        <w:tc>
          <w:tcPr>
            <w:tcW w:w="20" w:type="dxa"/>
            <w:vAlign w:val="bottom"/>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818</w:t>
            </w:r>
          </w:p>
        </w:tc>
        <w:tc>
          <w:tcPr>
            <w:tcW w:w="7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1"/>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Printrex sales in the first nine months of 2018 compared to the first nine months of 2017 resulted from a 73% increase in domestic and international sales of our oil and gas printers due to a continued recovery in the oil and gas market. This increase was partially offset by 86% lower sales of domestic and international medical and mobile printers in the first nine months of 2018 compared to the first nine months of 2017 as we shift our focus away from the medical and mobile markets to our higher value, technology-enabled restaurant solutions and casino and gaming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in our worldwide TSG market for the nine months ended September 30, 2018 and 2017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20"/>
              <w:spacing w:after="0"/>
              <w:rPr>
                <w:sz w:val="20"/>
                <w:szCs w:val="20"/>
                <w:color w:val="auto"/>
              </w:rPr>
            </w:pPr>
            <w:r>
              <w:rPr>
                <w:rFonts w:ascii="Arial" w:cs="Arial" w:eastAsia="Arial" w:hAnsi="Arial"/>
                <w:sz w:val="18"/>
                <w:szCs w:val="18"/>
                <w:b w:val="1"/>
                <w:bCs w:val="1"/>
                <w:color w:val="auto"/>
                <w:w w:val="89"/>
              </w:rPr>
              <w:t>Nine months ended</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3"/>
          </w:tcPr>
          <w:p>
            <w:pPr>
              <w:ind w:left="220"/>
              <w:spacing w:after="0"/>
              <w:rPr>
                <w:sz w:val="20"/>
                <w:szCs w:val="20"/>
                <w:color w:val="auto"/>
              </w:rPr>
            </w:pPr>
            <w:r>
              <w:rPr>
                <w:rFonts w:ascii="Arial" w:cs="Arial" w:eastAsia="Arial" w:hAnsi="Arial"/>
                <w:sz w:val="18"/>
                <w:szCs w:val="18"/>
                <w:b w:val="1"/>
                <w:bCs w:val="1"/>
                <w:color w:val="auto"/>
                <w:w w:val="90"/>
              </w:rPr>
              <w:t>Nine months ended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0"/>
              </w:rPr>
              <w:t>September 30, 2018</w:t>
            </w:r>
          </w:p>
        </w:tc>
        <w:tc>
          <w:tcPr>
            <w:tcW w:w="6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w w:val="91"/>
              </w:rPr>
              <w:t>September 30, 2017</w:t>
            </w: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Domestic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8,494</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10,105</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w:t>
            </w: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r>
      <w:tr>
        <w:trPr>
          <w:trHeight w:val="27"/>
        </w:trPr>
        <w:tc>
          <w:tcPr>
            <w:tcW w:w="20" w:type="dxa"/>
            <w:vAlign w:val="bottom"/>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9,202</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10,472</w:t>
            </w:r>
          </w:p>
        </w:tc>
        <w:tc>
          <w:tcPr>
            <w:tcW w:w="7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domestic revenue from TSG in the first nine months of 2018 as compared to the first nine months of 2017 was due primarily to lower sales of replacement parts, non-Printrex consumable products and service revenue. Replacement part sales decreased 24% due to lower sales of lottery printer spare parts to IGT. Non-Printrex consumables sales declined 13% due to lower sales of our legacy HP inkjet cartridges used in our banking printers, as we continue to deemphasize our sales of this commoditized consumable product and expect to exit the banking market at the end of 2018. Service revenue declined 10% in the first nine months of 2018 compared to the same period in 2017 due to paper testing sales that occurred in the 2017 period but did not repeat in the 2018 period. These decreases were partially offset by increased AccuDate label sales which more than quadrupled in the first nine months of 2018 compared to the first nine months of 2017.</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Internationally, TSG revenue increased primarily due to a 124% increase in sales of replacement parts and accessories in the first nine months of 2018 compared to the first nine months of 2017, as sales of replacement parts and accessories to international casino and gaming customers have increased upon the transition away from using our previous exclusive worldwide distributor and using our new direct sales team to sell to end user casino and gaming customers.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information for the nine months ended September 30, 2018 and 2017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21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20,042</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increased $815 thousand, or 4%, and gross margin increased 220 basis points due primarily to a more favorable sales mix in the first nine months of 2018 compared to the first nine months of 2017. The increased gross margin reflects a favorable shift in sales mix towards higher-value, technology driven solutions, as well as lower sales volume of lottery and POS printers, which carry lower margins than our other products.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 Engineering, Design and Product Development. </w:t>
      </w:r>
      <w:r>
        <w:rPr>
          <w:rFonts w:ascii="Arial" w:cs="Arial" w:eastAsia="Arial" w:hAnsi="Arial"/>
          <w:sz w:val="18"/>
          <w:szCs w:val="18"/>
          <w:color w:val="auto"/>
        </w:rPr>
        <w:t>Engineering, design and product development expense information for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2018 and 2017 is summarized below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21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Engineering, design and product development expenses increased $350 thousand, or 11%, in the first nine months of 2018 compared to the first nine months of 2017 due primarily to the hiring of additional engineering staff and increased expenses related to product development for the restaurant solutions and casino and gaming markets.</w:t>
      </w:r>
    </w:p>
    <w:p>
      <w:pPr>
        <w:sectPr>
          <w:pgSz w:w="11900" w:h="16838" w:orient="portrait"/>
          <w:cols w:equalWidth="0" w:num="1">
            <w:col w:w="11420"/>
          </w:cols>
          <w:pgMar w:left="240" w:top="125" w:right="239"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Expenses - Selling and Marketing. </w:t>
      </w:r>
      <w:r>
        <w:rPr>
          <w:rFonts w:ascii="Arial" w:cs="Arial" w:eastAsia="Arial" w:hAnsi="Arial"/>
          <w:sz w:val="18"/>
          <w:szCs w:val="18"/>
          <w:color w:val="auto"/>
        </w:rPr>
        <w:t>Selling and marketing expense information for the nine months ended September 30, 2018 and 2017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summarized below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c>
          <w:tcPr>
            <w:tcW w:w="22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34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and marketing expenses decreased $151 thousand, or 3%, in the first nine months of 2018 compared to the first nine months of 2017 primarily due to the retirement of our EVP, Sales and Marketing in December 2017, whose position was replaced by an existing employee of TransAct, as well as the elimination of sales commission expense to our former international casino and gaming distributor, Suzo-Happ. These decreases were partially offset by the hiring of additional sales staff to replace our former distributor with a direct selling team for our casino and gaming sales in Europe.</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Operating Expenses -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expense information for the nine months ended September 30, 2018 and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summarized below (in thousands, except percentages):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21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$243 thousand, or 4%, in the first nine months of 2018 compared to the first nine months of 2017 due primarily to increased legal expenses and increased administrative expenses related to the expansion of our restaurant solutions sales staff and transitioning to a direct selling model for the casino and gaming market in Europe. These increases were partially offset by lower incentive compensation expense in the first nine months of 2018 compared to the first nine months of 2017.</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for the nine months ended September 30, 2018 and 2017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ind w:left="66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c>
          <w:tcPr>
            <w:tcW w:w="200" w:type="dxa"/>
            <w:vAlign w:val="bottom"/>
          </w:tcPr>
          <w:p>
            <w:pPr>
              <w:spacing w:after="0"/>
              <w:rPr>
                <w:sz w:val="20"/>
                <w:szCs w:val="20"/>
                <w:color w:val="auto"/>
              </w:rPr>
            </w:pPr>
          </w:p>
        </w:tc>
        <w:tc>
          <w:tcPr>
            <w:tcW w:w="2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2018</w:t>
            </w:r>
          </w:p>
        </w:tc>
        <w:tc>
          <w:tcPr>
            <w:tcW w:w="6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214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- 2018</w:t>
            </w:r>
          </w:p>
        </w:tc>
        <w:tc>
          <w:tcPr>
            <w:tcW w:w="200" w:type="dxa"/>
            <w:vAlign w:val="bottom"/>
          </w:tcPr>
          <w:p>
            <w:pPr>
              <w:spacing w:after="0"/>
              <w:rPr>
                <w:sz w:val="19"/>
                <w:szCs w:val="19"/>
                <w:color w:val="auto"/>
              </w:rPr>
            </w:pPr>
          </w:p>
        </w:tc>
        <w:tc>
          <w:tcPr>
            <w:tcW w:w="21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Total Sales - 2017</w:t>
            </w: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income increased by $373 thousand, or 7%, during the first nine months of 2018 compared to the first nine months of 2017 primarily due to a 220 basis point increase in gross margin. The increase in operating income from the improved gross margin was partially offset by a 3% increase in operating expense.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We recorded net interest expense of $21 thousand in the first nine months of 2018 compared to $25 thousand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 xml:space="preserve">Other expense, net. </w:t>
      </w:r>
      <w:r>
        <w:rPr>
          <w:rFonts w:ascii="Arial" w:cs="Arial" w:eastAsia="Arial" w:hAnsi="Arial"/>
          <w:sz w:val="17"/>
          <w:szCs w:val="17"/>
          <w:color w:val="auto"/>
        </w:rPr>
        <w:t>We recorded other expense of $137 thousand in the first nine months of 2018 compared to $8 thousand in the first nine months of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due to higher foreign exchange losses recorded by our U.K. entity in the first nine months of 2018 compared to the first nine months of 2017.</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provision for the first nine months of 2018 of $1.1 million at an effective tax rate of 19.2%, compared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 provision during the first nine months of 2017 of $1.7 million at an effective tax rate of 31.4%. The effective tax rate in the nine months ended 2018 was lower than the effective tax rate in the nine months ended 2017 due to the passage of the Tax Reform Act that was signed on December 22, 2017.</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nine months of 2018 of $4.5 million, or $0.57 per diluted share, compared to $3.6 million, or $0.48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nine months of 2017.</w:t>
      </w:r>
    </w:p>
    <w:p>
      <w:pPr>
        <w:spacing w:after="0" w:line="18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i w:val="1"/>
          <w:iCs w:val="1"/>
          <w:color w:val="auto"/>
        </w:rPr>
        <w:t>Impact of Inflation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inflation has not had a material impact on our results of operations for the nine months ended September 30, 2018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However, there can be no assurance that future inflation would not have an adverse impact upon our future operating results and financial condition.</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2018:</w:t>
      </w:r>
    </w:p>
    <w:p>
      <w:pPr>
        <w:spacing w:after="0" w:line="2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$4.5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and amortization of $739 thousand, and share-based compensation expense of $524 thousand.</w:t>
      </w:r>
    </w:p>
    <w:p>
      <w:pPr>
        <w:spacing w:after="0" w:line="9" w:lineRule="exact"/>
        <w:rPr>
          <w:rFonts w:ascii="Arial" w:cs="Arial" w:eastAsia="Arial" w:hAnsi="Arial"/>
          <w:sz w:val="18"/>
          <w:szCs w:val="18"/>
          <w:color w:val="auto"/>
        </w:rPr>
      </w:pPr>
    </w:p>
    <w:p>
      <w:pPr>
        <w:ind w:left="980" w:right="40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increased $782 thousand, or 7%, due to a large volume of sales made late in the third quarter of 2018 that we expect to collect during the fourth quarter of 2018.</w:t>
      </w:r>
    </w:p>
    <w:p>
      <w:pPr>
        <w:ind w:left="980" w:right="10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increased $4.2 million, or 47%, due to the buildup of inventory on hand to support future anticipated sales in the casino and gaming and restaurant solutions markets.</w:t>
      </w: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Prepaid income taxes decreased $467 thousand during the first nine months of 2018.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increased $2.5 million, or 65%, due to increased inventory purchases made during the third quarter of 2018.</w:t>
      </w:r>
    </w:p>
    <w:p>
      <w:pPr>
        <w:spacing w:after="0" w:line="9" w:lineRule="exact"/>
        <w:rPr>
          <w:rFonts w:ascii="Arial" w:cs="Arial" w:eastAsia="Arial" w:hAnsi="Arial"/>
          <w:sz w:val="18"/>
          <w:szCs w:val="18"/>
          <w:color w:val="auto"/>
        </w:rPr>
      </w:pPr>
    </w:p>
    <w:p>
      <w:pPr>
        <w:ind w:left="980" w:right="220" w:hanging="324"/>
        <w:spacing w:after="0" w:line="26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$341 thousand, or 8%, due primarily to the payment of 2017 annual bonuses in March 2018, partially offset by increased deferred revenue.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2017:</w:t>
      </w:r>
    </w:p>
    <w:p>
      <w:pPr>
        <w:spacing w:after="0" w:line="23"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reported net income of $3.6 million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depreciation and amortization of $866 thousand, and share-based compensation expense of $484 thousand.</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increased $740 thousand, or 7%, due largely to a 14% increase in sales in the third quarter of 2017 compared to the fourth quarter of 2016.</w:t>
      </w: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Inventories decreased $1.5 million, or 16%, due to the sell through of inventory on hand to support sales in the third quarter of 2017.</w:t>
      </w:r>
    </w:p>
    <w:p>
      <w:pPr>
        <w:spacing w:after="0" w:line="20" w:lineRule="exact"/>
        <w:rPr>
          <w:rFonts w:ascii="Arial" w:cs="Arial" w:eastAsia="Arial" w:hAnsi="Arial"/>
          <w:sz w:val="17"/>
          <w:szCs w:val="17"/>
          <w:color w:val="auto"/>
        </w:rPr>
      </w:pPr>
    </w:p>
    <w:p>
      <w:pPr>
        <w:jc w:val="both"/>
        <w:ind w:left="980" w:right="760" w:hanging="324"/>
        <w:spacing w:after="0" w:line="300" w:lineRule="auto"/>
        <w:tabs>
          <w:tab w:leader="none" w:pos="9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Other current assets and long-term assets increased $435 thousand or 107%, due largely to prepaid engineering expenses related to the development of our restaurant solutions terminals and prepaid trade show costs for G2E, our largest trade show, held in October 2017.</w:t>
      </w:r>
    </w:p>
    <w:p>
      <w:pPr>
        <w:ind w:left="980" w:right="120" w:hanging="324"/>
        <w:spacing w:after="0" w:line="265"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Accounts payable decreased $1.9 million, or 40%, due primarily to increased inventory purchases towards the end of the fourth quarter of 2016 to support anticipated sales of our restaurant solutions terminals and subsequently paid in the first nine months of 2017.</w:t>
      </w:r>
    </w:p>
    <w:p>
      <w:pPr>
        <w:ind w:left="980" w:right="32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$355 thousand, or 14%, due primarily to an increase in our income tax payable balance and accrued incentive compensation.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including capitalized software costs, were $1.2 million and $590 thousand in the first nine months of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2017, respectively. Expenditures in the 2018 period were primarily for computer and networking equipment and furniture and fixtures purchases related to investments made in our U.K. facility to support the build-out of our internal sales infrastructure to sell directly to slot machine manufacturers and end user casino and gaming customers. To a lesser extent, expenditures in the 2018 period included computer and networking equipment for our U.S. operations and leasehold improvements made at our Las Vegas facility. Expenditures in the first nine months of 2017 were primarily for computer and networking equipment and, to a lesser extent, new product tooling equipment and purchases of furniture and fixtures.</w:t>
      </w:r>
    </w:p>
    <w:p>
      <w:pPr>
        <w:spacing w:after="0" w:line="20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Capital expenditures and capitalized software development costs for the full year 2018 are expected to be approximately $1.5 million primarily for new product tooling and tooling enhancements for our existing products, new computer software and equipment purchases, leasehold improvements at our Las Vegas and UK facilities, as well as capitalized software development costs related to our restaurant solutions products.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We used $4.0 million of cash from financing activities during the first nine months of 2018 to purchase $2.0 million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for treasury, pay dividends of $2.0 million to common shareholders and $265 thousand related to the relinquishment of shares to pay for withholding taxes on stock issued from our stock compensation plan, partially offset by proceeds from stock option exercises of $229 thousand. During the first nine months of 2017, we used $2.0 million of cash from financing activities to pay dividends of $1.9 million to common shareholders, purchase $358 thousand of common stock for treasury and $23 thousand related to the relinquishment of shares to pay for withholding taxes on stock issued from our stock compensation plan, partially offset by proceeds from stock option exercises of $294 thousand.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maintain a credit facility (the "TD Bank Credit Facility") with TD Bank N.A., which provides for a $20 million revolving credit line. On November 21, 2017, we signed an amendment to the TD Bank Credit Facility through November 28, 2022. Borrowings under the revolving credit line bear a floating rate of interest at the prime rate minus one percent and are secured by a lien on all of our assets. We also pay a fee of 0.125% on unused borrowings under the revolving credit line. The amendment increased the amount of revolving credit loans we may use to fund future cash dividend payments or treasury share buybacks to $12.5 million from $10 million.</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September 30, 2018. The following table lists the financial covenants and the performance measurements at September 30,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Pr>
          <w:p>
            <w:pPr>
              <w:jc w:val="center"/>
              <w:ind w:right="190"/>
              <w:spacing w:after="0"/>
              <w:rPr>
                <w:sz w:val="20"/>
                <w:szCs w:val="20"/>
                <w:color w:val="auto"/>
              </w:rPr>
            </w:pPr>
            <w:r>
              <w:rPr>
                <w:rFonts w:ascii="Arial" w:cs="Arial" w:eastAsia="Arial" w:hAnsi="Arial"/>
                <w:sz w:val="18"/>
                <w:szCs w:val="18"/>
                <w:color w:val="auto"/>
                <w:w w:val="90"/>
              </w:rPr>
              <w:t>Financial Covenant</w:t>
            </w:r>
          </w:p>
        </w:tc>
        <w:tc>
          <w:tcPr>
            <w:tcW w:w="3300" w:type="dxa"/>
            <w:vAlign w:val="bottom"/>
          </w:tcPr>
          <w:p>
            <w:pPr>
              <w:jc w:val="center"/>
              <w:ind w:left="150"/>
              <w:spacing w:after="0"/>
              <w:rPr>
                <w:sz w:val="20"/>
                <w:szCs w:val="20"/>
                <w:color w:val="auto"/>
              </w:rPr>
            </w:pPr>
            <w:r>
              <w:rPr>
                <w:rFonts w:ascii="Arial" w:cs="Arial" w:eastAsia="Arial" w:hAnsi="Arial"/>
                <w:sz w:val="18"/>
                <w:szCs w:val="18"/>
                <w:color w:val="auto"/>
                <w:w w:val="92"/>
              </w:rPr>
              <w:t>Requirement/Restriction</w:t>
            </w:r>
          </w:p>
        </w:tc>
        <w:tc>
          <w:tcPr>
            <w:tcW w:w="820" w:type="dxa"/>
            <w:vAlign w:val="bottom"/>
          </w:tcPr>
          <w:p>
            <w:pPr>
              <w:spacing w:after="0"/>
              <w:rPr>
                <w:sz w:val="20"/>
                <w:szCs w:val="20"/>
                <w:color w:val="auto"/>
              </w:rPr>
            </w:pPr>
          </w:p>
        </w:tc>
        <w:tc>
          <w:tcPr>
            <w:tcW w:w="2900" w:type="dxa"/>
            <w:vAlign w:val="bottom"/>
            <w:gridSpan w:val="2"/>
          </w:tcPr>
          <w:p>
            <w:pPr>
              <w:ind w:left="60"/>
              <w:spacing w:after="0"/>
              <w:rPr>
                <w:sz w:val="20"/>
                <w:szCs w:val="20"/>
                <w:color w:val="auto"/>
              </w:rPr>
            </w:pPr>
            <w:r>
              <w:rPr>
                <w:rFonts w:ascii="Arial" w:cs="Arial" w:eastAsia="Arial" w:hAnsi="Arial"/>
                <w:sz w:val="18"/>
                <w:szCs w:val="18"/>
                <w:color w:val="auto"/>
              </w:rPr>
              <w:t>Calculation at September 30, 2018</w:t>
            </w:r>
          </w:p>
        </w:tc>
      </w:tr>
      <w:tr>
        <w:trPr>
          <w:trHeight w:val="216"/>
        </w:trPr>
        <w:tc>
          <w:tcPr>
            <w:tcW w:w="4400" w:type="dxa"/>
            <w:vAlign w:val="bottom"/>
            <w:tcBorders>
              <w:top w:val="single" w:sz="8" w:color="auto"/>
            </w:tcBorders>
            <w:shd w:val="clear" w:color="auto" w:fill="CCEEFF"/>
          </w:tcPr>
          <w:p>
            <w:pPr>
              <w:jc w:val="center"/>
              <w:ind w:right="190"/>
              <w:spacing w:after="0"/>
              <w:rPr>
                <w:sz w:val="20"/>
                <w:szCs w:val="20"/>
                <w:color w:val="auto"/>
              </w:rPr>
            </w:pPr>
            <w:r>
              <w:rPr>
                <w:rFonts w:ascii="Arial" w:cs="Arial" w:eastAsia="Arial" w:hAnsi="Arial"/>
                <w:sz w:val="18"/>
                <w:szCs w:val="18"/>
                <w:color w:val="auto"/>
                <w:w w:val="91"/>
              </w:rPr>
              <w:t>Operating cash flow / Total debt service</w:t>
            </w:r>
          </w:p>
        </w:tc>
        <w:tc>
          <w:tcPr>
            <w:tcW w:w="3300" w:type="dxa"/>
            <w:vAlign w:val="bottom"/>
            <w:tcBorders>
              <w:top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93"/>
              </w:rPr>
              <w:t>Minimum of 1.25 times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r>
      <w:tr>
        <w:trPr>
          <w:trHeight w:val="230"/>
        </w:trPr>
        <w:tc>
          <w:tcPr>
            <w:tcW w:w="4400" w:type="dxa"/>
            <w:vAlign w:val="bottom"/>
          </w:tcPr>
          <w:p>
            <w:pPr>
              <w:jc w:val="center"/>
              <w:ind w:right="190"/>
              <w:spacing w:after="0"/>
              <w:rPr>
                <w:sz w:val="20"/>
                <w:szCs w:val="20"/>
                <w:color w:val="auto"/>
              </w:rPr>
            </w:pPr>
            <w:r>
              <w:rPr>
                <w:rFonts w:ascii="Arial" w:cs="Arial" w:eastAsia="Arial" w:hAnsi="Arial"/>
                <w:sz w:val="18"/>
                <w:szCs w:val="18"/>
                <w:color w:val="auto"/>
                <w:w w:val="93"/>
              </w:rPr>
              <w:t>Funded Debt / EBITDA</w:t>
            </w:r>
          </w:p>
        </w:tc>
        <w:tc>
          <w:tcPr>
            <w:tcW w:w="3300" w:type="dxa"/>
            <w:vAlign w:val="bottom"/>
          </w:tcPr>
          <w:p>
            <w:pPr>
              <w:jc w:val="center"/>
              <w:ind w:left="150"/>
              <w:spacing w:after="0"/>
              <w:rPr>
                <w:sz w:val="20"/>
                <w:szCs w:val="20"/>
                <w:color w:val="auto"/>
              </w:rPr>
            </w:pPr>
            <w:r>
              <w:rPr>
                <w:rFonts w:ascii="Arial" w:cs="Arial" w:eastAsia="Arial" w:hAnsi="Arial"/>
                <w:sz w:val="18"/>
                <w:szCs w:val="18"/>
                <w:color w:val="auto"/>
                <w:w w:val="94"/>
              </w:rPr>
              <w:t>Maximum of 3.0 times</w:t>
            </w:r>
          </w:p>
        </w:tc>
        <w:tc>
          <w:tcPr>
            <w:tcW w:w="820" w:type="dxa"/>
            <w:vAlign w:val="bottom"/>
          </w:tcPr>
          <w:p>
            <w:pPr>
              <w:spacing w:after="0"/>
              <w:rPr>
                <w:sz w:val="20"/>
                <w:szCs w:val="20"/>
                <w:color w:val="auto"/>
              </w:rPr>
            </w:pPr>
          </w:p>
        </w:tc>
        <w:tc>
          <w:tcPr>
            <w:tcW w:w="2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 borrowings available under the TD Bank Credit facility were $20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2012, our Board of Directors initiated a quarterly cash dividend program which is subject to the Board’s approval each quarter. Our Board of Directors declared an increase to the quarterly cash dividend from $0.06 to $0.07 per share in May 2013, from $0.07 to $0.08 per share in May 2014, and from $0.08 to $0.09 per share in May 2017. Dividends declared and paid on our common stock totaled $665 thousand, or $0.09 per share in the third quarter of 2018 and $661 thousand in the third quarter of 2017. We expect to pay approximately $2.7 million in cash dividends to our common shareholders during the full year 2018. For the nine months ended September 30, 2018 and 2017, dividends declared and paid totaled $2.0 million, or $0.27 per share and $1.9 million, or $0.26 per share, respectively.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1, 2018, our Board of Directors approved a new stock repurchase program (the "2018 Stock Repurchase Program"). Under the 2018 Stock Repurchase Program, we are authorized to repurchase up to $5 million of our outstanding shares of common stock from time to time in the open market at prevailing market prices based on market conditions, share price and other factors. The 2018 Stock Repurchase Program expires on December 31, 2019, if we do not discontinue the repurchase program prior to such time. We use the cost method to account for treasury stock purchases, under which the price paid for the stock is charged to the treasury stock account. Repurchases of our common stock are accounted for as of the settlement date. During the nine months ended September 30, 2018, we repurchased 156,410 shares of our common stock for approximately $2.0 million at an average price per share of $12.78. During the nine months ended September 30, 2107, we purchased 36,465 shares of our common stock for $358 thousand at an average price per share of $9.84.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cash and cash equivalents on hand, our expected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2017.</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our contractual obligations outside the ordinary course of business since December 31, 2017. We have no material off-balance sheet arrangements as defined in Item 303(a)(4)(ii) of Regulation S-K.</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2017. There has been no material change in our exposure to market risk during the nine months ended September 30, 2018.</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tabs>
          <w:tab w:leader="none" w:pos="8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2018.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recognized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2018, our Chief Executive Officer and Chief Financial Officer concluded that, as of such date, our disclosure controls and procedures were effective at the reasonable assurance level.</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as described below, there has been no change in our internal control over financial reporting (as defined in Rules 13a-15(f) and 15d-15(f) under the Exchange Act) occurred during the fiscal quarter ended September 30, 2018 that has materially affected, or is reasonably likely to materially affect, our internal control over financial reporting.</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third quarter of 2018, the Company’s U.K. operation transitioned from a legacy operating and financial reporting system to the Enterprise Resource Planning (ERP) system used by our U.S. operations, which resulted in the modification of certain procedures and processes. The system change was undertaken to increase efficiencies as our U.K. operation has grown upon the transition away from using a worldwide distributor for our casino and gaming business to selling directly to end users casino and gaming customers through our U.K. operation.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may, in the ordinary course of business, become a party to litigation involving collection matters, contract claims and other legal proceedings relating to the conduct of its business. Management believes that the final outcome of such matters, if determined adversely, will not have a material adverse effect on our business, financial condition or results of operations.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2017.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tabs>
          <w:tab w:leader="none" w:pos="1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1, 2018, our Board of Directors approved the 2018 Stock Repurchase Program. Under the 2018 Stock Repurchase Program, we are authorized to repurchase up to $5 million of our outstanding shares of common stock from time to time in the open market through December 31, 2019 at prevailing market prices based on market conditions, share price and other factors. During the nine months ended September 30, 2018, we purchased 156,410 shares of our common stock for $2.0 million at an average price per share of $12.78. As of September 30, 2018, $3.0 million remains authorized for future repurchase under the Stock Repurchase Program. The following table summarizes the repurchase of our common stock in the three months ended September 30,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Total Number of Shares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Approximate 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6"/>
              </w:rPr>
              <w:t>Purchased as Part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of Shares that 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Total 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w w:val="92"/>
              </w:rPr>
              <w:t>Average Price Paid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Publicly Announced Plans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Purchased under the Stock</w:t>
            </w:r>
          </w:p>
        </w:tc>
        <w:tc>
          <w:tcPr>
            <w:tcW w:w="0" w:type="dxa"/>
            <w:vAlign w:val="bottom"/>
          </w:tcPr>
          <w:p>
            <w:pPr>
              <w:spacing w:after="0"/>
              <w:rPr>
                <w:sz w:val="1"/>
                <w:szCs w:val="1"/>
                <w:color w:val="auto"/>
              </w:rPr>
            </w:pPr>
          </w:p>
        </w:tc>
      </w:tr>
      <w:tr>
        <w:trPr>
          <w:trHeight w:val="237"/>
        </w:trPr>
        <w:tc>
          <w:tcPr>
            <w:tcW w:w="760" w:type="dxa"/>
            <w:vAlign w:val="bottom"/>
            <w:gridSpan w:val="3"/>
          </w:tcPr>
          <w:p>
            <w:pPr>
              <w:spacing w:after="0"/>
              <w:rPr>
                <w:sz w:val="20"/>
                <w:szCs w:val="20"/>
                <w:color w:val="auto"/>
              </w:rPr>
            </w:pPr>
            <w:r>
              <w:rPr>
                <w:rFonts w:ascii="Arial" w:cs="Arial" w:eastAsia="Arial" w:hAnsi="Arial"/>
                <w:sz w:val="18"/>
                <w:szCs w:val="18"/>
                <w:color w:val="auto"/>
              </w:rPr>
              <w:t>Period</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5"/>
              </w:rPr>
              <w:t>Shares Purchased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per Share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or Programs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Repurchase Program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July 1, 2018 - July 31, 2018</w:t>
            </w: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5"/>
                <w:szCs w:val="15"/>
                <w:color w:val="auto"/>
                <w:w w:val="71"/>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6"/>
          </w:tcPr>
          <w:p>
            <w:pPr>
              <w:spacing w:after="0"/>
              <w:rPr>
                <w:sz w:val="20"/>
                <w:szCs w:val="20"/>
                <w:color w:val="auto"/>
              </w:rPr>
            </w:pPr>
            <w:r>
              <w:rPr>
                <w:rFonts w:ascii="Arial" w:cs="Arial" w:eastAsia="Arial" w:hAnsi="Arial"/>
                <w:sz w:val="18"/>
                <w:szCs w:val="18"/>
                <w:color w:val="auto"/>
              </w:rPr>
              <w:t>August 1, 2018 - August 31, 2018</w:t>
            </w:r>
          </w:p>
        </w:tc>
        <w:tc>
          <w:tcPr>
            <w:tcW w:w="20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980" w:type="dxa"/>
            <w:vAlign w:val="bottom"/>
          </w:tcPr>
          <w:p>
            <w:pPr>
              <w:spacing w:after="0"/>
              <w:rPr>
                <w:sz w:val="18"/>
                <w:szCs w:val="18"/>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300" w:type="dxa"/>
            <w:vAlign w:val="bottom"/>
            <w:gridSpan w:val="2"/>
          </w:tcPr>
          <w:p>
            <w:pPr>
              <w:jc w:val="right"/>
              <w:ind w:right="14"/>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September 1, 2018 - September 30, 2018</w:t>
            </w:r>
          </w:p>
        </w:tc>
        <w:tc>
          <w:tcPr>
            <w:tcW w:w="14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98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560" w:type="dxa"/>
            <w:vAlign w:val="bottom"/>
            <w:gridSpan w:val="2"/>
          </w:tcPr>
          <w:p>
            <w:pPr>
              <w:jc w:val="right"/>
              <w:ind w:right="12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9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3.</w:t>
            </w:r>
          </w:p>
        </w:tc>
        <w:tc>
          <w:tcPr>
            <w:tcW w:w="4220" w:type="dxa"/>
            <w:vAlign w:val="bottom"/>
            <w:gridSpan w:val="4"/>
          </w:tcPr>
          <w:p>
            <w:pPr>
              <w:ind w:left="60"/>
              <w:spacing w:after="0"/>
              <w:rPr>
                <w:sz w:val="20"/>
                <w:szCs w:val="20"/>
                <w:color w:val="auto"/>
              </w:rPr>
            </w:pPr>
            <w:r>
              <w:rPr>
                <w:rFonts w:ascii="Arial" w:cs="Arial" w:eastAsia="Arial" w:hAnsi="Arial"/>
                <w:sz w:val="18"/>
                <w:szCs w:val="18"/>
                <w:b w:val="1"/>
                <w:bCs w:val="1"/>
                <w:color w:val="auto"/>
              </w:rPr>
              <w:t>DEFAULTS UPON SENIOR SECURITIES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gridSpan w:val="3"/>
          </w:tcPr>
          <w:p>
            <w:pPr>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4.</w:t>
            </w:r>
          </w:p>
        </w:tc>
        <w:tc>
          <w:tcPr>
            <w:tcW w:w="4220" w:type="dxa"/>
            <w:vAlign w:val="bottom"/>
            <w:gridSpan w:val="4"/>
          </w:tcPr>
          <w:p>
            <w:pPr>
              <w:ind w:left="60"/>
              <w:spacing w:after="0"/>
              <w:rPr>
                <w:sz w:val="20"/>
                <w:szCs w:val="20"/>
                <w:color w:val="auto"/>
              </w:rPr>
            </w:pPr>
            <w:r>
              <w:rPr>
                <w:rFonts w:ascii="Arial" w:cs="Arial" w:eastAsia="Arial" w:hAnsi="Arial"/>
                <w:sz w:val="18"/>
                <w:szCs w:val="18"/>
                <w:b w:val="1"/>
                <w:bCs w:val="1"/>
                <w:color w:val="auto"/>
              </w:rPr>
              <w:t>MINE SAFETY DISCLOSURES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0" w:type="dxa"/>
            <w:vAlign w:val="bottom"/>
            <w:gridSpan w:val="5"/>
          </w:tcPr>
          <w:p>
            <w:pPr>
              <w:spacing w:after="0"/>
              <w:rPr>
                <w:sz w:val="20"/>
                <w:szCs w:val="20"/>
                <w:color w:val="auto"/>
              </w:rPr>
            </w:pPr>
            <w:r>
              <w:rPr>
                <w:rFonts w:ascii="Arial" w:cs="Arial" w:eastAsia="Arial" w:hAnsi="Arial"/>
                <w:sz w:val="18"/>
                <w:szCs w:val="18"/>
                <w:color w:val="auto"/>
                <w:w w:val="99"/>
              </w:rPr>
              <w:t>Not applicable.</w:t>
            </w:r>
          </w:p>
        </w:tc>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5.</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 w:type="dxa"/>
            <w:vAlign w:val="bottom"/>
            <w:gridSpan w:val="3"/>
          </w:tcPr>
          <w:p>
            <w:pPr>
              <w:spacing w:after="0"/>
              <w:rPr>
                <w:sz w:val="20"/>
                <w:szCs w:val="20"/>
                <w:color w:val="auto"/>
              </w:rPr>
            </w:pPr>
            <w:r>
              <w:rPr>
                <w:rFonts w:ascii="Arial" w:cs="Arial" w:eastAsia="Arial" w:hAnsi="Arial"/>
                <w:sz w:val="18"/>
                <w:szCs w:val="18"/>
                <w:color w:val="auto"/>
              </w:rPr>
              <w:t>None.</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80" w:type="dxa"/>
            <w:vAlign w:val="bottom"/>
            <w:gridSpan w:val="2"/>
          </w:tcPr>
          <w:p>
            <w:pPr>
              <w:ind w:left="680"/>
              <w:spacing w:after="0"/>
              <w:rPr>
                <w:sz w:val="20"/>
                <w:szCs w:val="20"/>
                <w:color w:val="auto"/>
              </w:rPr>
            </w:pPr>
            <w:r>
              <w:rPr>
                <w:rFonts w:ascii="Arial" w:cs="Arial" w:eastAsia="Arial" w:hAnsi="Arial"/>
                <w:sz w:val="18"/>
                <w:szCs w:val="18"/>
                <w:b w:val="1"/>
                <w:bCs w:val="1"/>
                <w:color w:val="auto"/>
              </w:rPr>
              <w:t>EXHIBITS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7800" w:type="dxa"/>
            <w:vAlign w:val="bottom"/>
            <w:gridSpan w:val="9"/>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4"/>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Exhibit </w:t>
            </w:r>
            <w:hyperlink w:anchor="page28">
              <w:r>
                <w:rPr>
                  <w:rFonts w:ascii="Arial" w:cs="Arial" w:eastAsia="Arial" w:hAnsi="Arial"/>
                  <w:sz w:val="18"/>
                  <w:szCs w:val="18"/>
                  <w:color w:val="0000EE"/>
                </w:rPr>
                <w:t>31.1</w:t>
              </w:r>
            </w:hyperlink>
          </w:p>
        </w:tc>
        <w:tc>
          <w:tcPr>
            <w:tcW w:w="7800" w:type="dxa"/>
            <w:vAlign w:val="bottom"/>
            <w:gridSpan w:val="9"/>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Certification of Chief Executive Officer pursuant to Section 302 of the Sarbanes-Oxley Act of 2002.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4"/>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Exhibit </w:t>
            </w:r>
            <w:hyperlink w:anchor="page29">
              <w:r>
                <w:rPr>
                  <w:rFonts w:ascii="Arial" w:cs="Arial" w:eastAsia="Arial" w:hAnsi="Arial"/>
                  <w:sz w:val="18"/>
                  <w:szCs w:val="18"/>
                  <w:color w:val="0000EE"/>
                </w:rPr>
                <w:t>31.2</w:t>
              </w:r>
            </w:hyperlink>
          </w:p>
        </w:tc>
        <w:tc>
          <w:tcPr>
            <w:tcW w:w="7800" w:type="dxa"/>
            <w:vAlign w:val="bottom"/>
            <w:gridSpan w:val="9"/>
          </w:tcPr>
          <w:p>
            <w:pPr>
              <w:ind w:left="180"/>
              <w:spacing w:after="0" w:line="176" w:lineRule="exact"/>
              <w:rPr>
                <w:sz w:val="20"/>
                <w:szCs w:val="20"/>
                <w:color w:val="auto"/>
              </w:rPr>
            </w:pPr>
            <w:r>
              <w:rPr>
                <w:rFonts w:ascii="Arial" w:cs="Arial" w:eastAsia="Arial" w:hAnsi="Arial"/>
                <w:sz w:val="18"/>
                <w:szCs w:val="18"/>
                <w:color w:val="auto"/>
                <w:w w:val="97"/>
              </w:rPr>
              <w:t>Certification of Chief Financial Officer pursuant to Section 302 of the Sarbanes-Oxley Act of 2002.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gridSpan w:val="4"/>
            <w:shd w:val="clear" w:color="auto" w:fill="CCEEFF"/>
          </w:tcPr>
          <w:p>
            <w:pPr>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Exhibit </w:t>
            </w:r>
            <w:hyperlink w:anchor="page30">
              <w:r>
                <w:rPr>
                  <w:rFonts w:ascii="Arial" w:cs="Arial" w:eastAsia="Arial" w:hAnsi="Arial"/>
                  <w:sz w:val="18"/>
                  <w:szCs w:val="18"/>
                  <w:color w:val="0000EE"/>
                </w:rPr>
                <w:t>32.1</w:t>
              </w:r>
            </w:hyperlink>
          </w:p>
        </w:tc>
        <w:tc>
          <w:tcPr>
            <w:tcW w:w="10220" w:type="dxa"/>
            <w:vAlign w:val="bottom"/>
            <w:gridSpan w:val="15"/>
            <w:shd w:val="clear" w:color="auto" w:fill="CCEEFF"/>
          </w:tcPr>
          <w:p>
            <w:pPr>
              <w:ind w:left="180"/>
              <w:spacing w:after="0" w:line="176" w:lineRule="exact"/>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78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101.SCH</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XBRL Taxonomy Extension Schema Document.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gridSpan w:val="6"/>
          </w:tcPr>
          <w:p>
            <w:pPr>
              <w:ind w:left="180"/>
              <w:spacing w:after="0"/>
              <w:rPr>
                <w:sz w:val="20"/>
                <w:szCs w:val="20"/>
                <w:color w:val="auto"/>
              </w:rPr>
            </w:pPr>
            <w:r>
              <w:rPr>
                <w:rFonts w:ascii="Arial" w:cs="Arial" w:eastAsia="Arial" w:hAnsi="Arial"/>
                <w:sz w:val="18"/>
                <w:szCs w:val="18"/>
                <w:color w:val="auto"/>
              </w:rPr>
              <w:t>XBRL Taxonomy Extension Calculation Linkbase Document.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 Document.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gridSpan w:val="6"/>
          </w:tcPr>
          <w:p>
            <w:pPr>
              <w:ind w:left="180"/>
              <w:spacing w:after="0"/>
              <w:rPr>
                <w:sz w:val="20"/>
                <w:szCs w:val="20"/>
                <w:color w:val="auto"/>
              </w:rPr>
            </w:pPr>
            <w:r>
              <w:rPr>
                <w:rFonts w:ascii="Arial" w:cs="Arial" w:eastAsia="Arial" w:hAnsi="Arial"/>
                <w:sz w:val="18"/>
                <w:szCs w:val="18"/>
                <w:color w:val="auto"/>
              </w:rPr>
              <w:t>XBRL Taxonomy Extension Label Linkbase Document.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101.PRE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XBRL Taxonomy Extension Presentation Linkbase Document.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right"/>
              <w:ind w:right="870"/>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3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25"/>
        </w:trPr>
        <w:tc>
          <w:tcPr>
            <w:tcW w:w="3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Steven A. DeMartino</w:t>
            </w: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Dated: November 9, 2018</w:t>
            </w:r>
          </w:p>
        </w:tc>
        <w:tc>
          <w:tcPr>
            <w:tcW w:w="1960" w:type="dxa"/>
            <w:vAlign w:val="bottom"/>
          </w:tcPr>
          <w:p>
            <w:pPr>
              <w:spacing w:after="0"/>
              <w:rPr>
                <w:sz w:val="17"/>
                <w:szCs w:val="17"/>
                <w:color w:val="auto"/>
              </w:rPr>
            </w:pPr>
          </w:p>
        </w:tc>
        <w:tc>
          <w:tcPr>
            <w:tcW w:w="5700" w:type="dxa"/>
            <w:vAlign w:val="bottom"/>
          </w:tcPr>
          <w:p>
            <w:pPr>
              <w:ind w:left="220"/>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President, Chief Financial Officer, Treasurer and Secretary</w:t>
            </w:r>
          </w:p>
        </w:tc>
      </w:tr>
      <w:tr>
        <w:trPr>
          <w:trHeight w:val="230"/>
        </w:trPr>
        <w:tc>
          <w:tcPr>
            <w:tcW w:w="3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655"/>
        </w:trPr>
        <w:tc>
          <w:tcPr>
            <w:tcW w:w="3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 /s/ David B. Peters</w:t>
            </w:r>
          </w:p>
        </w:tc>
      </w:tr>
      <w:tr>
        <w:trPr>
          <w:trHeight w:val="202"/>
        </w:trPr>
        <w:tc>
          <w:tcPr>
            <w:tcW w:w="3760" w:type="dxa"/>
            <w:vAlign w:val="bottom"/>
          </w:tcPr>
          <w:p>
            <w:pPr>
              <w:spacing w:after="0" w:line="201" w:lineRule="exact"/>
              <w:rPr>
                <w:sz w:val="20"/>
                <w:szCs w:val="20"/>
                <w:color w:val="auto"/>
              </w:rPr>
            </w:pPr>
            <w:r>
              <w:rPr>
                <w:rFonts w:ascii="Arial" w:cs="Arial" w:eastAsia="Arial" w:hAnsi="Arial"/>
                <w:sz w:val="18"/>
                <w:szCs w:val="18"/>
                <w:color w:val="auto"/>
              </w:rPr>
              <w:t>Dated: November 9, 2018</w:t>
            </w:r>
          </w:p>
        </w:tc>
        <w:tc>
          <w:tcPr>
            <w:tcW w:w="1960" w:type="dxa"/>
            <w:vAlign w:val="bottom"/>
          </w:tcPr>
          <w:p>
            <w:pPr>
              <w:spacing w:after="0"/>
              <w:rPr>
                <w:sz w:val="17"/>
                <w:szCs w:val="17"/>
                <w:color w:val="auto"/>
              </w:rPr>
            </w:pPr>
          </w:p>
        </w:tc>
        <w:tc>
          <w:tcPr>
            <w:tcW w:w="5700" w:type="dxa"/>
            <w:vAlign w:val="bottom"/>
          </w:tcPr>
          <w:p>
            <w:pPr>
              <w:ind w:left="220"/>
              <w:spacing w:after="0" w:line="201" w:lineRule="exact"/>
              <w:rPr>
                <w:sz w:val="20"/>
                <w:szCs w:val="20"/>
                <w:color w:val="auto"/>
              </w:rPr>
            </w:pPr>
            <w:r>
              <w:rPr>
                <w:rFonts w:ascii="Arial" w:cs="Arial" w:eastAsia="Arial" w:hAnsi="Arial"/>
                <w:sz w:val="18"/>
                <w:szCs w:val="18"/>
                <w:color w:val="auto"/>
              </w:rPr>
              <w:t>David B. Peters</w:t>
            </w:r>
          </w:p>
        </w:tc>
      </w:tr>
      <w:tr>
        <w:trPr>
          <w:trHeight w:val="216"/>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700" w:type="dxa"/>
            <w:vAlign w:val="bottom"/>
          </w:tcPr>
          <w:p>
            <w:pPr>
              <w:ind w:left="220"/>
              <w:spacing w:after="0"/>
              <w:rPr>
                <w:sz w:val="20"/>
                <w:szCs w:val="20"/>
                <w:color w:val="auto"/>
              </w:rPr>
            </w:pPr>
            <w:r>
              <w:rPr>
                <w:rFonts w:ascii="Arial" w:cs="Arial" w:eastAsia="Arial" w:hAnsi="Arial"/>
                <w:sz w:val="18"/>
                <w:szCs w:val="18"/>
                <w:color w:val="auto"/>
              </w:rPr>
              <w:t>(Principal Accounting Officer)</w:t>
            </w:r>
          </w:p>
        </w:tc>
      </w:tr>
      <w:tr>
        <w:trPr>
          <w:trHeight w:val="380"/>
        </w:trPr>
        <w:tc>
          <w:tcPr>
            <w:tcW w:w="3760" w:type="dxa"/>
            <w:vAlign w:val="bottom"/>
          </w:tcPr>
          <w:p>
            <w:pPr>
              <w:spacing w:after="0"/>
              <w:rPr>
                <w:sz w:val="24"/>
                <w:szCs w:val="24"/>
                <w:color w:val="auto"/>
              </w:rPr>
            </w:pPr>
          </w:p>
        </w:tc>
        <w:tc>
          <w:tcPr>
            <w:tcW w:w="7660" w:type="dxa"/>
            <w:vAlign w:val="bottom"/>
            <w:gridSpan w:val="2"/>
          </w:tcPr>
          <w:p>
            <w:pPr>
              <w:jc w:val="right"/>
              <w:ind w:right="5550"/>
              <w:spacing w:after="0"/>
              <w:rPr>
                <w:sz w:val="20"/>
                <w:szCs w:val="20"/>
                <w:color w:val="auto"/>
              </w:rPr>
            </w:pPr>
            <w:r>
              <w:rPr>
                <w:rFonts w:ascii="Arial" w:cs="Arial" w:eastAsia="Arial" w:hAnsi="Arial"/>
                <w:sz w:val="14"/>
                <w:szCs w:val="14"/>
                <w:color w:val="auto"/>
              </w:rPr>
              <w:t>27</w:t>
            </w:r>
          </w:p>
        </w:tc>
      </w:tr>
    </w:tbl>
    <w:p>
      <w:pPr>
        <w:sectPr>
          <w:pgSz w:w="11900" w:h="16838" w:orient="portrait"/>
          <w:cols w:equalWidth="0" w:num="1">
            <w:col w:w="11420"/>
          </w:cols>
          <w:pgMar w:left="240" w:top="121" w:right="239" w:bottom="1440" w:gutter="0" w:footer="0" w:header="0"/>
        </w:sectPr>
      </w:pPr>
    </w:p>
    <w:bookmarkStart w:id="27" w:name="page28"/>
    <w:bookmarkEnd w:id="27"/>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November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188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340"/>
          </w:cols>
          <w:pgMar w:left="240" w:top="121" w:right="31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right="22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periodic report is being prepared;</w:t>
      </w:r>
    </w:p>
    <w:p>
      <w:pPr>
        <w:spacing w:after="0" w:line="208" w:lineRule="exact"/>
        <w:rPr>
          <w:rFonts w:ascii="Arial" w:cs="Arial" w:eastAsia="Arial" w:hAnsi="Arial"/>
          <w:sz w:val="18"/>
          <w:szCs w:val="18"/>
          <w:color w:val="auto"/>
        </w:rPr>
      </w:pPr>
    </w:p>
    <w:p>
      <w:pPr>
        <w:ind w:left="1300" w:right="14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300" w:right="30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right="18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4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6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531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Steven A. DeMartino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Chief Financial Officer, Treasurer and Secretary</w:t>
      </w:r>
    </w:p>
    <w:p>
      <w:pPr>
        <w:sectPr>
          <w:pgSz w:w="11900" w:h="16838" w:orient="portrait"/>
          <w:cols w:equalWidth="0" w:num="1">
            <w:col w:w="11340"/>
          </w:cols>
          <w:pgMar w:left="240" w:top="121" w:right="31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September 30, 2018,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93"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36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360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360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2019-12-28T17:50:28Z</dcterms:created>
  <dcterms:modified xsi:type="dcterms:W3CDTF">2019-12-28T17:50:28Z</dcterms:modified>
</cp:coreProperties>
</file>