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10-K/A</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(AMENDMENT NO. 1)</w:t>
      </w:r>
    </w:p>
    <w:p>
      <w:pPr>
        <w:spacing w:after="0" w:line="8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ind w:left="340" w:hanging="332"/>
        <w:spacing w:after="0" w:line="22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2019</w:t>
      </w:r>
    </w:p>
    <w:p>
      <w:pPr>
        <w:jc w:val="center"/>
        <w:spacing w:after="0"/>
        <w:rPr>
          <w:sz w:val="20"/>
          <w:szCs w:val="20"/>
          <w:color w:val="auto"/>
        </w:rPr>
      </w:pPr>
      <w:r>
        <w:rPr>
          <w:rFonts w:ascii="Arial" w:cs="Arial" w:eastAsia="Arial" w:hAnsi="Arial"/>
          <w:sz w:val="18"/>
          <w:szCs w:val="18"/>
          <w:b w:val="1"/>
          <w:bCs w:val="1"/>
          <w:color w:val="auto"/>
        </w:rPr>
        <w:t>or</w:t>
      </w:r>
    </w:p>
    <w:p>
      <w:pPr>
        <w:spacing w:after="0" w:line="84"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 (d) OF THE SECURITIES EXCHANGE ACT OF 1934</w:t>
      </w:r>
    </w:p>
    <w:p>
      <w:pPr>
        <w:spacing w:after="0" w:line="117" w:lineRule="exact"/>
        <w:rPr>
          <w:sz w:val="24"/>
          <w:szCs w:val="24"/>
          <w:color w:val="auto"/>
        </w:rPr>
      </w:pPr>
    </w:p>
    <w:p>
      <w:pPr>
        <w:ind w:left="340"/>
        <w:spacing w:after="0"/>
        <w:tabs>
          <w:tab w:leader="none" w:pos="3580" w:val="left"/>
          <w:tab w:leader="none" w:pos="46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Commission file number: 0-21121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77470</wp:posOffset>
            </wp:positionV>
            <wp:extent cx="2511425" cy="582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1142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0" w:type="dxa"/>
        <w:tblCellMar>
          <w:top w:w="0" w:type="dxa"/>
          <w:left w:w="0" w:type="dxa"/>
          <w:bottom w:w="0" w:type="dxa"/>
          <w:right w:w="0" w:type="dxa"/>
        </w:tblCellMar>
      </w:tblPr>
      <w:tr>
        <w:trPr>
          <w:trHeight w:val="182"/>
        </w:trPr>
        <w:tc>
          <w:tcPr>
            <w:tcW w:w="3320" w:type="dxa"/>
            <w:vAlign w:val="bottom"/>
            <w:vMerge w:val="restart"/>
          </w:tcPr>
          <w:p>
            <w:pPr>
              <w:jc w:val="center"/>
              <w:ind w:left="1864"/>
              <w:spacing w:after="0"/>
              <w:rPr>
                <w:sz w:val="20"/>
                <w:szCs w:val="20"/>
                <w:color w:val="auto"/>
              </w:rPr>
            </w:pPr>
            <w:r>
              <w:rPr>
                <w:rFonts w:ascii="Arial" w:cs="Arial" w:eastAsia="Arial" w:hAnsi="Arial"/>
                <w:sz w:val="14"/>
                <w:szCs w:val="14"/>
                <w:b w:val="1"/>
                <w:bCs w:val="1"/>
                <w:color w:val="auto"/>
                <w:w w:val="94"/>
              </w:rPr>
              <w:t>Delaware</w:t>
            </w:r>
          </w:p>
        </w:tc>
        <w:tc>
          <w:tcPr>
            <w:tcW w:w="280" w:type="dxa"/>
            <w:vAlign w:val="bottom"/>
          </w:tcPr>
          <w:p>
            <w:pPr>
              <w:spacing w:after="0"/>
              <w:rPr>
                <w:sz w:val="15"/>
                <w:szCs w:val="15"/>
                <w:color w:val="auto"/>
              </w:rPr>
            </w:pPr>
          </w:p>
        </w:tc>
        <w:tc>
          <w:tcPr>
            <w:tcW w:w="3660" w:type="dxa"/>
            <w:vAlign w:val="bottom"/>
            <w:gridSpan w:val="4"/>
          </w:tcPr>
          <w:p>
            <w:pPr>
              <w:jc w:val="center"/>
              <w:ind w:left="315"/>
              <w:spacing w:after="0"/>
              <w:rPr>
                <w:sz w:val="20"/>
                <w:szCs w:val="20"/>
                <w:color w:val="auto"/>
              </w:rPr>
            </w:pPr>
            <w:r>
              <w:rPr>
                <w:rFonts w:ascii="Arial" w:cs="Arial" w:eastAsia="Arial" w:hAnsi="Arial"/>
                <w:sz w:val="14"/>
                <w:szCs w:val="14"/>
                <w:color w:val="auto"/>
                <w:w w:val="93"/>
              </w:rPr>
              <w:t>(Exact name of registrant as specified in its charter)</w:t>
            </w:r>
          </w:p>
        </w:tc>
        <w:tc>
          <w:tcPr>
            <w:tcW w:w="3980" w:type="dxa"/>
            <w:vAlign w:val="bottom"/>
            <w:vMerge w:val="restart"/>
          </w:tcPr>
          <w:p>
            <w:pPr>
              <w:jc w:val="right"/>
              <w:ind w:right="2044"/>
              <w:spacing w:after="0"/>
              <w:rPr>
                <w:sz w:val="20"/>
                <w:szCs w:val="20"/>
                <w:color w:val="auto"/>
              </w:rPr>
            </w:pPr>
            <w:r>
              <w:rPr>
                <w:rFonts w:ascii="Arial" w:cs="Arial" w:eastAsia="Arial" w:hAnsi="Arial"/>
                <w:sz w:val="14"/>
                <w:szCs w:val="14"/>
                <w:b w:val="1"/>
                <w:bCs w:val="1"/>
                <w:color w:val="auto"/>
              </w:rPr>
              <w:t>06-1456680</w:t>
            </w:r>
          </w:p>
        </w:tc>
        <w:tc>
          <w:tcPr>
            <w:tcW w:w="0" w:type="dxa"/>
            <w:vAlign w:val="bottom"/>
          </w:tcPr>
          <w:p>
            <w:pPr>
              <w:spacing w:after="0"/>
              <w:rPr>
                <w:sz w:val="1"/>
                <w:szCs w:val="1"/>
                <w:color w:val="auto"/>
              </w:rPr>
            </w:pPr>
          </w:p>
        </w:tc>
      </w:tr>
      <w:tr>
        <w:trPr>
          <w:trHeight w:val="168"/>
        </w:trPr>
        <w:tc>
          <w:tcPr>
            <w:tcW w:w="33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240" w:type="dxa"/>
            <w:vAlign w:val="bottom"/>
            <w:gridSpan w:val="3"/>
          </w:tcPr>
          <w:p>
            <w:pPr>
              <w:jc w:val="center"/>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80" w:type="dxa"/>
            <w:vAlign w:val="bottom"/>
          </w:tcPr>
          <w:p>
            <w:pPr>
              <w:jc w:val="center"/>
              <w:ind w:right="884"/>
              <w:spacing w:after="0"/>
              <w:rPr>
                <w:sz w:val="20"/>
                <w:szCs w:val="20"/>
                <w:color w:val="auto"/>
              </w:rPr>
            </w:pPr>
            <w:r>
              <w:rPr>
                <w:rFonts w:ascii="Arial" w:cs="Arial" w:eastAsia="Arial" w:hAnsi="Arial"/>
                <w:sz w:val="14"/>
                <w:szCs w:val="14"/>
                <w:color w:val="auto"/>
                <w:w w:val="97"/>
              </w:rPr>
              <w:t>(I.R.S. Employer Identification No.)</w:t>
            </w:r>
          </w:p>
        </w:tc>
        <w:tc>
          <w:tcPr>
            <w:tcW w:w="0" w:type="dxa"/>
            <w:vAlign w:val="bottom"/>
          </w:tcPr>
          <w:p>
            <w:pPr>
              <w:spacing w:after="0"/>
              <w:rPr>
                <w:sz w:val="1"/>
                <w:szCs w:val="1"/>
                <w:color w:val="auto"/>
              </w:rPr>
            </w:pPr>
          </w:p>
        </w:tc>
      </w:tr>
      <w:tr>
        <w:trPr>
          <w:trHeight w:val="351"/>
        </w:trPr>
        <w:tc>
          <w:tcPr>
            <w:tcW w:w="7260" w:type="dxa"/>
            <w:vAlign w:val="bottom"/>
            <w:gridSpan w:val="6"/>
          </w:tcPr>
          <w:p>
            <w:pPr>
              <w:jc w:val="center"/>
              <w:ind w:right="2020"/>
              <w:spacing w:after="0"/>
              <w:rPr>
                <w:sz w:val="20"/>
                <w:szCs w:val="20"/>
                <w:color w:val="auto"/>
              </w:rPr>
            </w:pPr>
            <w:r>
              <w:rPr>
                <w:rFonts w:ascii="Arial" w:cs="Arial" w:eastAsia="Arial" w:hAnsi="Arial"/>
                <w:sz w:val="14"/>
                <w:szCs w:val="14"/>
                <w:b w:val="1"/>
                <w:bCs w:val="1"/>
                <w:color w:val="auto"/>
                <w:w w:val="93"/>
              </w:rPr>
              <w:t>One Hamden Center, 2319 Whitney Avenue, Suite 3B, Hamden, CT</w:t>
            </w:r>
          </w:p>
        </w:tc>
        <w:tc>
          <w:tcPr>
            <w:tcW w:w="3980" w:type="dxa"/>
            <w:vAlign w:val="bottom"/>
          </w:tcPr>
          <w:p>
            <w:pPr>
              <w:jc w:val="right"/>
              <w:ind w:right="2224"/>
              <w:spacing w:after="0"/>
              <w:rPr>
                <w:sz w:val="20"/>
                <w:szCs w:val="20"/>
                <w:color w:val="auto"/>
              </w:rPr>
            </w:pPr>
            <w:r>
              <w:rPr>
                <w:rFonts w:ascii="Arial" w:cs="Arial" w:eastAsia="Arial" w:hAnsi="Arial"/>
                <w:sz w:val="14"/>
                <w:szCs w:val="14"/>
                <w:b w:val="1"/>
                <w:bCs w:val="1"/>
                <w:color w:val="auto"/>
              </w:rPr>
              <w:t>06518</w:t>
            </w:r>
          </w:p>
        </w:tc>
        <w:tc>
          <w:tcPr>
            <w:tcW w:w="0" w:type="dxa"/>
            <w:vAlign w:val="bottom"/>
          </w:tcPr>
          <w:p>
            <w:pPr>
              <w:spacing w:after="0"/>
              <w:rPr>
                <w:sz w:val="1"/>
                <w:szCs w:val="1"/>
                <w:color w:val="auto"/>
              </w:rPr>
            </w:pPr>
          </w:p>
        </w:tc>
      </w:tr>
      <w:tr>
        <w:trPr>
          <w:trHeight w:val="182"/>
        </w:trPr>
        <w:tc>
          <w:tcPr>
            <w:tcW w:w="524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106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980" w:type="dxa"/>
            <w:vAlign w:val="bottom"/>
            <w:tcBorders>
              <w:top w:val="single" w:sz="8" w:color="auto"/>
            </w:tcBorders>
          </w:tcPr>
          <w:p>
            <w:pPr>
              <w:jc w:val="center"/>
              <w:ind w:right="884"/>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r>
        <w:trPr>
          <w:trHeight w:val="324"/>
        </w:trPr>
        <w:tc>
          <w:tcPr>
            <w:tcW w:w="33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center"/>
              <w:ind w:left="1530"/>
              <w:spacing w:after="0"/>
              <w:rPr>
                <w:sz w:val="20"/>
                <w:szCs w:val="20"/>
                <w:color w:val="auto"/>
              </w:rPr>
            </w:pPr>
            <w:r>
              <w:rPr>
                <w:rFonts w:ascii="Arial" w:cs="Arial" w:eastAsia="Arial" w:hAnsi="Arial"/>
                <w:sz w:val="18"/>
                <w:szCs w:val="18"/>
                <w:b w:val="1"/>
                <w:bCs w:val="1"/>
                <w:color w:val="auto"/>
                <w:w w:val="90"/>
              </w:rPr>
              <w:t>(203) 859-6800</w:t>
            </w: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40" w:type="dxa"/>
            <w:vAlign w:val="bottom"/>
            <w:gridSpan w:val="5"/>
          </w:tcPr>
          <w:p>
            <w:pPr>
              <w:jc w:val="center"/>
              <w:ind w:right="3524"/>
              <w:spacing w:after="0"/>
              <w:rPr>
                <w:sz w:val="20"/>
                <w:szCs w:val="20"/>
                <w:color w:val="auto"/>
              </w:rPr>
            </w:pPr>
            <w:r>
              <w:rPr>
                <w:rFonts w:ascii="Arial" w:cs="Arial" w:eastAsia="Arial" w:hAnsi="Arial"/>
                <w:sz w:val="18"/>
                <w:szCs w:val="18"/>
                <w:color w:val="auto"/>
                <w:w w:val="91"/>
              </w:rPr>
              <w:t>(Registrant’s Telephone Number, Including Area Code)</w:t>
            </w:r>
          </w:p>
        </w:tc>
        <w:tc>
          <w:tcPr>
            <w:tcW w:w="0" w:type="dxa"/>
            <w:vAlign w:val="bottom"/>
          </w:tcPr>
          <w:p>
            <w:pPr>
              <w:spacing w:after="0"/>
              <w:rPr>
                <w:sz w:val="1"/>
                <w:szCs w:val="1"/>
                <w:color w:val="auto"/>
              </w:rPr>
            </w:pPr>
          </w:p>
        </w:tc>
      </w:tr>
      <w:tr>
        <w:trPr>
          <w:trHeight w:val="128"/>
        </w:trPr>
        <w:tc>
          <w:tcPr>
            <w:tcW w:w="33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540" w:type="dxa"/>
            <w:vAlign w:val="bottom"/>
            <w:tcBorders>
              <w:bottom w:val="single" w:sz="8" w:color="auto"/>
            </w:tcBorders>
            <w:gridSpan w:val="3"/>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320" w:type="dxa"/>
            <w:vAlign w:val="bottom"/>
            <w:tcBorders>
              <w:left w:val="single" w:sz="8" w:color="auto"/>
              <w:bottom w:val="single" w:sz="8" w:color="auto"/>
            </w:tcBorders>
          </w:tcPr>
          <w:p>
            <w:pPr>
              <w:jc w:val="center"/>
              <w:ind w:left="224"/>
              <w:spacing w:after="0" w:line="176" w:lineRule="exact"/>
              <w:rPr>
                <w:sz w:val="20"/>
                <w:szCs w:val="20"/>
                <w:color w:val="auto"/>
              </w:rPr>
            </w:pPr>
            <w:r>
              <w:rPr>
                <w:rFonts w:ascii="Arial" w:cs="Arial" w:eastAsia="Arial" w:hAnsi="Arial"/>
                <w:sz w:val="18"/>
                <w:szCs w:val="18"/>
                <w:color w:val="auto"/>
                <w:w w:val="90"/>
              </w:rPr>
              <w:t>Title of each class</w:t>
            </w:r>
          </w:p>
        </w:tc>
        <w:tc>
          <w:tcPr>
            <w:tcW w:w="280" w:type="dxa"/>
            <w:vAlign w:val="bottom"/>
            <w:tcBorders>
              <w:bottom w:val="single" w:sz="8" w:color="auto"/>
              <w:right w:val="single" w:sz="8" w:color="auto"/>
            </w:tcBorders>
          </w:tcPr>
          <w:p>
            <w:pPr>
              <w:spacing w:after="0"/>
              <w:rPr>
                <w:sz w:val="15"/>
                <w:szCs w:val="15"/>
                <w:color w:val="auto"/>
              </w:rPr>
            </w:pPr>
          </w:p>
        </w:tc>
        <w:tc>
          <w:tcPr>
            <w:tcW w:w="3540" w:type="dxa"/>
            <w:vAlign w:val="bottom"/>
            <w:tcBorders>
              <w:bottom w:val="single" w:sz="8" w:color="auto"/>
              <w:right w:val="single" w:sz="8" w:color="auto"/>
            </w:tcBorders>
            <w:gridSpan w:val="3"/>
          </w:tcPr>
          <w:p>
            <w:pPr>
              <w:jc w:val="center"/>
              <w:ind w:right="20"/>
              <w:spacing w:after="0" w:line="176" w:lineRule="exact"/>
              <w:rPr>
                <w:sz w:val="20"/>
                <w:szCs w:val="20"/>
                <w:color w:val="auto"/>
              </w:rPr>
            </w:pPr>
            <w:r>
              <w:rPr>
                <w:rFonts w:ascii="Arial" w:cs="Arial" w:eastAsia="Arial" w:hAnsi="Arial"/>
                <w:sz w:val="18"/>
                <w:szCs w:val="18"/>
                <w:color w:val="auto"/>
                <w:w w:val="92"/>
              </w:rPr>
              <w:t>Trading Symbol(s)</w:t>
            </w:r>
          </w:p>
        </w:tc>
        <w:tc>
          <w:tcPr>
            <w:tcW w:w="120" w:type="dxa"/>
            <w:vAlign w:val="bottom"/>
            <w:tcBorders>
              <w:bottom w:val="single" w:sz="8" w:color="auto"/>
            </w:tcBorders>
          </w:tcPr>
          <w:p>
            <w:pPr>
              <w:spacing w:after="0"/>
              <w:rPr>
                <w:sz w:val="15"/>
                <w:szCs w:val="15"/>
                <w:color w:val="auto"/>
              </w:rPr>
            </w:pPr>
          </w:p>
        </w:tc>
        <w:tc>
          <w:tcPr>
            <w:tcW w:w="3980" w:type="dxa"/>
            <w:vAlign w:val="bottom"/>
            <w:tcBorders>
              <w:bottom w:val="single" w:sz="8" w:color="auto"/>
              <w:right w:val="single" w:sz="8" w:color="auto"/>
            </w:tcBorders>
          </w:tcPr>
          <w:p>
            <w:pPr>
              <w:jc w:val="center"/>
              <w:ind w:right="64"/>
              <w:spacing w:after="0" w:line="176" w:lineRule="exact"/>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183"/>
        </w:trPr>
        <w:tc>
          <w:tcPr>
            <w:tcW w:w="3320" w:type="dxa"/>
            <w:vAlign w:val="bottom"/>
            <w:tcBorders>
              <w:left w:val="single" w:sz="8" w:color="auto"/>
              <w:bottom w:val="single" w:sz="8" w:color="auto"/>
            </w:tcBorders>
          </w:tcPr>
          <w:p>
            <w:pPr>
              <w:jc w:val="center"/>
              <w:ind w:left="204"/>
              <w:spacing w:after="0" w:line="176" w:lineRule="exact"/>
              <w:rPr>
                <w:sz w:val="20"/>
                <w:szCs w:val="20"/>
                <w:color w:val="auto"/>
              </w:rPr>
            </w:pPr>
            <w:r>
              <w:rPr>
                <w:rFonts w:ascii="Arial" w:cs="Arial" w:eastAsia="Arial" w:hAnsi="Arial"/>
                <w:sz w:val="18"/>
                <w:szCs w:val="18"/>
                <w:color w:val="auto"/>
                <w:w w:val="89"/>
              </w:rPr>
              <w:t>Common stock, par value $0.01 per share</w:t>
            </w:r>
          </w:p>
        </w:tc>
        <w:tc>
          <w:tcPr>
            <w:tcW w:w="280" w:type="dxa"/>
            <w:vAlign w:val="bottom"/>
            <w:tcBorders>
              <w:bottom w:val="single" w:sz="8" w:color="auto"/>
              <w:right w:val="single" w:sz="8" w:color="auto"/>
            </w:tcBorders>
          </w:tcPr>
          <w:p>
            <w:pPr>
              <w:spacing w:after="0"/>
              <w:rPr>
                <w:sz w:val="15"/>
                <w:szCs w:val="15"/>
                <w:color w:val="auto"/>
              </w:rPr>
            </w:pPr>
          </w:p>
        </w:tc>
        <w:tc>
          <w:tcPr>
            <w:tcW w:w="3540" w:type="dxa"/>
            <w:vAlign w:val="bottom"/>
            <w:tcBorders>
              <w:bottom w:val="single" w:sz="8" w:color="auto"/>
              <w:right w:val="single" w:sz="8" w:color="auto"/>
            </w:tcBorders>
            <w:gridSpan w:val="3"/>
          </w:tcPr>
          <w:p>
            <w:pPr>
              <w:jc w:val="center"/>
              <w:ind w:right="20"/>
              <w:spacing w:after="0" w:line="176" w:lineRule="exact"/>
              <w:rPr>
                <w:sz w:val="20"/>
                <w:szCs w:val="20"/>
                <w:color w:val="auto"/>
              </w:rPr>
            </w:pPr>
            <w:r>
              <w:rPr>
                <w:rFonts w:ascii="Arial" w:cs="Arial" w:eastAsia="Arial" w:hAnsi="Arial"/>
                <w:sz w:val="18"/>
                <w:szCs w:val="18"/>
                <w:color w:val="auto"/>
                <w:w w:val="93"/>
              </w:rPr>
              <w:t>TACT</w:t>
            </w:r>
          </w:p>
        </w:tc>
        <w:tc>
          <w:tcPr>
            <w:tcW w:w="120" w:type="dxa"/>
            <w:vAlign w:val="bottom"/>
            <w:tcBorders>
              <w:bottom w:val="single" w:sz="8" w:color="auto"/>
            </w:tcBorders>
          </w:tcPr>
          <w:p>
            <w:pPr>
              <w:spacing w:after="0"/>
              <w:rPr>
                <w:sz w:val="15"/>
                <w:szCs w:val="15"/>
                <w:color w:val="auto"/>
              </w:rPr>
            </w:pPr>
          </w:p>
        </w:tc>
        <w:tc>
          <w:tcPr>
            <w:tcW w:w="3980" w:type="dxa"/>
            <w:vAlign w:val="bottom"/>
            <w:tcBorders>
              <w:bottom w:val="single" w:sz="8" w:color="auto"/>
              <w:right w:val="single" w:sz="8" w:color="auto"/>
            </w:tcBorders>
          </w:tcPr>
          <w:p>
            <w:pPr>
              <w:jc w:val="center"/>
              <w:ind w:right="64"/>
              <w:spacing w:after="0" w:line="176" w:lineRule="exact"/>
              <w:rPr>
                <w:sz w:val="20"/>
                <w:szCs w:val="20"/>
                <w:color w:val="auto"/>
              </w:rPr>
            </w:pPr>
            <w:r>
              <w:rPr>
                <w:rFonts w:ascii="Arial" w:cs="Arial" w:eastAsia="Arial" w:hAnsi="Arial"/>
                <w:sz w:val="18"/>
                <w:szCs w:val="18"/>
                <w:color w:val="auto"/>
                <w:w w:val="95"/>
              </w:rPr>
              <w:t>NASDAQ Global Market</w:t>
            </w:r>
          </w:p>
        </w:tc>
        <w:tc>
          <w:tcPr>
            <w:tcW w:w="0" w:type="dxa"/>
            <w:vAlign w:val="bottom"/>
          </w:tcPr>
          <w:p>
            <w:pPr>
              <w:spacing w:after="0"/>
              <w:rPr>
                <w:sz w:val="1"/>
                <w:szCs w:val="1"/>
                <w:color w:val="auto"/>
              </w:rPr>
            </w:pPr>
          </w:p>
        </w:tc>
      </w:tr>
      <w:tr>
        <w:trPr>
          <w:trHeight w:val="365"/>
        </w:trPr>
        <w:tc>
          <w:tcPr>
            <w:tcW w:w="3320" w:type="dxa"/>
            <w:vAlign w:val="bottom"/>
          </w:tcPr>
          <w:p>
            <w:pPr>
              <w:spacing w:after="0"/>
              <w:rPr>
                <w:sz w:val="24"/>
                <w:szCs w:val="24"/>
                <w:color w:val="auto"/>
              </w:rPr>
            </w:pPr>
          </w:p>
        </w:tc>
        <w:tc>
          <w:tcPr>
            <w:tcW w:w="7920" w:type="dxa"/>
            <w:vAlign w:val="bottom"/>
            <w:gridSpan w:val="6"/>
          </w:tcPr>
          <w:p>
            <w:pPr>
              <w:jc w:val="center"/>
              <w:ind w:right="3224"/>
              <w:spacing w:after="0"/>
              <w:rPr>
                <w:sz w:val="20"/>
                <w:szCs w:val="20"/>
                <w:color w:val="auto"/>
              </w:rPr>
            </w:pPr>
            <w:r>
              <w:rPr>
                <w:rFonts w:ascii="Arial" w:cs="Arial" w:eastAsia="Arial" w:hAnsi="Arial"/>
                <w:sz w:val="18"/>
                <w:szCs w:val="18"/>
                <w:color w:val="auto"/>
                <w:w w:val="90"/>
              </w:rPr>
              <w:t>Securities registered pursuant to Section 12(g) of the Act: None</w:t>
            </w:r>
          </w:p>
        </w:tc>
        <w:tc>
          <w:tcPr>
            <w:tcW w:w="0" w:type="dxa"/>
            <w:vAlign w:val="bottom"/>
          </w:tcPr>
          <w:p>
            <w:pPr>
              <w:spacing w:after="0"/>
              <w:rPr>
                <w:sz w:val="1"/>
                <w:szCs w:val="1"/>
                <w:color w:val="auto"/>
              </w:rPr>
            </w:pPr>
          </w:p>
        </w:tc>
      </w:tr>
      <w:tr>
        <w:trPr>
          <w:trHeight w:val="314"/>
        </w:trPr>
        <w:tc>
          <w:tcPr>
            <w:tcW w:w="7260" w:type="dxa"/>
            <w:vAlign w:val="bottom"/>
            <w:gridSpan w:val="6"/>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 Yes  □</w:t>
            </w:r>
          </w:p>
        </w:tc>
        <w:tc>
          <w:tcPr>
            <w:tcW w:w="3980" w:type="dxa"/>
            <w:vAlign w:val="bottom"/>
          </w:tcPr>
          <w:p>
            <w:pPr>
              <w:ind w:left="80"/>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r>
        <w:trPr>
          <w:trHeight w:val="283"/>
        </w:trPr>
        <w:tc>
          <w:tcPr>
            <w:tcW w:w="7260" w:type="dxa"/>
            <w:vAlign w:val="bottom"/>
            <w:gridSpan w:val="6"/>
          </w:tcPr>
          <w:p>
            <w:pPr>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Section 15(d) of the Act. Yes</w:t>
            </w:r>
          </w:p>
        </w:tc>
        <w:tc>
          <w:tcPr>
            <w:tcW w:w="3980" w:type="dxa"/>
            <w:vAlign w:val="bottom"/>
          </w:tcPr>
          <w:p>
            <w:pPr>
              <w:ind w:left="20"/>
              <w:spacing w:after="0" w:line="188" w:lineRule="exact"/>
              <w:rPr>
                <w:sz w:val="20"/>
                <w:szCs w:val="20"/>
                <w:color w:val="auto"/>
              </w:rPr>
            </w:pP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bl>
    <w:p>
      <w:pPr>
        <w:spacing w:after="0" w:line="85" w:lineRule="exact"/>
        <w:rPr>
          <w:sz w:val="24"/>
          <w:szCs w:val="24"/>
          <w:color w:val="auto"/>
        </w:rPr>
      </w:pPr>
    </w:p>
    <w:p>
      <w:pPr>
        <w:jc w:val="both"/>
        <w:ind w:right="20"/>
        <w:spacing w:after="0" w:line="18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p>
    <w:p>
      <w:pPr>
        <w:spacing w:after="0" w:line="85" w:lineRule="exact"/>
        <w:rPr>
          <w:sz w:val="24"/>
          <w:szCs w:val="24"/>
          <w:color w:val="auto"/>
        </w:rPr>
      </w:pPr>
    </w:p>
    <w:p>
      <w:pPr>
        <w:jc w:val="both"/>
        <w:ind w:right="20"/>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p>
    <w:p>
      <w:pPr>
        <w:spacing w:after="0" w:line="85"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400" w:right="339" w:bottom="1440" w:gutter="0" w:footer="0" w:header="0"/>
        </w:sectPr>
      </w:pPr>
    </w:p>
    <w:p>
      <w:pPr>
        <w:spacing w:after="0" w:line="79"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 □</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 □</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Accelerated filer </w:t>
      </w:r>
      <w:r>
        <w:rPr>
          <w:rFonts w:ascii="Arial Unicode MS" w:cs="Arial Unicode MS" w:eastAsia="Arial Unicode MS" w:hAnsi="Arial Unicode MS"/>
          <w:sz w:val="14"/>
          <w:szCs w:val="14"/>
          <w:color w:val="auto"/>
        </w:rPr>
        <w:t>⌧</w:t>
      </w:r>
    </w:p>
    <w:p>
      <w:pPr>
        <w:spacing w:after="0" w:line="2"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Smaller reporting company </w:t>
      </w:r>
      <w:r>
        <w:rPr>
          <w:rFonts w:ascii="Arial Unicode MS" w:cs="Arial Unicode MS" w:eastAsia="Arial Unicode MS" w:hAnsi="Arial Unicode MS"/>
          <w:sz w:val="13"/>
          <w:szCs w:val="13"/>
          <w:color w:val="auto"/>
        </w:rPr>
        <w:t>⌧</w:t>
      </w:r>
    </w:p>
    <w:p>
      <w:pPr>
        <w:spacing w:after="0"/>
        <w:rPr>
          <w:sz w:val="20"/>
          <w:szCs w:val="20"/>
          <w:color w:val="auto"/>
        </w:rPr>
      </w:pPr>
      <w:r>
        <w:rPr>
          <w:rFonts w:ascii="Arial" w:cs="Arial" w:eastAsia="Arial" w:hAnsi="Arial"/>
          <w:sz w:val="14"/>
          <w:szCs w:val="14"/>
          <w:color w:val="auto"/>
        </w:rPr>
        <w:t>Emerging growth company □</w:t>
      </w:r>
    </w:p>
    <w:p>
      <w:pPr>
        <w:spacing w:after="0" w:line="151" w:lineRule="exact"/>
        <w:rPr>
          <w:sz w:val="24"/>
          <w:szCs w:val="24"/>
          <w:color w:val="auto"/>
        </w:rPr>
      </w:pPr>
    </w:p>
    <w:p>
      <w:pPr>
        <w:sectPr>
          <w:pgSz w:w="11900" w:h="16838" w:orient="portrait"/>
          <w:cols w:equalWidth="0" w:num="2">
            <w:col w:w="5760" w:space="720"/>
            <w:col w:w="4760"/>
          </w:cols>
          <w:pgMar w:left="320" w:top="400" w:right="339" w:bottom="1440" w:gutter="0" w:footer="0" w:header="0"/>
          <w:type w:val="continuous"/>
        </w:sectPr>
      </w:pPr>
    </w:p>
    <w:p>
      <w:pPr>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standards provided pursuant to Section 13(a) of the Exchange Act. □</w:t>
      </w:r>
    </w:p>
    <w:p>
      <w:pPr>
        <w:spacing w:after="0" w:line="52"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  No  </w:t>
      </w:r>
      <w:r>
        <w:rPr>
          <w:rFonts w:ascii="Arial Unicode MS" w:cs="Arial Unicode MS" w:eastAsia="Arial Unicode MS" w:hAnsi="Arial Unicode MS"/>
          <w:sz w:val="14"/>
          <w:szCs w:val="14"/>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3"/>
          <w:szCs w:val="13"/>
          <w:color w:val="auto"/>
        </w:rPr>
        <w:t>The aggregate market value of the voting and non-voting common equity held by non-affiliates of the Registrant was approximately $81,900,000 based on the last sale price on June 28, 2019.</w:t>
      </w:r>
    </w:p>
    <w:p>
      <w:pPr>
        <w:spacing w:after="0" w:line="134"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28, 2020, the number of shares outstanding of the Registrant’s common stock, $0.01 par value, was 7,534,133.</w:t>
      </w:r>
    </w:p>
    <w:p>
      <w:pPr>
        <w:spacing w:after="0" w:line="119"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27"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Portions of the Registrant’s Definitive Proxy Statement related to its 2020 Annual Meeting of Stockholders (the “Proxy Statement”) to be filed with the Securities and Exchange Commission within 120 days after the Registrant’s fiscal year end of December 31, 2019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TransAct Technologies Incorporated (the “Company”) is filing this Amendment No. 1 on Form 10-K/A (this “Amendment No. 1”) to the Company’s 2019 Annual Report on Form 10-K filed with the Securities and Exchange Commission on March 16, 2020 (the “2019 Form 10-K”) to correct typographical errors in the Company’s Consolidated Balance Sheets and Consolidated Statements of Cash Flows, which occurred upon conversion of the 2019 Form 10-K into the appropriate EDGAR-filing format. Notes receivable, Right-of-use-asset, Lease liability, and Deferred rent on the Consolidated Balance Sheet and Issuance of note receivable on the Consolidated Statements of Cash Flows were filed in billions which should have been presented in millions. Additionally, this Amendment No. 1 includes new certifications by management and related amendments to the Exhibits Index contained in Part IV, Item 15 of the 2019 Form 10-K.</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 other changes, modifications or updates have been made to the 2019 Form 10-K except as noted above. This Amendment No. 1 to the 2019 Form 10-K speaks as of the original filing date of the 2019 Form 10-K and does not reflect events that may have occurred after the original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6640" w:type="dxa"/>
            <w:vAlign w:val="bottom"/>
            <w:gridSpan w:val="5"/>
          </w:tcPr>
          <w:p>
            <w:pPr>
              <w:jc w:val="center"/>
              <w:ind w:right="1660"/>
              <w:spacing w:after="0"/>
              <w:rPr>
                <w:sz w:val="20"/>
                <w:szCs w:val="20"/>
                <w:color w:val="auto"/>
              </w:rPr>
            </w:pPr>
            <w:r>
              <w:rPr>
                <w:rFonts w:ascii="Arial" w:cs="Arial" w:eastAsia="Arial" w:hAnsi="Arial"/>
                <w:sz w:val="18"/>
                <w:szCs w:val="18"/>
                <w:b w:val="1"/>
                <w:bCs w:val="1"/>
                <w:color w:val="auto"/>
              </w:rPr>
              <w:t>TRANSACT TECHNOLOGIES INCORPORATED</w:t>
            </w:r>
          </w:p>
        </w:tc>
        <w:tc>
          <w:tcPr>
            <w:tcW w:w="1460" w:type="dxa"/>
            <w:vAlign w:val="bottom"/>
          </w:tcPr>
          <w:p>
            <w:pPr>
              <w:spacing w:after="0"/>
              <w:rPr>
                <w:sz w:val="17"/>
                <w:szCs w:val="17"/>
                <w:color w:val="auto"/>
              </w:rPr>
            </w:pPr>
          </w:p>
        </w:tc>
      </w:tr>
      <w:tr>
        <w:trPr>
          <w:trHeight w:val="385"/>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rPr>
              <w:t>INDEX</w:t>
            </w:r>
          </w:p>
        </w:tc>
        <w:tc>
          <w:tcPr>
            <w:tcW w:w="172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98"/>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60" w:type="dxa"/>
            <w:vAlign w:val="bottom"/>
            <w:gridSpan w:val="4"/>
          </w:tcPr>
          <w:p>
            <w:pPr>
              <w:jc w:val="center"/>
              <w:ind w:right="2260"/>
              <w:spacing w:after="0"/>
              <w:rPr>
                <w:sz w:val="20"/>
                <w:szCs w:val="20"/>
                <w:color w:val="auto"/>
              </w:rPr>
            </w:pPr>
            <w:r>
              <w:rPr>
                <w:rFonts w:ascii="Arial" w:cs="Arial" w:eastAsia="Arial" w:hAnsi="Arial"/>
                <w:sz w:val="18"/>
                <w:szCs w:val="18"/>
                <w:color w:val="auto"/>
                <w:w w:val="91"/>
              </w:rPr>
              <w:t>PART I.</w:t>
            </w:r>
          </w:p>
        </w:tc>
        <w:tc>
          <w:tcPr>
            <w:tcW w:w="1460" w:type="dxa"/>
            <w:vAlign w:val="bottom"/>
          </w:tcPr>
          <w:p>
            <w:pPr>
              <w:spacing w:after="0"/>
              <w:rPr>
                <w:sz w:val="24"/>
                <w:szCs w:val="24"/>
                <w:color w:val="auto"/>
              </w:rPr>
            </w:pPr>
          </w:p>
        </w:tc>
      </w:tr>
      <w:tr>
        <w:trPr>
          <w:trHeight w:val="190"/>
        </w:trPr>
        <w:tc>
          <w:tcPr>
            <w:tcW w:w="520" w:type="dxa"/>
            <w:vAlign w:val="bottom"/>
            <w:tcBorders>
              <w:bottom w:val="single" w:sz="8" w:color="0000EE"/>
            </w:tcBorders>
          </w:tcPr>
          <w:p>
            <w:pPr>
              <w:spacing w:after="0" w:line="190"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240" w:type="dxa"/>
            <w:vAlign w:val="bottom"/>
            <w:gridSpan w:val="7"/>
          </w:tcPr>
          <w:p>
            <w:pPr>
              <w:spacing w:after="0"/>
              <w:rPr>
                <w:sz w:val="16"/>
                <w:szCs w:val="16"/>
                <w:color w:val="auto"/>
              </w:rPr>
            </w:pPr>
          </w:p>
        </w:tc>
        <w:tc>
          <w:tcPr>
            <w:tcW w:w="9020" w:type="dxa"/>
            <w:vAlign w:val="bottom"/>
            <w:gridSpan w:val="6"/>
          </w:tcPr>
          <w:p>
            <w:pPr>
              <w:ind w:left="40"/>
              <w:spacing w:after="0" w:line="190" w:lineRule="exact"/>
              <w:rPr>
                <w:sz w:val="20"/>
                <w:szCs w:val="20"/>
                <w:color w:val="auto"/>
              </w:rPr>
            </w:pPr>
            <w:r>
              <w:rPr>
                <w:rFonts w:ascii="Arial" w:cs="Arial" w:eastAsia="Arial" w:hAnsi="Arial"/>
                <w:sz w:val="18"/>
                <w:szCs w:val="18"/>
                <w:color w:val="auto"/>
              </w:rPr>
              <w:t>Business</w:t>
            </w:r>
          </w:p>
        </w:tc>
        <w:tc>
          <w:tcPr>
            <w:tcW w:w="1460" w:type="dxa"/>
            <w:vAlign w:val="bottom"/>
          </w:tcPr>
          <w:p>
            <w:pPr>
              <w:jc w:val="center"/>
              <w:ind w:left="470"/>
              <w:spacing w:after="0" w:line="190" w:lineRule="exact"/>
              <w:rPr>
                <w:sz w:val="20"/>
                <w:szCs w:val="20"/>
                <w:color w:val="auto"/>
              </w:rPr>
            </w:pPr>
            <w:r>
              <w:rPr>
                <w:rFonts w:ascii="Arial" w:cs="Arial" w:eastAsia="Arial" w:hAnsi="Arial"/>
                <w:sz w:val="18"/>
                <w:szCs w:val="18"/>
                <w:color w:val="auto"/>
                <w:w w:val="99"/>
              </w:rPr>
              <w:t>1</w:t>
            </w:r>
          </w:p>
        </w:tc>
      </w:tr>
      <w:tr>
        <w:trPr>
          <w:trHeight w:val="183"/>
        </w:trPr>
        <w:tc>
          <w:tcPr>
            <w:tcW w:w="760" w:type="dxa"/>
            <w:vAlign w:val="bottom"/>
            <w:gridSpan w:val="8"/>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Item 1A.</w:t>
              </w:r>
            </w:hyperlink>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Risk Factors</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99"/>
              </w:rPr>
              <w:t>5</w:t>
            </w:r>
          </w:p>
        </w:tc>
      </w:tr>
      <w:tr>
        <w:trPr>
          <w:trHeight w:val="183"/>
        </w:trPr>
        <w:tc>
          <w:tcPr>
            <w:tcW w:w="680" w:type="dxa"/>
            <w:vAlign w:val="bottom"/>
            <w:tcBorders>
              <w:top w:val="single" w:sz="8" w:color="0000EE"/>
            </w:tcBorders>
            <w:gridSpan w:val="6"/>
          </w:tcPr>
          <w:p>
            <w:pPr>
              <w:spacing w:after="0" w:line="182" w:lineRule="exact"/>
              <w:rPr>
                <w:rFonts w:ascii="Arial" w:cs="Arial" w:eastAsia="Arial" w:hAnsi="Arial"/>
                <w:sz w:val="18"/>
                <w:szCs w:val="18"/>
                <w:color w:val="0000EE"/>
                <w:w w:val="98"/>
              </w:rPr>
            </w:pPr>
            <w:hyperlink w:anchor="page14">
              <w:r>
                <w:rPr>
                  <w:rFonts w:ascii="Arial" w:cs="Arial" w:eastAsia="Arial" w:hAnsi="Arial"/>
                  <w:sz w:val="18"/>
                  <w:szCs w:val="18"/>
                  <w:color w:val="0000EE"/>
                  <w:w w:val="98"/>
                </w:rPr>
                <w:t>Item 1B.</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Unresolved Staff Comments</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89"/>
              </w:rPr>
              <w:t>11</w:t>
            </w:r>
          </w:p>
        </w:tc>
      </w:tr>
      <w:tr>
        <w:trPr>
          <w:trHeight w:val="183"/>
        </w:trPr>
        <w:tc>
          <w:tcPr>
            <w:tcW w:w="66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Item 2.</w:t>
              </w:r>
            </w:hyperlink>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Properties</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89"/>
              </w:rPr>
              <w:t>11</w:t>
            </w:r>
          </w:p>
        </w:tc>
      </w:tr>
      <w:tr>
        <w:trPr>
          <w:trHeight w:val="183"/>
        </w:trPr>
        <w:tc>
          <w:tcPr>
            <w:tcW w:w="5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Item 3.</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Legal Proceedings</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89"/>
              </w:rPr>
              <w:t>11</w:t>
            </w:r>
          </w:p>
        </w:tc>
      </w:tr>
      <w:tr>
        <w:trPr>
          <w:trHeight w:val="183"/>
        </w:trPr>
        <w:tc>
          <w:tcPr>
            <w:tcW w:w="520" w:type="dxa"/>
            <w:vAlign w:val="bottom"/>
            <w:tcBorders>
              <w:bottom w:val="single" w:sz="8" w:color="0000EE"/>
            </w:tcBorders>
          </w:tcPr>
          <w:p>
            <w:pPr>
              <w:spacing w:after="0" w:line="182"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Item 4.</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Mine Safety Disclosures</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89"/>
              </w:rPr>
              <w:t>11</w:t>
            </w:r>
          </w:p>
        </w:tc>
      </w:tr>
      <w:tr>
        <w:trPr>
          <w:trHeight w:val="398"/>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60" w:type="dxa"/>
            <w:vAlign w:val="bottom"/>
            <w:gridSpan w:val="4"/>
          </w:tcPr>
          <w:p>
            <w:pPr>
              <w:jc w:val="center"/>
              <w:ind w:right="2240"/>
              <w:spacing w:after="0"/>
              <w:rPr>
                <w:sz w:val="20"/>
                <w:szCs w:val="20"/>
                <w:color w:val="auto"/>
              </w:rPr>
            </w:pPr>
            <w:r>
              <w:rPr>
                <w:rFonts w:ascii="Arial" w:cs="Arial" w:eastAsia="Arial" w:hAnsi="Arial"/>
                <w:sz w:val="18"/>
                <w:szCs w:val="18"/>
                <w:color w:val="auto"/>
                <w:w w:val="94"/>
              </w:rPr>
              <w:t>PART II.</w:t>
            </w:r>
          </w:p>
        </w:tc>
        <w:tc>
          <w:tcPr>
            <w:tcW w:w="1460" w:type="dxa"/>
            <w:vAlign w:val="bottom"/>
          </w:tcPr>
          <w:p>
            <w:pPr>
              <w:spacing w:after="0"/>
              <w:rPr>
                <w:sz w:val="24"/>
                <w:szCs w:val="24"/>
                <w:color w:val="auto"/>
              </w:rPr>
            </w:pPr>
          </w:p>
        </w:tc>
      </w:tr>
      <w:tr>
        <w:trPr>
          <w:trHeight w:val="190"/>
        </w:trPr>
        <w:tc>
          <w:tcPr>
            <w:tcW w:w="760" w:type="dxa"/>
            <w:vAlign w:val="bottom"/>
            <w:gridSpan w:val="8"/>
          </w:tcPr>
          <w:p>
            <w:pPr>
              <w:spacing w:after="0" w:line="190" w:lineRule="exact"/>
              <w:rPr>
                <w:rFonts w:ascii="Arial" w:cs="Arial" w:eastAsia="Arial" w:hAnsi="Arial"/>
                <w:sz w:val="18"/>
                <w:szCs w:val="18"/>
                <w:color w:val="0000EE"/>
              </w:rPr>
            </w:pPr>
            <w:hyperlink w:anchor="page15">
              <w:r>
                <w:rPr>
                  <w:rFonts w:ascii="Arial" w:cs="Arial" w:eastAsia="Arial" w:hAnsi="Arial"/>
                  <w:sz w:val="18"/>
                  <w:szCs w:val="18"/>
                  <w:color w:val="0000EE"/>
                </w:rPr>
                <w:t>Item 5.</w:t>
              </w:r>
            </w:hyperlink>
          </w:p>
        </w:tc>
        <w:tc>
          <w:tcPr>
            <w:tcW w:w="9020" w:type="dxa"/>
            <w:vAlign w:val="bottom"/>
            <w:gridSpan w:val="6"/>
          </w:tcPr>
          <w:p>
            <w:pPr>
              <w:ind w:left="40"/>
              <w:spacing w:after="0" w:line="190" w:lineRule="exact"/>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460" w:type="dxa"/>
            <w:vAlign w:val="bottom"/>
          </w:tcPr>
          <w:p>
            <w:pPr>
              <w:jc w:val="center"/>
              <w:ind w:left="470"/>
              <w:spacing w:after="0" w:line="190" w:lineRule="exact"/>
              <w:rPr>
                <w:sz w:val="20"/>
                <w:szCs w:val="20"/>
                <w:color w:val="auto"/>
              </w:rPr>
            </w:pPr>
            <w:r>
              <w:rPr>
                <w:rFonts w:ascii="Arial" w:cs="Arial" w:eastAsia="Arial" w:hAnsi="Arial"/>
                <w:sz w:val="18"/>
                <w:szCs w:val="18"/>
                <w:color w:val="auto"/>
                <w:w w:val="89"/>
              </w:rPr>
              <w:t>12</w:t>
            </w:r>
          </w:p>
        </w:tc>
      </w:tr>
      <w:tr>
        <w:trPr>
          <w:trHeight w:val="183"/>
        </w:trPr>
        <w:tc>
          <w:tcPr>
            <w:tcW w:w="5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Item 6.</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Selected Financial Data</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89"/>
              </w:rPr>
              <w:t>14</w:t>
            </w:r>
          </w:p>
        </w:tc>
      </w:tr>
      <w:tr>
        <w:trPr>
          <w:trHeight w:val="183"/>
        </w:trPr>
        <w:tc>
          <w:tcPr>
            <w:tcW w:w="520" w:type="dxa"/>
            <w:vAlign w:val="bottom"/>
            <w:tcBorders>
              <w:bottom w:val="single" w:sz="8" w:color="0000EE"/>
            </w:tcBorders>
          </w:tcPr>
          <w:p>
            <w:pPr>
              <w:spacing w:after="0" w:line="182"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Item 7.</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89"/>
              </w:rPr>
              <w:t>14</w:t>
            </w:r>
          </w:p>
        </w:tc>
      </w:tr>
      <w:tr>
        <w:trPr>
          <w:trHeight w:val="183"/>
        </w:trPr>
        <w:tc>
          <w:tcPr>
            <w:tcW w:w="760" w:type="dxa"/>
            <w:vAlign w:val="bottom"/>
            <w:gridSpan w:val="8"/>
          </w:tcPr>
          <w:p>
            <w:pPr>
              <w:spacing w:after="0" w:line="182" w:lineRule="exact"/>
              <w:rPr>
                <w:rFonts w:ascii="Arial" w:cs="Arial" w:eastAsia="Arial" w:hAnsi="Arial"/>
                <w:sz w:val="18"/>
                <w:szCs w:val="18"/>
                <w:color w:val="0000EE"/>
              </w:rPr>
            </w:pPr>
            <w:hyperlink w:anchor="page29">
              <w:r>
                <w:rPr>
                  <w:rFonts w:ascii="Arial" w:cs="Arial" w:eastAsia="Arial" w:hAnsi="Arial"/>
                  <w:sz w:val="18"/>
                  <w:szCs w:val="18"/>
                  <w:color w:val="0000EE"/>
                </w:rPr>
                <w:t>Item 7A.</w:t>
              </w:r>
            </w:hyperlink>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Quantitative and Qualitative Disclosures About Market Risk</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89"/>
              </w:rPr>
              <w:t>26</w:t>
            </w:r>
          </w:p>
        </w:tc>
      </w:tr>
      <w:tr>
        <w:trPr>
          <w:trHeight w:val="183"/>
        </w:trPr>
        <w:tc>
          <w:tcPr>
            <w:tcW w:w="68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29">
              <w:r>
                <w:rPr>
                  <w:rFonts w:ascii="Arial" w:cs="Arial" w:eastAsia="Arial" w:hAnsi="Arial"/>
                  <w:sz w:val="18"/>
                  <w:szCs w:val="18"/>
                  <w:color w:val="0000EE"/>
                </w:rPr>
                <w:t>Item 8.</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Financial Statements and Supplementary Data</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89"/>
              </w:rPr>
              <w:t>26</w:t>
            </w:r>
          </w:p>
        </w:tc>
      </w:tr>
      <w:tr>
        <w:trPr>
          <w:trHeight w:val="183"/>
        </w:trPr>
        <w:tc>
          <w:tcPr>
            <w:tcW w:w="5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9.</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89"/>
              </w:rPr>
              <w:t>26</w:t>
            </w:r>
          </w:p>
        </w:tc>
      </w:tr>
      <w:tr>
        <w:trPr>
          <w:trHeight w:val="183"/>
        </w:trPr>
        <w:tc>
          <w:tcPr>
            <w:tcW w:w="760" w:type="dxa"/>
            <w:vAlign w:val="bottom"/>
            <w:gridSpan w:val="8"/>
          </w:tcPr>
          <w:p>
            <w:pPr>
              <w:spacing w:after="0" w:line="182" w:lineRule="exact"/>
              <w:rPr>
                <w:rFonts w:ascii="Arial" w:cs="Arial" w:eastAsia="Arial" w:hAnsi="Arial"/>
                <w:sz w:val="18"/>
                <w:szCs w:val="18"/>
                <w:color w:val="0000EE"/>
              </w:rPr>
            </w:pPr>
            <w:hyperlink w:anchor="page29">
              <w:r>
                <w:rPr>
                  <w:rFonts w:ascii="Arial" w:cs="Arial" w:eastAsia="Arial" w:hAnsi="Arial"/>
                  <w:sz w:val="18"/>
                  <w:szCs w:val="18"/>
                  <w:color w:val="0000EE"/>
                </w:rPr>
                <w:t>Item 9A.</w:t>
              </w:r>
            </w:hyperlink>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Controls and Procedures</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89"/>
              </w:rPr>
              <w:t>26</w:t>
            </w:r>
          </w:p>
        </w:tc>
      </w:tr>
      <w:tr>
        <w:trPr>
          <w:trHeight w:val="183"/>
        </w:trPr>
        <w:tc>
          <w:tcPr>
            <w:tcW w:w="680" w:type="dxa"/>
            <w:vAlign w:val="bottom"/>
            <w:tcBorders>
              <w:top w:val="single" w:sz="8" w:color="0000EE"/>
            </w:tcBorders>
            <w:gridSpan w:val="6"/>
          </w:tcPr>
          <w:p>
            <w:pPr>
              <w:spacing w:after="0" w:line="182" w:lineRule="exact"/>
              <w:rPr>
                <w:rFonts w:ascii="Arial" w:cs="Arial" w:eastAsia="Arial" w:hAnsi="Arial"/>
                <w:sz w:val="18"/>
                <w:szCs w:val="18"/>
                <w:color w:val="0000EE"/>
                <w:w w:val="98"/>
              </w:rPr>
            </w:pPr>
            <w:hyperlink w:anchor="page30">
              <w:r>
                <w:rPr>
                  <w:rFonts w:ascii="Arial" w:cs="Arial" w:eastAsia="Arial" w:hAnsi="Arial"/>
                  <w:sz w:val="18"/>
                  <w:szCs w:val="18"/>
                  <w:color w:val="0000EE"/>
                  <w:w w:val="98"/>
                </w:rPr>
                <w:t>Item 9B.</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Other Information</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89"/>
              </w:rPr>
              <w:t>27</w:t>
            </w:r>
          </w:p>
        </w:tc>
      </w:tr>
      <w:tr>
        <w:trPr>
          <w:trHeight w:val="398"/>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60" w:type="dxa"/>
            <w:vAlign w:val="bottom"/>
            <w:gridSpan w:val="4"/>
          </w:tcPr>
          <w:p>
            <w:pPr>
              <w:jc w:val="center"/>
              <w:ind w:right="2260"/>
              <w:spacing w:after="0"/>
              <w:rPr>
                <w:sz w:val="20"/>
                <w:szCs w:val="20"/>
                <w:color w:val="auto"/>
              </w:rPr>
            </w:pPr>
            <w:r>
              <w:rPr>
                <w:rFonts w:ascii="Arial" w:cs="Arial" w:eastAsia="Arial" w:hAnsi="Arial"/>
                <w:sz w:val="18"/>
                <w:szCs w:val="18"/>
                <w:color w:val="auto"/>
                <w:w w:val="95"/>
              </w:rPr>
              <w:t>PART III.</w:t>
            </w:r>
          </w:p>
        </w:tc>
        <w:tc>
          <w:tcPr>
            <w:tcW w:w="1460" w:type="dxa"/>
            <w:vAlign w:val="bottom"/>
          </w:tcPr>
          <w:p>
            <w:pPr>
              <w:spacing w:after="0"/>
              <w:rPr>
                <w:sz w:val="24"/>
                <w:szCs w:val="24"/>
                <w:color w:val="auto"/>
              </w:rPr>
            </w:pPr>
          </w:p>
        </w:tc>
      </w:tr>
      <w:tr>
        <w:trPr>
          <w:trHeight w:val="190"/>
        </w:trPr>
        <w:tc>
          <w:tcPr>
            <w:tcW w:w="760" w:type="dxa"/>
            <w:vAlign w:val="bottom"/>
            <w:gridSpan w:val="8"/>
          </w:tcPr>
          <w:p>
            <w:pPr>
              <w:spacing w:after="0" w:line="190" w:lineRule="exact"/>
              <w:rPr>
                <w:rFonts w:ascii="Arial" w:cs="Arial" w:eastAsia="Arial" w:hAnsi="Arial"/>
                <w:sz w:val="18"/>
                <w:szCs w:val="18"/>
                <w:color w:val="0000EE"/>
              </w:rPr>
            </w:pPr>
            <w:hyperlink w:anchor="page31">
              <w:r>
                <w:rPr>
                  <w:rFonts w:ascii="Arial" w:cs="Arial" w:eastAsia="Arial" w:hAnsi="Arial"/>
                  <w:sz w:val="18"/>
                  <w:szCs w:val="18"/>
                  <w:color w:val="0000EE"/>
                </w:rPr>
                <w:t>Item 10.</w:t>
              </w:r>
            </w:hyperlink>
          </w:p>
        </w:tc>
        <w:tc>
          <w:tcPr>
            <w:tcW w:w="9020" w:type="dxa"/>
            <w:vAlign w:val="bottom"/>
            <w:gridSpan w:val="6"/>
          </w:tcPr>
          <w:p>
            <w:pPr>
              <w:ind w:left="40"/>
              <w:spacing w:after="0" w:line="190" w:lineRule="exact"/>
              <w:rPr>
                <w:sz w:val="20"/>
                <w:szCs w:val="20"/>
                <w:color w:val="auto"/>
              </w:rPr>
            </w:pPr>
            <w:r>
              <w:rPr>
                <w:rFonts w:ascii="Arial" w:cs="Arial" w:eastAsia="Arial" w:hAnsi="Arial"/>
                <w:sz w:val="18"/>
                <w:szCs w:val="18"/>
                <w:color w:val="auto"/>
              </w:rPr>
              <w:t>Directors, Executive Officers and Corporate Governance</w:t>
            </w:r>
          </w:p>
        </w:tc>
        <w:tc>
          <w:tcPr>
            <w:tcW w:w="1460" w:type="dxa"/>
            <w:vAlign w:val="bottom"/>
          </w:tcPr>
          <w:p>
            <w:pPr>
              <w:jc w:val="center"/>
              <w:ind w:left="470"/>
              <w:spacing w:after="0" w:line="190" w:lineRule="exact"/>
              <w:rPr>
                <w:sz w:val="20"/>
                <w:szCs w:val="20"/>
                <w:color w:val="auto"/>
              </w:rPr>
            </w:pPr>
            <w:r>
              <w:rPr>
                <w:rFonts w:ascii="Arial" w:cs="Arial" w:eastAsia="Arial" w:hAnsi="Arial"/>
                <w:sz w:val="18"/>
                <w:szCs w:val="18"/>
                <w:color w:val="auto"/>
                <w:w w:val="89"/>
              </w:rPr>
              <w:t>28</w:t>
            </w:r>
          </w:p>
        </w:tc>
      </w:tr>
      <w:tr>
        <w:trPr>
          <w:trHeight w:val="183"/>
        </w:trPr>
        <w:tc>
          <w:tcPr>
            <w:tcW w:w="620" w:type="dxa"/>
            <w:vAlign w:val="bottom"/>
            <w:tcBorders>
              <w:top w:val="single" w:sz="8" w:color="0000EE"/>
            </w:tcBorders>
            <w:gridSpan w:val="3"/>
          </w:tcPr>
          <w:p>
            <w:pPr>
              <w:spacing w:after="0" w:line="182"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Item 11.</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Executive Compensation</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89"/>
              </w:rPr>
              <w:t>28</w:t>
            </w:r>
          </w:p>
        </w:tc>
      </w:tr>
      <w:tr>
        <w:trPr>
          <w:trHeight w:val="183"/>
        </w:trPr>
        <w:tc>
          <w:tcPr>
            <w:tcW w:w="6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Item 12.</w:t>
              </w:r>
            </w:hyperlink>
          </w:p>
        </w:tc>
        <w:tc>
          <w:tcPr>
            <w:tcW w:w="40" w:type="dxa"/>
            <w:vAlign w:val="bottom"/>
            <w:tcBorders>
              <w:bottom w:val="single" w:sz="8" w:color="0000EE"/>
            </w:tcBorders>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89"/>
              </w:rPr>
              <w:t>28</w:t>
            </w:r>
          </w:p>
        </w:tc>
      </w:tr>
      <w:tr>
        <w:trPr>
          <w:trHeight w:val="183"/>
        </w:trPr>
        <w:tc>
          <w:tcPr>
            <w:tcW w:w="640" w:type="dxa"/>
            <w:vAlign w:val="bottom"/>
            <w:tcBorders>
              <w:bottom w:val="single" w:sz="8" w:color="0000EE"/>
            </w:tcBorders>
            <w:gridSpan w:val="4"/>
          </w:tcPr>
          <w:p>
            <w:pPr>
              <w:spacing w:after="0" w:line="182" w:lineRule="exact"/>
              <w:rPr>
                <w:rFonts w:ascii="Arial" w:cs="Arial" w:eastAsia="Arial" w:hAnsi="Arial"/>
                <w:sz w:val="18"/>
                <w:szCs w:val="18"/>
                <w:color w:val="0000EE"/>
                <w:w w:val="95"/>
              </w:rPr>
            </w:pPr>
            <w:hyperlink w:anchor="page31">
              <w:r>
                <w:rPr>
                  <w:rFonts w:ascii="Arial" w:cs="Arial" w:eastAsia="Arial" w:hAnsi="Arial"/>
                  <w:sz w:val="18"/>
                  <w:szCs w:val="18"/>
                  <w:color w:val="0000EE"/>
                  <w:w w:val="95"/>
                </w:rPr>
                <w:t>Item 13.</w:t>
              </w:r>
            </w:hyperlink>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89"/>
              </w:rPr>
              <w:t>28</w:t>
            </w:r>
          </w:p>
        </w:tc>
      </w:tr>
      <w:tr>
        <w:trPr>
          <w:trHeight w:val="182"/>
        </w:trPr>
        <w:tc>
          <w:tcPr>
            <w:tcW w:w="640" w:type="dxa"/>
            <w:vAlign w:val="bottom"/>
            <w:gridSpan w:val="4"/>
          </w:tcPr>
          <w:p>
            <w:pPr>
              <w:spacing w:after="0" w:line="182" w:lineRule="exact"/>
              <w:rPr>
                <w:rFonts w:ascii="Arial" w:cs="Arial" w:eastAsia="Arial" w:hAnsi="Arial"/>
                <w:sz w:val="18"/>
                <w:szCs w:val="18"/>
                <w:color w:val="0000EE"/>
                <w:w w:val="95"/>
              </w:rPr>
            </w:pPr>
            <w:hyperlink w:anchor="page31">
              <w:r>
                <w:rPr>
                  <w:rFonts w:ascii="Arial" w:cs="Arial" w:eastAsia="Arial" w:hAnsi="Arial"/>
                  <w:sz w:val="18"/>
                  <w:szCs w:val="18"/>
                  <w:color w:val="0000EE"/>
                  <w:w w:val="95"/>
                </w:rPr>
                <w:t>Item 14.</w:t>
              </w:r>
            </w:hyperlink>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Principal Accounting Fees and Services</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89"/>
              </w:rPr>
              <w:t>28</w:t>
            </w:r>
          </w:p>
        </w:tc>
      </w:tr>
      <w:tr>
        <w:trPr>
          <w:trHeight w:val="398"/>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60" w:type="dxa"/>
            <w:vAlign w:val="bottom"/>
            <w:gridSpan w:val="4"/>
          </w:tcPr>
          <w:p>
            <w:pPr>
              <w:jc w:val="center"/>
              <w:ind w:right="2240"/>
              <w:spacing w:after="0"/>
              <w:rPr>
                <w:sz w:val="20"/>
                <w:szCs w:val="20"/>
                <w:color w:val="auto"/>
              </w:rPr>
            </w:pPr>
            <w:r>
              <w:rPr>
                <w:rFonts w:ascii="Arial" w:cs="Arial" w:eastAsia="Arial" w:hAnsi="Arial"/>
                <w:sz w:val="18"/>
                <w:szCs w:val="18"/>
                <w:color w:val="auto"/>
                <w:w w:val="90"/>
              </w:rPr>
              <w:t>PART IV.</w:t>
            </w:r>
          </w:p>
        </w:tc>
        <w:tc>
          <w:tcPr>
            <w:tcW w:w="1460" w:type="dxa"/>
            <w:vAlign w:val="bottom"/>
          </w:tcPr>
          <w:p>
            <w:pPr>
              <w:spacing w:after="0"/>
              <w:rPr>
                <w:sz w:val="24"/>
                <w:szCs w:val="24"/>
                <w:color w:val="auto"/>
              </w:rPr>
            </w:pPr>
          </w:p>
        </w:tc>
      </w:tr>
      <w:tr>
        <w:trPr>
          <w:trHeight w:val="190"/>
        </w:trPr>
        <w:tc>
          <w:tcPr>
            <w:tcW w:w="760" w:type="dxa"/>
            <w:vAlign w:val="bottom"/>
            <w:gridSpan w:val="8"/>
          </w:tcPr>
          <w:p>
            <w:pPr>
              <w:spacing w:after="0" w:line="190" w:lineRule="exact"/>
              <w:rPr>
                <w:rFonts w:ascii="Arial" w:cs="Arial" w:eastAsia="Arial" w:hAnsi="Arial"/>
                <w:sz w:val="18"/>
                <w:szCs w:val="18"/>
                <w:color w:val="0000EE"/>
              </w:rPr>
            </w:pPr>
            <w:hyperlink w:anchor="page32">
              <w:r>
                <w:rPr>
                  <w:rFonts w:ascii="Arial" w:cs="Arial" w:eastAsia="Arial" w:hAnsi="Arial"/>
                  <w:sz w:val="18"/>
                  <w:szCs w:val="18"/>
                  <w:color w:val="0000EE"/>
                </w:rPr>
                <w:t>Item 15.</w:t>
              </w:r>
            </w:hyperlink>
          </w:p>
        </w:tc>
        <w:tc>
          <w:tcPr>
            <w:tcW w:w="9020" w:type="dxa"/>
            <w:vAlign w:val="bottom"/>
            <w:gridSpan w:val="6"/>
          </w:tcPr>
          <w:p>
            <w:pPr>
              <w:ind w:left="40"/>
              <w:spacing w:after="0" w:line="190" w:lineRule="exact"/>
              <w:rPr>
                <w:sz w:val="20"/>
                <w:szCs w:val="20"/>
                <w:color w:val="auto"/>
              </w:rPr>
            </w:pPr>
            <w:r>
              <w:rPr>
                <w:rFonts w:ascii="Arial" w:cs="Arial" w:eastAsia="Arial" w:hAnsi="Arial"/>
                <w:sz w:val="18"/>
                <w:szCs w:val="18"/>
                <w:color w:val="auto"/>
              </w:rPr>
              <w:t>Exhibits, Financial Statement Schedules</w:t>
            </w:r>
          </w:p>
        </w:tc>
        <w:tc>
          <w:tcPr>
            <w:tcW w:w="1460" w:type="dxa"/>
            <w:vAlign w:val="bottom"/>
          </w:tcPr>
          <w:p>
            <w:pPr>
              <w:jc w:val="center"/>
              <w:ind w:left="470"/>
              <w:spacing w:after="0" w:line="190" w:lineRule="exact"/>
              <w:rPr>
                <w:sz w:val="20"/>
                <w:szCs w:val="20"/>
                <w:color w:val="auto"/>
              </w:rPr>
            </w:pPr>
            <w:r>
              <w:rPr>
                <w:rFonts w:ascii="Arial" w:cs="Arial" w:eastAsia="Arial" w:hAnsi="Arial"/>
                <w:sz w:val="18"/>
                <w:szCs w:val="18"/>
                <w:color w:val="auto"/>
                <w:w w:val="89"/>
              </w:rPr>
              <w:t>29</w:t>
            </w:r>
          </w:p>
        </w:tc>
      </w:tr>
      <w:tr>
        <w:trPr>
          <w:trHeight w:val="183"/>
        </w:trPr>
        <w:tc>
          <w:tcPr>
            <w:tcW w:w="6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5"/>
              </w:rPr>
            </w:pPr>
            <w:hyperlink w:anchor="page35">
              <w:r>
                <w:rPr>
                  <w:rFonts w:ascii="Arial" w:cs="Arial" w:eastAsia="Arial" w:hAnsi="Arial"/>
                  <w:sz w:val="18"/>
                  <w:szCs w:val="18"/>
                  <w:color w:val="0000EE"/>
                  <w:w w:val="95"/>
                </w:rPr>
                <w:t>Item 16.</w:t>
              </w:r>
            </w:hyperlink>
          </w:p>
        </w:tc>
        <w:tc>
          <w:tcPr>
            <w:tcW w:w="60" w:type="dxa"/>
            <w:vAlign w:val="bottom"/>
            <w:tcBorders>
              <w:bottom w:val="single" w:sz="8" w:color="0000EE"/>
            </w:tcBorders>
            <w:gridSpan w:val="3"/>
          </w:tcPr>
          <w:p>
            <w:pPr>
              <w:spacing w:after="0"/>
              <w:rPr>
                <w:sz w:val="15"/>
                <w:szCs w:val="15"/>
                <w:color w:val="auto"/>
              </w:rPr>
            </w:pPr>
          </w:p>
        </w:tc>
        <w:tc>
          <w:tcPr>
            <w:tcW w:w="60" w:type="dxa"/>
            <w:vAlign w:val="bottom"/>
          </w:tcPr>
          <w:p>
            <w:pPr>
              <w:spacing w:after="0"/>
              <w:rPr>
                <w:sz w:val="15"/>
                <w:szCs w:val="15"/>
                <w:color w:val="auto"/>
              </w:rPr>
            </w:pPr>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Form 10-K Summary</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89"/>
              </w:rPr>
              <w:t>31</w:t>
            </w:r>
          </w:p>
        </w:tc>
      </w:tr>
      <w:tr>
        <w:trPr>
          <w:trHeight w:val="425"/>
        </w:trPr>
        <w:tc>
          <w:tcPr>
            <w:tcW w:w="9780" w:type="dxa"/>
            <w:vAlign w:val="bottom"/>
            <w:gridSpan w:val="14"/>
          </w:tcPr>
          <w:p>
            <w:pPr>
              <w:spacing w:after="0"/>
              <w:rPr>
                <w:sz w:val="20"/>
                <w:szCs w:val="20"/>
                <w:color w:val="auto"/>
              </w:rPr>
            </w:pPr>
            <w:r>
              <w:rPr>
                <w:rFonts w:ascii="Arial" w:cs="Arial" w:eastAsia="Arial" w:hAnsi="Arial"/>
                <w:sz w:val="18"/>
                <w:szCs w:val="18"/>
                <w:color w:val="auto"/>
              </w:rPr>
              <w:t>SIGNATURES</w:t>
            </w:r>
          </w:p>
        </w:tc>
        <w:tc>
          <w:tcPr>
            <w:tcW w:w="1460" w:type="dxa"/>
            <w:vAlign w:val="bottom"/>
          </w:tcPr>
          <w:p>
            <w:pPr>
              <w:spacing w:after="0"/>
              <w:rPr>
                <w:sz w:val="24"/>
                <w:szCs w:val="24"/>
                <w:color w:val="auto"/>
              </w:rPr>
            </w:pPr>
          </w:p>
        </w:tc>
      </w:tr>
      <w:tr>
        <w:trPr>
          <w:trHeight w:val="365"/>
        </w:trPr>
        <w:tc>
          <w:tcPr>
            <w:tcW w:w="7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5"/>
              </w:rPr>
              <w:t>Signatures</w:t>
            </w:r>
          </w:p>
        </w:tc>
        <w:tc>
          <w:tcPr>
            <w:tcW w:w="2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60" w:type="dxa"/>
            <w:vAlign w:val="bottom"/>
          </w:tcPr>
          <w:p>
            <w:pPr>
              <w:jc w:val="center"/>
              <w:ind w:left="470"/>
              <w:spacing w:after="0"/>
              <w:rPr>
                <w:sz w:val="20"/>
                <w:szCs w:val="20"/>
                <w:color w:val="auto"/>
              </w:rPr>
            </w:pPr>
            <w:r>
              <w:rPr>
                <w:rFonts w:ascii="Arial" w:cs="Arial" w:eastAsia="Arial" w:hAnsi="Arial"/>
                <w:sz w:val="18"/>
                <w:szCs w:val="18"/>
                <w:color w:val="auto"/>
                <w:w w:val="89"/>
              </w:rPr>
              <w:t>32</w:t>
            </w:r>
          </w:p>
        </w:tc>
      </w:tr>
      <w:tr>
        <w:trPr>
          <w:trHeight w:val="425"/>
        </w:trPr>
        <w:tc>
          <w:tcPr>
            <w:tcW w:w="9780" w:type="dxa"/>
            <w:vAlign w:val="bottom"/>
            <w:gridSpan w:val="14"/>
          </w:tcPr>
          <w:p>
            <w:pPr>
              <w:spacing w:after="0"/>
              <w:rPr>
                <w:sz w:val="20"/>
                <w:szCs w:val="20"/>
                <w:color w:val="auto"/>
              </w:rPr>
            </w:pPr>
            <w:r>
              <w:rPr>
                <w:rFonts w:ascii="Arial" w:cs="Arial" w:eastAsia="Arial" w:hAnsi="Arial"/>
                <w:sz w:val="18"/>
                <w:szCs w:val="18"/>
                <w:color w:val="auto"/>
              </w:rPr>
              <w:t>CONSOLIDATED FINANCIAL STATEMENTS</w:t>
            </w:r>
          </w:p>
        </w:tc>
        <w:tc>
          <w:tcPr>
            <w:tcW w:w="1460" w:type="dxa"/>
            <w:vAlign w:val="bottom"/>
          </w:tcPr>
          <w:p>
            <w:pPr>
              <w:spacing w:after="0"/>
              <w:rPr>
                <w:sz w:val="24"/>
                <w:szCs w:val="24"/>
                <w:color w:val="auto"/>
              </w:rPr>
            </w:pPr>
          </w:p>
        </w:tc>
      </w:tr>
      <w:tr>
        <w:trPr>
          <w:trHeight w:val="365"/>
        </w:trPr>
        <w:tc>
          <w:tcPr>
            <w:tcW w:w="9780" w:type="dxa"/>
            <w:vAlign w:val="bottom"/>
            <w:gridSpan w:val="1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Index to Consolidated Financial Statements</w:t>
              </w:r>
            </w:hyperlink>
          </w:p>
        </w:tc>
        <w:tc>
          <w:tcPr>
            <w:tcW w:w="1460" w:type="dxa"/>
            <w:vAlign w:val="bottom"/>
          </w:tcPr>
          <w:p>
            <w:pPr>
              <w:ind w:left="880"/>
              <w:spacing w:after="0"/>
              <w:rPr>
                <w:sz w:val="20"/>
                <w:szCs w:val="20"/>
                <w:color w:val="auto"/>
              </w:rPr>
            </w:pPr>
            <w:r>
              <w:rPr>
                <w:rFonts w:ascii="Arial" w:cs="Arial" w:eastAsia="Arial" w:hAnsi="Arial"/>
                <w:sz w:val="18"/>
                <w:szCs w:val="18"/>
                <w:color w:val="auto"/>
              </w:rPr>
              <w:t>F-1</w:t>
            </w:r>
          </w:p>
        </w:tc>
      </w:tr>
      <w:tr>
        <w:trPr>
          <w:trHeight w:val="581"/>
        </w:trPr>
        <w:tc>
          <w:tcPr>
            <w:tcW w:w="5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38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1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jc w:val="both"/>
        <w:spacing w:after="0" w:line="223" w:lineRule="auto"/>
        <w:rPr>
          <w:sz w:val="20"/>
          <w:szCs w:val="20"/>
          <w:color w:val="auto"/>
        </w:rPr>
      </w:pPr>
      <w:r>
        <w:rPr>
          <w:rFonts w:ascii="Arial" w:cs="Arial" w:eastAsia="Arial" w:hAnsi="Arial"/>
          <w:sz w:val="18"/>
          <w:szCs w:val="18"/>
          <w:i w:val="1"/>
          <w:iCs w:val="1"/>
          <w:color w:val="auto"/>
        </w:rPr>
        <w:t>Certain statements included in this Annual Report on Form 10-K (this “Form 10-K”) may include “forward-looking statements” within the meaning of the U.S. federal securities laws, including the Private Securities Litigation Reform Act of 1995. Forward-looking statements are any statements other than statements of historical fact. Forward-looking statements represent current views about possible future events and are often identified by the use of forward-looking terminology, such as “may”, “will”, “expect”, “intend”, “estimate”, “anticipate”, “believe”, “project” or “continue” or the negative thereof or other similar words. Forward-looking statements are subject to certain risks, uncertainties and assumptions. In the event that one or more of such risks or uncertainties materialize, or one or more underlying assumptions prove incorrect, actual results may differ materially from those expressed or implied by the forward-looking statements.</w:t>
      </w:r>
    </w:p>
    <w:p>
      <w:pPr>
        <w:spacing w:after="0" w:line="10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i w:val="1"/>
          <w:iCs w:val="1"/>
          <w:color w:val="auto"/>
        </w:rPr>
        <w:t>Important factors and uncertainties that could cause actual results to differ materially from those expressed or implied by the forward-looking statements include, but are not limited to, the following: our ability to successfully develop new products that garner customer acceptance and generate sales, both domestically and internationally, in the face of substantial competition from competitors that have broader lines of products and greater financial resources; our ability to successfully transition our business towards the food service technology and casino and gaming markets; our ability to remediate the material weaknesses over internal control over financial reporting; risks associated with potential future acquisitions; our dependence on a significant customer; general economic conditions in the United States, Australia, New Zealand, Europe, Latin America and Asia; our dependence on contract manufacturers for the manufacturing and assembly of a large portion of our products in Asia; our dependence on significant suppliers; our ability to recruit and retain quality employees as the Company grows; our dependence on third parties for sales outside the United States, including Australia, New Zealand, Latin America and Asia; marketplace acceptance of new products; risks associated with foreign operations; the availability of third-party components at reasonable prices; price wars or other significant pricing pressures affecting the Company's products in the United States or abroad; increased product costs or reduced customer demand for our products due to changes in U.S. policy that may result in trade wars or tariffs; our ability to protect intellectual property; the effect on global economic conditions, financial markets and our business from the United Kingdom’s withdrawal from the European Union; and other risk factors detailed from time to time in the Company’s reports filed with the Securities and Exchange Commission.</w:t>
      </w:r>
    </w:p>
    <w:p>
      <w:pPr>
        <w:spacing w:after="0" w:line="9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We caution readers not to place undue reliance on forward-looking statements, which speak only as of the date of this Form 10-K. We undertake no obligation to public publicly or otherwise revise any forward-looking statements, whether as a result of new information, future events or other factors, except where we are expressly required to do so by law.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jc w:val="both"/>
        <w:spacing w:after="0" w:line="218" w:lineRule="auto"/>
        <w:rPr>
          <w:sz w:val="20"/>
          <w:szCs w:val="20"/>
          <w:color w:val="auto"/>
        </w:rPr>
      </w:pPr>
      <w:r>
        <w:rPr>
          <w:rFonts w:ascii="Arial" w:cs="Arial" w:eastAsia="Arial" w:hAnsi="Arial"/>
          <w:sz w:val="18"/>
          <w:szCs w:val="18"/>
          <w:color w:val="auto"/>
        </w:rPr>
        <w:t>TransAct Technologies Incorporated (together with its consolidated subsidiaries, “TransAct”, the “Company”, “we”, “us”, or “our”) was incorporated in June 1996 and began operating as a stand-alone business in August 1996 as a spin-off of the printer business that was formerly conducted by certain subsidiaries of Tridex Corporation. We completed an initial public offering on August 22, 1996.</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 xml:space="preserve">TransAct is a global leader in developing and selling software-driven technology and printing solutions for high growth markets including food service technology, point of sale (“POS”) automation and banking, casino and gaming, lottery, and oil and gas. Our world-class products are designed from the ground up based on market and customer requirements and are sold under the BOHA!™, AccuDate™, Epic®, EPICENTRAL™, Ithaca®, and Printrex® brand names. In March 2019, we launched a new line of products for the food service technology market, the BOHA! branded suite of cloud-based applications and companion hardware solutions. The new BOHA! software and hardware products help restaurants and food service operators of all sizes automate the food production operations in the back-of-house operations. Known and respected worldwide for innovative designs and real-world service reliability, our thermal and inkjet printers and terminals generate top-quality labels, coupons and transaction records such as receipts, tickets and other documents, as well as printed logging and plotting of data. We sell our technology to original equipment manufacturers (“OEMs”), value-added resellers, select distributors, as well as directly to end-users. Our product distribution spans across the Americas, Europe, the Middle East, Africa, Asia, Australia, New Zealand, Latin America, the Caribbean Islands and the South Pacific. We also offer world-class service, support, labels, spare parts, accessories and printing supplies to our growing worldwide base of products currently in use by our customers. Through our TransAct Services Group (“TSG”), we provide a complete range of supplies and consumables used in the printing and scanning activities of customers in the restaurant and hospitality, banking, retail, casino and gaming, government and oil and gas exploration markets. Through our webstore, </w:t>
      </w:r>
      <w:r>
        <w:rPr>
          <w:rFonts w:ascii="Arial" w:cs="Arial" w:eastAsia="Arial" w:hAnsi="Arial"/>
          <w:sz w:val="17"/>
          <w:szCs w:val="17"/>
          <w:u w:val="single" w:color="auto"/>
          <w:color w:val="auto"/>
        </w:rPr>
        <w:t>www.transactsupplies.com</w:t>
      </w:r>
      <w:r>
        <w:rPr>
          <w:rFonts w:ascii="Arial" w:cs="Arial" w:eastAsia="Arial" w:hAnsi="Arial"/>
          <w:sz w:val="17"/>
          <w:szCs w:val="17"/>
          <w:color w:val="auto"/>
        </w:rPr>
        <w:t>, and our direct selling team, we address the demand for these products. Our primary operating, hardware research and development, and eastern region service center is located in Ithaca, New York. In addition, we have a casino and gaming sales headquarters, software research and development and western region service center in Las Vegas, Nevada; a European sales and service center at our subsidiary in the United Kingdom (“UK”); and a sales office located in Macau, China. Our executive offices are located at One Hamden Center, 2319 Whitney Avenue, Suite 3B, Hamden, Connecticut, 06518, with a telephone number of (203) 859-6800.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Services and Distribution Methods</w:t>
      </w:r>
    </w:p>
    <w:p>
      <w:pPr>
        <w:spacing w:after="0" w:line="148" w:lineRule="exact"/>
        <w:rPr>
          <w:sz w:val="20"/>
          <w:szCs w:val="20"/>
          <w:color w:val="auto"/>
        </w:rPr>
      </w:pPr>
    </w:p>
    <w:p>
      <w:pPr>
        <w:jc w:val="both"/>
        <w:spacing w:after="0" w:line="241" w:lineRule="auto"/>
        <w:rPr>
          <w:sz w:val="20"/>
          <w:szCs w:val="20"/>
          <w:color w:val="auto"/>
        </w:rPr>
      </w:pPr>
      <w:r>
        <w:rPr>
          <w:rFonts w:ascii="Arial" w:cs="Arial" w:eastAsia="Arial" w:hAnsi="Arial"/>
          <w:sz w:val="16"/>
          <w:szCs w:val="16"/>
          <w:b w:val="1"/>
          <w:bCs w:val="1"/>
          <w:i w:val="1"/>
          <w:iCs w:val="1"/>
          <w:color w:val="auto"/>
        </w:rPr>
        <w:t xml:space="preserve">Printers, terminals and other hardware: </w:t>
      </w:r>
      <w:r>
        <w:rPr>
          <w:rFonts w:ascii="Arial" w:cs="Arial" w:eastAsia="Arial" w:hAnsi="Arial"/>
          <w:sz w:val="16"/>
          <w:szCs w:val="16"/>
          <w:color w:val="auto"/>
        </w:rPr>
        <w:t>TransAct designs, develops and markets a broad array of transaction-based and specialty printers and terminals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utilizing thermal and inkjet printing technology for applications, primarily in the food service technology, POS automation and banking, casino and gaming, lottery, and oil and gas printing markets. Our printers and terminals are configurable and offer customers the ability to choose from a variety of features and functions. Options typically include interface configuration, mounting configuration, paper cutting devices, paper handling capacities and cabinetry color. Our food service technology terminals also offer software configurable menu options. Our food service technology market also includes sales of hardware products including handheld devices, tablets, temperature probes and temperature sensors and gateways.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spacing w:after="0" w:line="233" w:lineRule="auto"/>
        <w:rPr>
          <w:sz w:val="20"/>
          <w:szCs w:val="20"/>
          <w:color w:val="auto"/>
        </w:rPr>
      </w:pPr>
      <w:r>
        <w:rPr>
          <w:rFonts w:ascii="Arial" w:cs="Arial" w:eastAsia="Arial" w:hAnsi="Arial"/>
          <w:sz w:val="16"/>
          <w:szCs w:val="16"/>
          <w:b w:val="1"/>
          <w:bCs w:val="1"/>
          <w:i w:val="1"/>
          <w:iCs w:val="1"/>
          <w:color w:val="auto"/>
        </w:rPr>
        <w:t xml:space="preserve">Food Service Technology: </w:t>
      </w:r>
      <w:r>
        <w:rPr>
          <w:rFonts w:ascii="Arial" w:cs="Arial" w:eastAsia="Arial" w:hAnsi="Arial"/>
          <w:sz w:val="16"/>
          <w:szCs w:val="16"/>
          <w:color w:val="auto"/>
        </w:rPr>
        <w:t>The primary offering in the food service technology market is our BOHA! ecosystem, which combines our latest generation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terminal, cloud-based software applications and related hardware into a unique solution to automate operations with food production in the back-of-house operations in restaurants and food service operations. The software component of BOHA! consists of a suite of software-as-a-service (“SaaS”)-based applications, including applications for inventory management, temperature monitoring of food and equipment, timers, food safety labeling, food recalls, checklists and procedures, equipment service management, and delivery management. Any and all these applications can be chosen by our customer and packaged into a single platform with the associated hardware, which includes the BOHA! terminal, handheld devices, tablets, temperature probes and temperature sensors and gateways. The BOHA! terminal combines the software and hardware components in a device that includes an operating system, touchscreen and one or two thermal print mechanisms that print easy-to-read food rotation labels, grab and go labels for prepared foods, nutritional labels and “enjoy by” date labels. The BOHA! terminal is equipped with the TransAct Enterprise Management System to ensure that only approved applications and functions are available on the device and allows over-the-air updates to the applications and operating system. BOHA! helps food service establishments and restaurants (including fine dining, casual dining, fast casual and quick-serve restaurants, convenience stores, hospitality establishments and contract food service providers) effectively manage food safety and grab-and-go initiatives, as well as automate and manage back-of-house operations. Recurring revenue from BOHA! is generated by software sales, including software subscriptions that are charged to customers upfront on a per-application basis, as well as sales of labels, extended warranty and service contracts, and technical support services. In the food service technology market, we use an internal sales force to solicit sales directly from end users.</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b w:val="1"/>
          <w:bCs w:val="1"/>
          <w:i w:val="1"/>
          <w:iCs w:val="1"/>
          <w:color w:val="auto"/>
        </w:rPr>
        <w:t xml:space="preserve">POS automation and banking: </w:t>
      </w:r>
      <w:r>
        <w:rPr>
          <w:rFonts w:ascii="Arial" w:cs="Arial" w:eastAsia="Arial" w:hAnsi="Arial"/>
          <w:sz w:val="16"/>
          <w:szCs w:val="16"/>
          <w:color w:val="auto"/>
        </w:rPr>
        <w:t>In the POS market, we sell several models of printers utilizing thermal printing technology. Our POS printers are used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by quick-serve restaurants located either at the checkout counter or within self-service kiosks to print receipts for consumers or print on linerless labels. In the POS market, we primarily sell our products through a network of domestic and international distributors and resellers. We use an internal sales force to manage sales through our distributors and resellers, as well as to solicit sales directly from end-users. In the banking market, we sold inkjet printers that are used by banks, credit unions and other financial institutions to print deposit and withdrawal receipts and to validate checks at bank teller stations. In the banking market, we primarily sold our products directly to end-user banks and financial institutions through our internal sales force and, to a lesser extent, resellers. We exited the banking market as of December 31, 2018 and therefore do not expect any future sales.</w:t>
      </w:r>
    </w:p>
    <w:p>
      <w:pPr>
        <w:spacing w:after="0" w:line="12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i w:val="1"/>
          <w:iCs w:val="1"/>
          <w:color w:val="auto"/>
        </w:rPr>
        <w:t xml:space="preserve">Casino and gaming: </w:t>
      </w:r>
      <w:r>
        <w:rPr>
          <w:rFonts w:ascii="Arial" w:cs="Arial" w:eastAsia="Arial" w:hAnsi="Arial"/>
          <w:sz w:val="16"/>
          <w:szCs w:val="16"/>
          <w:color w:val="auto"/>
        </w:rPr>
        <w:t>We sell several models of printers used in slot machines and video lottery terminals (“VLTs”) and other gaming machines that print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tickets or receipts instead of issuing coins (“ticket-in, ticket-out” or “TITO”) at casinos, racetracks and other gaming venues worldwide. These printers utilize thermal printing technology to print tickets and receipts in monochrome and offer various other features such as jam resistant bezels and a dual port interface that enables casinos to print coupons and promotions. In addition, we sell printers using thermal roll-fed printing technology for use in non-casino establishments, including game types such as Amusements with Prizes, Skills with Prizes, Fixed Odds Betting Terminals and other off-premise gaming type machines around the world. We sell our casino and gaming products primarily (1) to slot machine manufacturers, who incorporate our printers into slot machines and, in turn, sell completed slot machines directly to casinos and other gaming establishments and (2) through distributors. Prior to December 31, 2017, the Suzo-Happ Group was our primary worldwide distributor. However, effective January 1, 2018, we replaced the Suzo-Happ Group with new distributors in Asia and Australia and adopted a direct selling model in Europe utilizing our UK sales office. We also maintain a dedicated internal sales force to solicit sales from slot machine manufacturers and casinos, and to manage sales through our distributors.</w:t>
      </w:r>
    </w:p>
    <w:p>
      <w:pPr>
        <w:spacing w:after="0" w:line="121"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We also offer a software solution, the EPICENTRAL™ Print System (“EPICENTRAL™” and “EPICENTRAL® SE”), including annual software maintenance, that enables casino operators to create promotional coupons and marketing messages and to print them in real-time at the slot machine. With EPICENTRAL™, casinos can utilize the system to create multiple promotions and incentives to either increase customer time spent on the casino floor or encourage additional visits to generate more revenue to the casinos. In 2017, we introduced EPICENTRAL® SE, a system edition version of our software solution, that is specifically designed to work with the existing bonusing modules of casino slot machine management systems. In addition,</w:t>
      </w:r>
    </w:p>
    <w:p>
      <w:pPr>
        <w:jc w:val="both"/>
        <w:spacing w:after="0" w:line="185" w:lineRule="auto"/>
        <w:rPr>
          <w:sz w:val="20"/>
          <w:szCs w:val="20"/>
          <w:color w:val="auto"/>
        </w:rPr>
      </w:pPr>
      <w:r>
        <w:rPr>
          <w:rFonts w:ascii="Arial" w:cs="Arial" w:eastAsia="Arial" w:hAnsi="Arial"/>
          <w:sz w:val="18"/>
          <w:szCs w:val="18"/>
          <w:color w:val="auto"/>
        </w:rPr>
        <w:t>EPICENTRAL® SE provides an upgrade path to a full EPICENTRAL</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implementation in the event an operator seeks to expand its promotion and bonusing options beyond the slot machine management systems currently offered. In 2019 we introduced Epicentral 4.0, a cloud based version that also uses the new Acres 4.0 technology that provides Epicentral with true real time slot machine play data.</w:t>
      </w:r>
    </w:p>
    <w:p>
      <w:pPr>
        <w:spacing w:after="0" w:line="124" w:lineRule="exact"/>
        <w:rPr>
          <w:sz w:val="20"/>
          <w:szCs w:val="20"/>
          <w:color w:val="auto"/>
        </w:rPr>
      </w:pPr>
    </w:p>
    <w:p>
      <w:pPr>
        <w:jc w:val="both"/>
        <w:spacing w:after="0" w:line="232" w:lineRule="auto"/>
        <w:rPr>
          <w:sz w:val="20"/>
          <w:szCs w:val="20"/>
          <w:color w:val="auto"/>
        </w:rPr>
      </w:pPr>
      <w:r>
        <w:rPr>
          <w:rFonts w:ascii="Arial" w:cs="Arial" w:eastAsia="Arial" w:hAnsi="Arial"/>
          <w:sz w:val="17"/>
          <w:szCs w:val="17"/>
          <w:b w:val="1"/>
          <w:bCs w:val="1"/>
          <w:i w:val="1"/>
          <w:iCs w:val="1"/>
          <w:color w:val="auto"/>
        </w:rPr>
        <w:t xml:space="preserve">Lottery: </w:t>
      </w:r>
      <w:r>
        <w:rPr>
          <w:rFonts w:ascii="Arial" w:cs="Arial" w:eastAsia="Arial" w:hAnsi="Arial"/>
          <w:sz w:val="17"/>
          <w:szCs w:val="17"/>
          <w:color w:val="auto"/>
        </w:rPr>
        <w:t>Our lottery printers are designed for high-volume, high-speed printing of lottery tickets for various lottery applications. We primarily supply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lottery printers to International Gaming Technology and its subsidiaries (“IGT”), our largest customer and the world’s largest provider of lottery terminals. During 2019, we decided to exit this business and we expect our last sales to occur in 2020 and no future sales beyond 2020. Sales of our lottery products are made directly to IGT and other lottery system customers and are managed by an internal sales representative.</w:t>
      </w:r>
    </w:p>
    <w:p>
      <w:pPr>
        <w:spacing w:after="0" w:line="12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b w:val="1"/>
          <w:bCs w:val="1"/>
          <w:i w:val="1"/>
          <w:iCs w:val="1"/>
          <w:color w:val="auto"/>
        </w:rPr>
        <w:t xml:space="preserve">Printrex: </w:t>
      </w:r>
      <w:r>
        <w:rPr>
          <w:rFonts w:ascii="Arial" w:cs="Arial" w:eastAsia="Arial" w:hAnsi="Arial"/>
          <w:sz w:val="16"/>
          <w:szCs w:val="16"/>
          <w:color w:val="auto"/>
        </w:rPr>
        <w:t>Printrex printers include wide format, desktop and rack mounted and vehicle mounted black and white thermal printers used by customers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oil and gas exploration industry to log and plot oil field and down hole well drilling data. The Printrex® brand of printers also includes high-speed color inkjet desktop printers used by oil and gas field service companies to print logs at their data centers. Prior to 2019, revenue in this market also included sales of vehicle mounted printers used to print schematics and certain other critical information in emergency services vehicles and other mobile printing applications. We exited this market as of December 31, 2018 and do not expect any future sales. We primarily sell our Printrex® products directly to oil field service and drilling companies and OEM’s, as well as through regional distributors in the United States, Europe, Canada and Asia.</w:t>
      </w:r>
    </w:p>
    <w:p>
      <w:pPr>
        <w:spacing w:after="0" w:line="116" w:lineRule="exact"/>
        <w:rPr>
          <w:sz w:val="20"/>
          <w:szCs w:val="20"/>
          <w:color w:val="auto"/>
        </w:rPr>
      </w:pPr>
    </w:p>
    <w:p>
      <w:pPr>
        <w:jc w:val="both"/>
        <w:spacing w:after="0" w:line="242" w:lineRule="auto"/>
        <w:rPr>
          <w:sz w:val="20"/>
          <w:szCs w:val="20"/>
          <w:color w:val="auto"/>
        </w:rPr>
      </w:pPr>
      <w:r>
        <w:rPr>
          <w:rFonts w:ascii="Arial" w:cs="Arial" w:eastAsia="Arial" w:hAnsi="Arial"/>
          <w:sz w:val="16"/>
          <w:szCs w:val="16"/>
          <w:b w:val="1"/>
          <w:bCs w:val="1"/>
          <w:i w:val="1"/>
          <w:iCs w:val="1"/>
          <w:color w:val="auto"/>
        </w:rPr>
        <w:t>TSG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TSG, we proactively market the sale of consumable products (including inkjet cartridges, ribbons, receipt paper, color thermal paper,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printing supplies), replacement parts, maintenance and repair services and testing services for all of our products and certain competitor’s products. Our maintenance services include the sale of extended warranties, multi-year maintenance contracts, 24-hour guaranteed replacement product service called TransAct Xpress™ and other repair services for our printers and terminals. Within the United States, we provide repair services through our eastern region service center in Ithaca, New York and our western region service center in Las Vegas, Nevada. Internationally, we provide repair services through our European service center located in Doncaster, UK, and through partners strategically located around the world.</w:t>
      </w:r>
    </w:p>
    <w:p>
      <w:pPr>
        <w:spacing w:after="0" w:line="11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also provide customers with telephone sales and technical support, and a personal account representative to handle orders, shipping and general information. Technical and sales support personnel receive training on all our manufactured products and services.</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In addition to personalized telephone and technical support, we also market and sell consumable products 24 hours a day, seven days a week, via our online webstore, </w:t>
      </w:r>
      <w:r>
        <w:rPr>
          <w:rFonts w:ascii="Arial" w:cs="Arial" w:eastAsia="Arial" w:hAnsi="Arial"/>
          <w:sz w:val="18"/>
          <w:szCs w:val="18"/>
          <w:u w:val="single" w:color="auto"/>
          <w:color w:val="auto"/>
        </w:rPr>
        <w:t>www.transactsupplies.com</w:t>
      </w:r>
      <w:r>
        <w:rPr>
          <w:rFonts w:ascii="Arial" w:cs="Arial" w:eastAsia="Arial" w:hAnsi="Arial"/>
          <w:sz w:val="18"/>
          <w:szCs w:val="18"/>
          <w:color w:val="auto"/>
        </w:rPr>
        <w: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Sources and Availability of Raw Materials</w:t>
      </w:r>
    </w:p>
    <w:p>
      <w:pPr>
        <w:jc w:val="both"/>
        <w:spacing w:after="0" w:line="227" w:lineRule="auto"/>
        <w:rPr>
          <w:sz w:val="20"/>
          <w:szCs w:val="20"/>
          <w:color w:val="auto"/>
        </w:rPr>
      </w:pPr>
      <w:r>
        <w:rPr>
          <w:rFonts w:ascii="Arial" w:cs="Arial" w:eastAsia="Arial" w:hAnsi="Arial"/>
          <w:sz w:val="17"/>
          <w:szCs w:val="17"/>
          <w:color w:val="auto"/>
        </w:rPr>
        <w:t>We design our products to optimize product performance, quality, reliability and durability. These designs combine cost efficient materials, sourcing and assembly methods with high standards of workmanship. Approximately 99% of our printer and terminal production is primarily through two third-party contract manufacturers in Asia. The remaining 1% of our products are assembled in our Ithaca, New York facility largely on a configure-to-order basis using components and subassemblies that have been sourced from vendors and contract manufacturers around the world.</w:t>
      </w:r>
    </w:p>
    <w:p>
      <w:pPr>
        <w:spacing w:after="0" w:line="122"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We procure component parts and subassemblies for use in the assembly of our hardware products in Ithaca, New York. Critical component parts and subassemblies include thermal and inkjet print heads, printing/cutting mechanisms, power supplies, motors, injection molded plastic parts, LCD screens, circuit boards and electronic components, which are obtained from domestic and foreign suppliers at competitive prices. As a result of the majority of our production being performed by our contract manufacturers, the majority of our purchases consist of fully-assembled printers and terminals produced by our contract manufacturers and, to a much lesser extent, component parts. We typically strive to maintain more than one source for our component parts, subassemblies and fully assembled printers and terminals to reduce the risk of parts shortages or unavailability. However, we could experience temporary disruption if certain suppliers ceased doing business with us, as described below.</w:t>
      </w:r>
    </w:p>
    <w:p>
      <w:pPr>
        <w:spacing w:after="0" w:line="121"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We currently buy a majority of our thermal print mechanisms, an important component of our thermal printers, and fully assembled printers for several of our printer and food service technology terminal models, from one foreign contract manufacturer in China and to a lesser extent, one other foreign contract manufacturer in Thailand. Although we believe that other contract manufacturers could provide similar thermal print mechanisms or fully assembled printers and terminals, on comparable terms, a change in contract manufacturers could cause a delay in manufacturing and possible loss of sales, which may have a material adverse effect on our operating results. Although we do not have supply agreements with our foreign contract manufacturers, our relationship with both remain strong and we have no reason to believe that either will discontinue their supply of thermal print mechanisms or fully assembled printers to us during 2020 or that their terms to us will be substantially less favorable than they have been historically. Due to the impact from the Chinese tariff, we are seeking to increasingly transfer production from our largest contract manufacturer in China to our contract manufacturer in Thailand during 2020.</w:t>
      </w:r>
    </w:p>
    <w:p>
      <w:pPr>
        <w:spacing w:after="0" w:line="12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HP Inc. (“HP”) is the sole supplier of inkjet cartridges that are used in all our banking inkjet printers. Though we have exited the banking market as of December 31, 2018, we still sell a substantial number of HP inkjet cartridges as a consumable product through TSG. Although other inkjet cartridges are compatible with our banking inkjet printers, the loss of the supply of HP inkjet cartridges could have a material adverse effect on the sale of our TSG consumable products. Our relationship with HP remains stable and we have no reason to believe that HP will discontinue its supply of inkjet cartridges to us or that their terms to us will be materially different than they have been historically. The inkjet cartridges we purchase from HP are used not only in our inkjet printers for the POS automation and banking market, but also in other manufacturer’s printing devices across several other markets.</w:t>
      </w:r>
    </w:p>
    <w:p>
      <w:pPr>
        <w:spacing w:after="0" w:line="120"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Canon, Inc. (“Canon”) is the sole supplier of inkjet cartridges and other consumable items (“Canon Consumables”) that are used in our Printrex® 980 oil and gas printer. The loss of supply of Canon Consumables would have a material adverse effect on the sale of Printrex 980® printers and the Canon Consumables. We have a supply agreement with Canon to supply us with Canon Consumables until May 2020. Prices under this agreement were fixed through May 2013 but may be changed during the remainder of the agreement if the exchange rate fluctuates significantly between the Japanese yen and the U.S. dollar.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Information</w:t>
      </w:r>
    </w:p>
    <w:p>
      <w:pPr>
        <w:jc w:val="both"/>
        <w:spacing w:after="0" w:line="220" w:lineRule="auto"/>
        <w:rPr>
          <w:sz w:val="20"/>
          <w:szCs w:val="20"/>
          <w:color w:val="auto"/>
        </w:rPr>
      </w:pPr>
      <w:r>
        <w:rPr>
          <w:rFonts w:ascii="Arial" w:cs="Arial" w:eastAsia="Arial" w:hAnsi="Arial"/>
          <w:sz w:val="17"/>
          <w:szCs w:val="17"/>
          <w:color w:val="auto"/>
        </w:rPr>
        <w:t>TransAct relies on a combination of trade secrets, patents, employee and third-party nondisclosure agreements, copyright laws and contractual rights to establish and protect its proprietary rights in its products. We hold 36 United States and 37 foreign patents and have 8 United States and 3 foreign patent applications pending pertaining to our products. The duration of these patents range from 1 to 15 years. The expiration of any individual patent would not have a significant negative impact on our business. We regard certain manufacturing processes and designs to be proprietary and attempt to protect them through employee and third-party nondisclosure agreements and similar means. It may be possible for unauthorized third parties to copy certain portions of our products or to reverse engineer or otherwise obtain and use, to our detriment, information that we regard as proprietary. Moreover, the laws of some foreign countries do not afford the same protection to our proprietary rights as do the laws of the United States. There can be no assurance that legal protections we rely upon to protect our proprietary position will be adequate or that our competitors will not independently develop technologies that are substantially equivalent or superior to our technologies.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Service Marks and Copyrights</w:t>
      </w:r>
    </w:p>
    <w:p>
      <w:pPr>
        <w:jc w:val="both"/>
        <w:spacing w:after="0" w:line="228" w:lineRule="auto"/>
        <w:rPr>
          <w:sz w:val="20"/>
          <w:szCs w:val="20"/>
          <w:color w:val="auto"/>
        </w:rPr>
      </w:pPr>
      <w:r>
        <w:rPr>
          <w:rFonts w:ascii="Arial" w:cs="Arial" w:eastAsia="Arial" w:hAnsi="Arial"/>
          <w:sz w:val="16"/>
          <w:szCs w:val="16"/>
          <w:color w:val="auto"/>
        </w:rPr>
        <w:t>We own or have rights to trademarks, service marks, trade names and copyrights that we use in connection with the operation of our business, including our corporate names, logos and website names. Other trademarks, service marks and trade names appearing in this Annual Report on Form 10-K are the</w:t>
      </w:r>
    </w:p>
    <w:p>
      <w:pPr>
        <w:spacing w:after="0" w:line="1" w:lineRule="exact"/>
        <w:rPr>
          <w:sz w:val="20"/>
          <w:szCs w:val="20"/>
          <w:color w:val="auto"/>
        </w:rPr>
      </w:pPr>
    </w:p>
    <w:p>
      <w:pPr>
        <w:jc w:val="both"/>
        <w:spacing w:after="0" w:line="189" w:lineRule="auto"/>
        <w:rPr>
          <w:sz w:val="20"/>
          <w:szCs w:val="20"/>
          <w:color w:val="auto"/>
        </w:rPr>
      </w:pPr>
      <w:r>
        <w:rPr>
          <w:rFonts w:ascii="Arial" w:cs="Arial" w:eastAsia="Arial" w:hAnsi="Arial"/>
          <w:sz w:val="18"/>
          <w:szCs w:val="18"/>
          <w:color w:val="auto"/>
        </w:rPr>
        <w:t>property of their respective owners. The trademarks we own include TransAct®, BOHA!</w:t>
      </w:r>
      <w:r>
        <w:rPr>
          <w:rFonts w:ascii="Arial" w:cs="Arial" w:eastAsia="Arial" w:hAnsi="Arial"/>
          <w:sz w:val="29"/>
          <w:szCs w:val="29"/>
          <w:color w:val="auto"/>
          <w:vertAlign w:val="superscript"/>
        </w:rPr>
        <w:t>TM</w:t>
      </w:r>
      <w:r>
        <w:rPr>
          <w:rFonts w:ascii="Arial" w:cs="Arial" w:eastAsia="Arial" w:hAnsi="Arial"/>
          <w:sz w:val="18"/>
          <w:szCs w:val="18"/>
          <w:color w:val="auto"/>
        </w:rPr>
        <w:t>, AccuDate™, Epic, EPICENTRAL™, Ithaca® and Printrex®. Solely for convenience, some of the trademarks, service marks, trade names and copyrights referred to in this annual report on Form 10-K are listed without the ©, ® and ™ symbols, but we will assert, to the fullest extent under applicable law, our rights to our trademarks, service marks, trade names and copyrights.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jc w:val="both"/>
        <w:spacing w:after="0" w:line="226" w:lineRule="auto"/>
        <w:rPr>
          <w:sz w:val="20"/>
          <w:szCs w:val="20"/>
          <w:color w:val="auto"/>
        </w:rPr>
      </w:pPr>
      <w:r>
        <w:rPr>
          <w:rFonts w:ascii="Arial" w:cs="Arial" w:eastAsia="Arial" w:hAnsi="Arial"/>
          <w:sz w:val="18"/>
          <w:szCs w:val="18"/>
          <w:color w:val="auto"/>
        </w:rPr>
        <w:t>Restaurants typically reduce purchases of equipment in the fourth quarter due to the increased volume of transactions during the holiday period, which may negatively impact sales of our food service technology terminals or POS printers.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jc w:val="both"/>
        <w:spacing w:after="0" w:line="218" w:lineRule="auto"/>
        <w:rPr>
          <w:sz w:val="20"/>
          <w:szCs w:val="20"/>
          <w:color w:val="auto"/>
        </w:rPr>
      </w:pPr>
      <w:r>
        <w:rPr>
          <w:rFonts w:ascii="Arial" w:cs="Arial" w:eastAsia="Arial" w:hAnsi="Arial"/>
          <w:sz w:val="18"/>
          <w:szCs w:val="18"/>
          <w:color w:val="auto"/>
        </w:rPr>
        <w:t>Inventory, accounts receivable, and accounts payable levels, payment terms, and where applicable, return policies are in accordance with the general practices of the industry and standard business procedures. See also Item 7. Management’s Discussion and Analysis of Financial Condition and Results of Operations.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Certain Significant Customers</w:t>
      </w:r>
    </w:p>
    <w:p>
      <w:pPr>
        <w:jc w:val="both"/>
        <w:spacing w:after="0" w:line="212" w:lineRule="auto"/>
        <w:rPr>
          <w:sz w:val="20"/>
          <w:szCs w:val="20"/>
          <w:color w:val="auto"/>
        </w:rPr>
      </w:pPr>
      <w:r>
        <w:rPr>
          <w:rFonts w:ascii="Arial" w:cs="Arial" w:eastAsia="Arial" w:hAnsi="Arial"/>
          <w:sz w:val="18"/>
          <w:szCs w:val="18"/>
          <w:color w:val="auto"/>
        </w:rPr>
        <w:t>IGT is our most significant customer and has been since 1995. We sell both on-line lottery printers and casino and gaming printers to IGT. On May 29, 2015, we signed an agreement with IGT to sell on-line lottery and casino printers to IGT on a non-exclusive basis through December 31, 2019. We decided not to renew the agreement upon its expiration and to exit the on-line lottery market. Although we no longer have an agreement with IGT, we expect to continue selling casino and gaming printers to IGT in the future but will no longer sell on-line lottery printers other than expected last time purchases by IGT in 2020.</w:t>
      </w:r>
    </w:p>
    <w:p>
      <w:pPr>
        <w:spacing w:after="0" w:line="123" w:lineRule="exact"/>
        <w:rPr>
          <w:sz w:val="20"/>
          <w:szCs w:val="20"/>
          <w:color w:val="auto"/>
        </w:rPr>
      </w:pPr>
    </w:p>
    <w:p>
      <w:pPr>
        <w:ind w:right="1440"/>
        <w:spacing w:after="0" w:line="314" w:lineRule="auto"/>
        <w:rPr>
          <w:sz w:val="20"/>
          <w:szCs w:val="20"/>
          <w:color w:val="auto"/>
        </w:rPr>
      </w:pPr>
      <w:r>
        <w:rPr>
          <w:rFonts w:ascii="Arial" w:cs="Arial" w:eastAsia="Arial" w:hAnsi="Arial"/>
          <w:sz w:val="18"/>
          <w:szCs w:val="18"/>
          <w:color w:val="auto"/>
        </w:rPr>
        <w:t xml:space="preserve">Sales to IGT represented 14%, 18% and 35% of our total net sales for the years ended December 31, 2019, 2018 and 2017, respectively. </w:t>
      </w:r>
      <w:r>
        <w:rPr>
          <w:rFonts w:ascii="Arial" w:cs="Arial" w:eastAsia="Arial" w:hAnsi="Arial"/>
          <w:sz w:val="18"/>
          <w:szCs w:val="18"/>
          <w:b w:val="1"/>
          <w:bCs w:val="1"/>
          <w:color w:val="auto"/>
        </w:rPr>
        <w:t>Backlog</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Our backlog of firm orders was approximately $5.7 million as of February 29, 2020, compared to $6.9 million as of February 28, 2019. Based on customers’ current delivery requirements, we expect to fill and recognize as revenue $5.4 million of our current backlog during 2020, $0.2 million during 2021 and the remaining balance of the amount during 2022.</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jc w:val="both"/>
        <w:spacing w:after="0" w:line="205" w:lineRule="auto"/>
        <w:rPr>
          <w:sz w:val="20"/>
          <w:szCs w:val="20"/>
          <w:color w:val="auto"/>
        </w:rPr>
      </w:pPr>
      <w:r>
        <w:rPr>
          <w:rFonts w:ascii="Arial" w:cs="Arial" w:eastAsia="Arial" w:hAnsi="Arial"/>
          <w:sz w:val="17"/>
          <w:szCs w:val="17"/>
          <w:color w:val="auto"/>
        </w:rPr>
        <w:t>The market for transaction-based and specialty printers and food service technology terminals is extremely competitive, and we expect such competition to continue in the future. However, we experience less competition for EPICENTRAL</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software due to the highly customized nature of the product. We compete with a number of companies, many of which have greater financial, technical and marketing resources than TransAct. We believe our ability to compete successfully depends on a number of factors both within and outside our control, including durability, reliability, quality, design capability, product customization, price, customer support, success in developing new products, manufacturing expertise and capacity, supply of component parts and materials, strategic relationships with suppliers, the timing of new product introductions by us and our competitors, general market, economic and political conditions and, in some cases, the uniqueness of our products.</w:t>
      </w:r>
    </w:p>
    <w:p>
      <w:pPr>
        <w:spacing w:after="0" w:line="12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 the food service technology market, we primarily compete with Avery Dennison Corporation, Ecolab Inc., ITD Food Safety, CMC Daymark, Integrated Control Corp, Digi International, Squadle Inc., Jolt Software and Zenput. We compete in this market based largely on our ability to provide highly specialized software and purpose-built products and ongoing technical support.</w:t>
      </w:r>
    </w:p>
    <w:p>
      <w:pPr>
        <w:spacing w:after="0" w:line="12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In the POS automation and banking market, we primarily compete with Epson America, Inc., which holds a dominant market position. We also compete, to a much lesser extent, with CognitiveTPG, Star Micronics America, Inc., Citizen -- CBM America Corporation, Pertech Industries, Inc., Addmaster, and Samsung/Bixolon. Certain competitors of ours have greater financial resources and lower costs attributable to higher volume production which enables them to occasionally offer lower prices than us. However, we have exited the banking market and will continue to deemphasize efforts in the POS automation market going forward as we have shifted our focus toward our higher-value, technology enabled food service technology and casino and gaming products.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casino and gaming market (consisting principally of slot machine printing, VLT transaction printing and promotional coupon printing), we compete with several companies including JCM Global, Nanoptix, Inc., Custom Engineering SPA, Eurocoin and others. Certain of our products sold for casino and gaming applications compete based upon our ability to provide highly specialized products, custom engineering and ongoing technical support.</w:t>
      </w:r>
    </w:p>
    <w:p>
      <w:pPr>
        <w:spacing w:after="0" w:line="10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 the lottery market (consisting principally of on-line lottery transaction printing), we compete with other lottery printer providers such as Custom Engineering SPA, Star Micronics and Wincor Nixdorf. However, we have exited the lottery market going forward as we have shifted our focus toward our higher-value, technology enabled food service technology and casino and gaming products.</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the oil and gas market, our Printrex® products compete primarily with the products of Imaging Systems Group, Inc. and Neuralog Inc. We compete in this market based largely on our ability to provide specialized, custom-engineered products.</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market in which TSG competes is highly fragmented, and we compete with numerous competitors of various sizes, including POS and internet resellers and paper converters depending on the geographic area.</w:t>
      </w:r>
    </w:p>
    <w:p>
      <w:pPr>
        <w:spacing w:after="0" w:line="125" w:lineRule="exact"/>
        <w:rPr>
          <w:sz w:val="20"/>
          <w:szCs w:val="20"/>
          <w:color w:val="auto"/>
        </w:rPr>
      </w:pPr>
    </w:p>
    <w:p>
      <w:pPr>
        <w:jc w:val="both"/>
        <w:spacing w:after="0" w:line="207" w:lineRule="auto"/>
        <w:rPr>
          <w:sz w:val="20"/>
          <w:szCs w:val="20"/>
          <w:color w:val="auto"/>
        </w:rPr>
      </w:pPr>
      <w:r>
        <w:rPr>
          <w:rFonts w:ascii="Arial" w:cs="Arial" w:eastAsia="Arial" w:hAnsi="Arial"/>
          <w:sz w:val="17"/>
          <w:szCs w:val="17"/>
          <w:color w:val="auto"/>
        </w:rPr>
        <w:t>Our strategy for competing in our markets is to continually develop new products (hardware and software), such as BOHA!</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in 2019, and product line extensions that are technologically advanced and provide differentiated features and functions, to increase our geographic market penetration, to take advantage of strategic relationships, and to lower the cost of our products by sourcing certain products overseas. Although we believe that our products, operations and relationships provide a competitive foundation, there can be no assurance that we will compete successfully in the future. In addition, our products utilize certain thermal and inkjet printing technologies. If new technologies are introduced, or existing technologies evolve, we may be required to incorporate these technologies into our products. Alternatively, if such technologies were to become available to our competitors, our products could become obsolete, which could have a significant negative impact on our business.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 Compliance</w:t>
      </w:r>
    </w:p>
    <w:p>
      <w:pPr>
        <w:jc w:val="both"/>
        <w:spacing w:after="0" w:line="218" w:lineRule="auto"/>
        <w:rPr>
          <w:sz w:val="20"/>
          <w:szCs w:val="20"/>
          <w:color w:val="auto"/>
        </w:rPr>
      </w:pPr>
      <w:r>
        <w:rPr>
          <w:rFonts w:ascii="Arial" w:cs="Arial" w:eastAsia="Arial" w:hAnsi="Arial"/>
          <w:sz w:val="18"/>
          <w:szCs w:val="18"/>
          <w:color w:val="auto"/>
        </w:rPr>
        <w:t>Our compliance with federal, state and local laws and regulations relating to environmental protection and discharge of hazardous materials has not had a material impact on our capital expenditures, earnings or competitive position, and we do not anticipate any material impact from such compliance in the future.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jc w:val="both"/>
        <w:spacing w:after="0" w:line="210" w:lineRule="auto"/>
        <w:rPr>
          <w:sz w:val="20"/>
          <w:szCs w:val="20"/>
          <w:color w:val="auto"/>
        </w:rPr>
      </w:pPr>
      <w:r>
        <w:rPr>
          <w:rFonts w:ascii="Arial" w:cs="Arial" w:eastAsia="Arial" w:hAnsi="Arial"/>
          <w:sz w:val="18"/>
          <w:szCs w:val="18"/>
          <w:color w:val="auto"/>
        </w:rPr>
        <w:t>We make available free of charge through the “Investor Relations” tab on our Internet website, www.transact-tech.com, our Annual Report on Form 10-K, quarterly reports on Form 10-Q, current reports on Form 8-K, proxy statements and all amendments to those reports and statements as soon as reasonably practicable after such material is electronically filed with or furnished to the Securities and Exchange Commission (“SEC”) pursuant to Sections 13(a) or 15(d) of the Exchange Act. The SEC maintains reports, proxy and information statements, and other information regarding issuers that file electronically with the SEC at http;//www.sec.gov. The content on any website referred to in this Form 10-K is not incorporated by reference in this Form 10-K unless expressly noted.</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Employees</w:t>
      </w:r>
    </w:p>
    <w:p>
      <w:pPr>
        <w:jc w:val="both"/>
        <w:ind w:right="20"/>
        <w:spacing w:after="0" w:line="226" w:lineRule="auto"/>
        <w:rPr>
          <w:sz w:val="20"/>
          <w:szCs w:val="20"/>
          <w:color w:val="auto"/>
        </w:rPr>
      </w:pPr>
      <w:r>
        <w:rPr>
          <w:rFonts w:ascii="Arial" w:cs="Arial" w:eastAsia="Arial" w:hAnsi="Arial"/>
          <w:sz w:val="18"/>
          <w:szCs w:val="18"/>
          <w:color w:val="auto"/>
        </w:rPr>
        <w:t>As of December 31, 2019, TransAct and our subsidiaries employed 134 persons, all of whom were full-time employees. None of our employees are unionized, and we consider our relationships with our employees to be good.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following is a list of the names and ages of all executive officers of the registrant, indicating all positions and offices with the registrant held by each such person and each person’s principal occupations and employment during at least the past five years.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20" w:type="dxa"/>
            <w:vAlign w:val="bottom"/>
            <w:gridSpan w:val="2"/>
          </w:tcPr>
          <w:p>
            <w:pPr>
              <w:ind w:left="400"/>
              <w:spacing w:after="0"/>
              <w:rPr>
                <w:sz w:val="20"/>
                <w:szCs w:val="20"/>
                <w:color w:val="auto"/>
              </w:rPr>
            </w:pPr>
            <w:r>
              <w:rPr>
                <w:rFonts w:ascii="Arial" w:cs="Arial" w:eastAsia="Arial" w:hAnsi="Arial"/>
                <w:sz w:val="18"/>
                <w:szCs w:val="18"/>
                <w:b w:val="1"/>
                <w:bCs w:val="1"/>
                <w:color w:val="auto"/>
              </w:rPr>
              <w:t>Age</w:t>
            </w:r>
          </w:p>
        </w:tc>
        <w:tc>
          <w:tcPr>
            <w:tcW w:w="696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148"/>
        </w:trPr>
        <w:tc>
          <w:tcPr>
            <w:tcW w:w="2940" w:type="dxa"/>
            <w:vAlign w:val="bottom"/>
            <w:tcBorders>
              <w:top w:val="single" w:sz="8" w:color="auto"/>
            </w:tcBorders>
          </w:tcPr>
          <w:p>
            <w:pPr>
              <w:spacing w:after="0" w:line="149" w:lineRule="exact"/>
              <w:rPr>
                <w:sz w:val="20"/>
                <w:szCs w:val="20"/>
                <w:color w:val="auto"/>
              </w:rPr>
            </w:pPr>
            <w:r>
              <w:rPr>
                <w:rFonts w:ascii="Arial" w:cs="Arial" w:eastAsia="Arial" w:hAnsi="Arial"/>
                <w:sz w:val="17"/>
                <w:szCs w:val="17"/>
                <w:color w:val="auto"/>
              </w:rPr>
              <w:t>Bart C. Shuldman</w:t>
            </w:r>
          </w:p>
        </w:tc>
        <w:tc>
          <w:tcPr>
            <w:tcW w:w="120" w:type="dxa"/>
            <w:vAlign w:val="bottom"/>
          </w:tcPr>
          <w:p>
            <w:pPr>
              <w:spacing w:after="0"/>
              <w:rPr>
                <w:sz w:val="12"/>
                <w:szCs w:val="12"/>
                <w:color w:val="auto"/>
              </w:rPr>
            </w:pPr>
          </w:p>
        </w:tc>
        <w:tc>
          <w:tcPr>
            <w:tcW w:w="11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7"/>
                <w:szCs w:val="17"/>
                <w:color w:val="auto"/>
              </w:rPr>
              <w:t>62</w:t>
            </w:r>
          </w:p>
        </w:tc>
        <w:tc>
          <w:tcPr>
            <w:tcW w:w="100" w:type="dxa"/>
            <w:vAlign w:val="bottom"/>
          </w:tcPr>
          <w:p>
            <w:pPr>
              <w:spacing w:after="0"/>
              <w:rPr>
                <w:sz w:val="12"/>
                <w:szCs w:val="12"/>
                <w:color w:val="auto"/>
              </w:rPr>
            </w:pPr>
          </w:p>
        </w:tc>
        <w:tc>
          <w:tcPr>
            <w:tcW w:w="6960" w:type="dxa"/>
            <w:vAlign w:val="bottom"/>
            <w:tcBorders>
              <w:top w:val="single" w:sz="8" w:color="auto"/>
            </w:tcBorders>
          </w:tcPr>
          <w:p>
            <w:pPr>
              <w:spacing w:after="0" w:line="149" w:lineRule="exact"/>
              <w:rPr>
                <w:sz w:val="20"/>
                <w:szCs w:val="20"/>
                <w:color w:val="auto"/>
              </w:rPr>
            </w:pPr>
            <w:r>
              <w:rPr>
                <w:rFonts w:ascii="Arial" w:cs="Arial" w:eastAsia="Arial" w:hAnsi="Arial"/>
                <w:sz w:val="17"/>
                <w:szCs w:val="17"/>
                <w:color w:val="auto"/>
              </w:rPr>
              <w:t>Chairman of the Board and Chief Executive Officer</w:t>
            </w:r>
          </w:p>
        </w:tc>
      </w:tr>
      <w:tr>
        <w:trPr>
          <w:trHeight w:val="176"/>
        </w:trPr>
        <w:tc>
          <w:tcPr>
            <w:tcW w:w="3060" w:type="dxa"/>
            <w:vAlign w:val="bottom"/>
            <w:gridSpan w:val="2"/>
          </w:tcPr>
          <w:p>
            <w:pPr>
              <w:spacing w:after="0" w:line="176" w:lineRule="exact"/>
              <w:rPr>
                <w:sz w:val="20"/>
                <w:szCs w:val="20"/>
                <w:color w:val="auto"/>
              </w:rPr>
            </w:pPr>
            <w:r>
              <w:rPr>
                <w:rFonts w:ascii="Arial" w:cs="Arial" w:eastAsia="Arial" w:hAnsi="Arial"/>
                <w:sz w:val="18"/>
                <w:szCs w:val="18"/>
                <w:color w:val="auto"/>
              </w:rPr>
              <w:t>Steven A. DeMartino</w:t>
            </w:r>
          </w:p>
        </w:tc>
        <w:tc>
          <w:tcPr>
            <w:tcW w:w="12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50</w:t>
            </w:r>
          </w:p>
        </w:tc>
        <w:tc>
          <w:tcPr>
            <w:tcW w:w="6960" w:type="dxa"/>
            <w:vAlign w:val="bottom"/>
          </w:tcPr>
          <w:p>
            <w:pPr>
              <w:spacing w:after="0" w:line="176" w:lineRule="exact"/>
              <w:rPr>
                <w:sz w:val="20"/>
                <w:szCs w:val="20"/>
                <w:color w:val="auto"/>
              </w:rPr>
            </w:pPr>
            <w:r>
              <w:rPr>
                <w:rFonts w:ascii="Arial" w:cs="Arial" w:eastAsia="Arial" w:hAnsi="Arial"/>
                <w:sz w:val="18"/>
                <w:szCs w:val="18"/>
                <w:color w:val="auto"/>
              </w:rPr>
              <w:t>President, Chief Financial Officer, Treasurer and Secretary</w:t>
            </w:r>
          </w:p>
        </w:tc>
      </w:tr>
      <w:tr>
        <w:trPr>
          <w:trHeight w:val="175"/>
        </w:trPr>
        <w:tc>
          <w:tcPr>
            <w:tcW w:w="3060" w:type="dxa"/>
            <w:vAlign w:val="bottom"/>
            <w:gridSpan w:val="2"/>
          </w:tcPr>
          <w:p>
            <w:pPr>
              <w:spacing w:after="0" w:line="176" w:lineRule="exact"/>
              <w:rPr>
                <w:sz w:val="20"/>
                <w:szCs w:val="20"/>
                <w:color w:val="auto"/>
              </w:rPr>
            </w:pPr>
            <w:r>
              <w:rPr>
                <w:rFonts w:ascii="Arial" w:cs="Arial" w:eastAsia="Arial" w:hAnsi="Arial"/>
                <w:sz w:val="18"/>
                <w:szCs w:val="18"/>
                <w:color w:val="auto"/>
              </w:rPr>
              <w:t>Donald E. Brooks</w:t>
            </w:r>
          </w:p>
        </w:tc>
        <w:tc>
          <w:tcPr>
            <w:tcW w:w="12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67</w:t>
            </w:r>
          </w:p>
        </w:tc>
        <w:tc>
          <w:tcPr>
            <w:tcW w:w="6960" w:type="dxa"/>
            <w:vAlign w:val="bottom"/>
          </w:tcPr>
          <w:p>
            <w:pPr>
              <w:spacing w:after="0" w:line="176" w:lineRule="exact"/>
              <w:rPr>
                <w:sz w:val="20"/>
                <w:szCs w:val="20"/>
                <w:color w:val="auto"/>
              </w:rPr>
            </w:pPr>
            <w:r>
              <w:rPr>
                <w:rFonts w:ascii="Arial" w:cs="Arial" w:eastAsia="Arial" w:hAnsi="Arial"/>
                <w:sz w:val="18"/>
                <w:szCs w:val="18"/>
                <w:color w:val="auto"/>
              </w:rPr>
              <w:t>Senior Vice President-Engineering</w:t>
            </w:r>
          </w:p>
        </w:tc>
      </w:tr>
      <w:tr>
        <w:trPr>
          <w:trHeight w:val="176"/>
        </w:trPr>
        <w:tc>
          <w:tcPr>
            <w:tcW w:w="3060" w:type="dxa"/>
            <w:vAlign w:val="bottom"/>
            <w:gridSpan w:val="2"/>
          </w:tcPr>
          <w:p>
            <w:pPr>
              <w:spacing w:after="0" w:line="176" w:lineRule="exact"/>
              <w:rPr>
                <w:sz w:val="20"/>
                <w:szCs w:val="20"/>
                <w:color w:val="auto"/>
              </w:rPr>
            </w:pPr>
            <w:r>
              <w:rPr>
                <w:rFonts w:ascii="Arial" w:cs="Arial" w:eastAsia="Arial" w:hAnsi="Arial"/>
                <w:sz w:val="18"/>
                <w:szCs w:val="18"/>
                <w:color w:val="auto"/>
              </w:rPr>
              <w:t>Tracey S. Chernay</w:t>
            </w:r>
          </w:p>
        </w:tc>
        <w:tc>
          <w:tcPr>
            <w:tcW w:w="12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60</w:t>
            </w:r>
          </w:p>
        </w:tc>
        <w:tc>
          <w:tcPr>
            <w:tcW w:w="6960" w:type="dxa"/>
            <w:vAlign w:val="bottom"/>
          </w:tcPr>
          <w:p>
            <w:pPr>
              <w:spacing w:after="0" w:line="176" w:lineRule="exact"/>
              <w:rPr>
                <w:sz w:val="20"/>
                <w:szCs w:val="20"/>
                <w:color w:val="auto"/>
              </w:rPr>
            </w:pPr>
            <w:r>
              <w:rPr>
                <w:rFonts w:ascii="Arial" w:cs="Arial" w:eastAsia="Arial" w:hAnsi="Arial"/>
                <w:sz w:val="18"/>
                <w:szCs w:val="18"/>
                <w:color w:val="auto"/>
              </w:rPr>
              <w:t>Senior Vice President, Casino, Gaming and Lottery Sales</w:t>
            </w:r>
          </w:p>
        </w:tc>
      </w:tr>
      <w:tr>
        <w:trPr>
          <w:trHeight w:val="202"/>
        </w:trPr>
        <w:tc>
          <w:tcPr>
            <w:tcW w:w="3060" w:type="dxa"/>
            <w:vAlign w:val="bottom"/>
            <w:gridSpan w:val="2"/>
          </w:tcPr>
          <w:p>
            <w:pPr>
              <w:spacing w:after="0" w:line="201" w:lineRule="exact"/>
              <w:rPr>
                <w:sz w:val="20"/>
                <w:szCs w:val="20"/>
                <w:color w:val="auto"/>
              </w:rPr>
            </w:pPr>
            <w:r>
              <w:rPr>
                <w:rFonts w:ascii="Arial" w:cs="Arial" w:eastAsia="Arial" w:hAnsi="Arial"/>
                <w:sz w:val="18"/>
                <w:szCs w:val="18"/>
                <w:color w:val="auto"/>
              </w:rPr>
              <w:t>Andrew J. Hoffman</w:t>
            </w:r>
          </w:p>
        </w:tc>
        <w:tc>
          <w:tcPr>
            <w:tcW w:w="12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62</w:t>
            </w:r>
          </w:p>
        </w:tc>
        <w:tc>
          <w:tcPr>
            <w:tcW w:w="6960" w:type="dxa"/>
            <w:vAlign w:val="bottom"/>
          </w:tcPr>
          <w:p>
            <w:pPr>
              <w:spacing w:after="0" w:line="201" w:lineRule="exact"/>
              <w:rPr>
                <w:sz w:val="20"/>
                <w:szCs w:val="20"/>
                <w:color w:val="auto"/>
              </w:rPr>
            </w:pPr>
            <w:r>
              <w:rPr>
                <w:rFonts w:ascii="Arial" w:cs="Arial" w:eastAsia="Arial" w:hAnsi="Arial"/>
                <w:sz w:val="18"/>
                <w:szCs w:val="18"/>
                <w:color w:val="auto"/>
              </w:rPr>
              <w:t>Senior Vice President, Operations</w:t>
            </w:r>
          </w:p>
        </w:tc>
      </w:tr>
      <w:tr>
        <w:trPr>
          <w:trHeight w:val="203"/>
        </w:trPr>
        <w:tc>
          <w:tcPr>
            <w:tcW w:w="3060" w:type="dxa"/>
            <w:vAlign w:val="bottom"/>
            <w:gridSpan w:val="2"/>
          </w:tcPr>
          <w:p>
            <w:pPr>
              <w:spacing w:after="0" w:line="202" w:lineRule="exact"/>
              <w:rPr>
                <w:sz w:val="20"/>
                <w:szCs w:val="20"/>
                <w:color w:val="auto"/>
              </w:rPr>
            </w:pPr>
            <w:r>
              <w:rPr>
                <w:rFonts w:ascii="Arial" w:cs="Arial" w:eastAsia="Arial" w:hAnsi="Arial"/>
                <w:sz w:val="18"/>
                <w:szCs w:val="18"/>
                <w:color w:val="auto"/>
              </w:rPr>
              <w:t>David B. Peters</w:t>
            </w: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w:t>
            </w:r>
          </w:p>
        </w:tc>
        <w:tc>
          <w:tcPr>
            <w:tcW w:w="6960" w:type="dxa"/>
            <w:vAlign w:val="bottom"/>
          </w:tcPr>
          <w:p>
            <w:pPr>
              <w:spacing w:after="0" w:line="202" w:lineRule="exact"/>
              <w:rPr>
                <w:sz w:val="20"/>
                <w:szCs w:val="20"/>
                <w:color w:val="auto"/>
              </w:rPr>
            </w:pPr>
            <w:r>
              <w:rPr>
                <w:rFonts w:ascii="Arial" w:cs="Arial" w:eastAsia="Arial" w:hAnsi="Arial"/>
                <w:sz w:val="18"/>
                <w:szCs w:val="18"/>
                <w:color w:val="auto"/>
              </w:rPr>
              <w:t>Vice President and Chief Accounting Officer</w:t>
            </w: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Raymond T. Walsh, Jr.</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6960" w:type="dxa"/>
            <w:vAlign w:val="bottom"/>
          </w:tcPr>
          <w:p>
            <w:pPr>
              <w:spacing w:after="0"/>
              <w:rPr>
                <w:sz w:val="20"/>
                <w:szCs w:val="20"/>
                <w:color w:val="auto"/>
              </w:rPr>
            </w:pPr>
            <w:r>
              <w:rPr>
                <w:rFonts w:ascii="Arial" w:cs="Arial" w:eastAsia="Arial" w:hAnsi="Arial"/>
                <w:sz w:val="18"/>
                <w:szCs w:val="18"/>
                <w:color w:val="auto"/>
              </w:rPr>
              <w:t>Senior Vice President, Global Sales</w:t>
            </w:r>
          </w:p>
        </w:tc>
      </w:tr>
    </w:tbl>
    <w:p>
      <w:pPr>
        <w:spacing w:after="0" w:line="12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Bart C. Shuldman has been Chief Executive Officer, President and a Director of the Company since its formation in June 1996. In February 2001, Mr. Shuldman was elected Chairman of the Board. Mr. Shuldman relinquished the President title, effective June 1, 2010, to focus on new products and markets, international expansion and potential acquisitions.</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Steven A. DeMartino was named as TransAct’s President, Chief Financial Officer, Treasurer and Secretary on June 1, 2010. Previously, Mr. DeMartino served as Executive Vice President, Chief Financial Officer, Treasurer and Secretary from June 2004 to May 2010, Senior Vice President, Finance and Information Technology from October 2001 to May 2004, Vice President and Corporate Controller from January 1998 to October 2001, and Corporate Controller from August 1996 to December 1997. Mr. DeMartino is a certified public accountant.</w:t>
      </w:r>
    </w:p>
    <w:p>
      <w:pPr>
        <w:spacing w:after="0" w:line="122"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Donald E. Brooks was appointed Senior Vice President of Engineering in April 2012. Previously, Mr. Brooks served as Vice President, Engineering from September 2004 to April 2012, Senior Project Engineer from February 1998 to September 2004, Project Engineer from June 1997 to February 1998, Director of Electrical Engineering from March 1986 to June 1997 and Manager of Electronic Development from December 1983 to March 1986.</w:t>
      </w:r>
    </w:p>
    <w:p>
      <w:pPr>
        <w:spacing w:after="0" w:line="123"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Tracey S. Chernay was appointed Senior Vice President, Casino and Gaming Sales and Marketing in June 2010, with responsibility for the sales and marketing of all casino and gaming products. Previously, Ms. Chernay served as Senior Vice President, Sales and Marketing from June 2007 to May 2010, Senior Vice President, Marketing and Sales, POS and Banking with the Company from July 2006 to June 2007, and joined TransAct in May of 2005 as Senior Vice President, Marketing. Prior to joining TransAct, Ms. Chernay was employed with Xerox Corporation where she held the role of Manager, Worldwide Marketing since 2003, and Manager, Sales Operations from 2000 to 2002. She joined Xerox Corporation in 1983.</w:t>
      </w:r>
    </w:p>
    <w:p>
      <w:pPr>
        <w:spacing w:after="0" w:line="12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Andrew J. Hoffman was appointed Senior Vice President, Operations for TransAct worldwide in November 2004. He served as Vice President, Operations from September 1994 to November 2004.</w:t>
      </w:r>
    </w:p>
    <w:p>
      <w:pPr>
        <w:spacing w:after="0" w:line="12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David B. Peters was appointed Vice President and Chief Accounting Officer on March 1, 2018. Previously, Mr. Peters served as Director, SEC and Financial Reporting since joining TransAct in March 2014. Prior to joining TransAct, Mr. Peters was employed with United Technologies Corporation from November 2006 to March 2014 where he served in various financial management positions. Mr. Peters is a certified public accountant.</w:t>
      </w:r>
    </w:p>
    <w:p>
      <w:pPr>
        <w:spacing w:after="0" w:line="12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Raymond T. Walsh, Jr. was appointed Senior Vice President, Global Sales on February 27, 2019. Previously, Mr. Walsh served as Vice President, Global Sales since 2018. Mr. Walsh joined TransAct in 2006 and has held several sales positions of increasing responsibility with the Company. Prior to joining TransAct, Mr. Walsh served as the Senior Manager of Business Development at Nerac.</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There are no family relationships between any of our executive officers and there is no arrangement or understanding between any of such officers and any other person pursuant to which he or she was selected as an officer. Each of our executive officers was elected by the Board of Directors to hold office until his or her successor is elected and qualified or until his or her earlier resignation or removal.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Investors should carefully consider the risks, uncertainties and other factors described below, as well as other disclosures in Management’s Discussion and Analysis of Financial Condition and Results of Operations, because they could have a material adverse effect on our business, financial condition, operating results, and growth prospects. The risks described below are not the only ones facing our Company. Additional risks and uncertainties not presently known to us, or that we currently believe to be immaterial, may also impair our business operations. In the event that such risks or uncertainties materialize, our business, financial condition, and results of operations could be materially adversely affected.</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assume no obligation (and specifically disclaim any such obligation) to update these Risk Factors or any other forward-looking statements contained in this Form 10-K to reflect actual results, changes in assumptions or other factors affecting such forward-looking statements, except as required by law.</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and financial condition may fluctuate.</w:t>
      </w:r>
    </w:p>
    <w:p>
      <w:pPr>
        <w:jc w:val="both"/>
        <w:spacing w:after="0" w:line="212" w:lineRule="auto"/>
        <w:rPr>
          <w:sz w:val="20"/>
          <w:szCs w:val="20"/>
          <w:color w:val="auto"/>
        </w:rPr>
      </w:pPr>
      <w:r>
        <w:rPr>
          <w:rFonts w:ascii="Arial" w:cs="Arial" w:eastAsia="Arial" w:hAnsi="Arial"/>
          <w:sz w:val="18"/>
          <w:szCs w:val="18"/>
          <w:color w:val="auto"/>
        </w:rPr>
        <w:t>Our operating results and financial condition may fluctuate from quarter-to-quarter and year-to-year and are likely to continue to vary due to a number of factors, many of which are not within our control. If our operating results do not meet the expectations of securities analysts or investors, who may derive their expectations by extrapolating data from recent historical operating results, the market price of our common stock will likely decline. Fluctuations in our operating results and financial condition may be due to a number of factors, including, but not limited to, those identified throughout this “Risk Factors” section:</w:t>
      </w:r>
    </w:p>
    <w:p>
      <w:pPr>
        <w:spacing w:after="0" w:line="136" w:lineRule="exact"/>
        <w:rPr>
          <w:sz w:val="20"/>
          <w:szCs w:val="20"/>
          <w:color w:val="auto"/>
        </w:rPr>
      </w:pPr>
    </w:p>
    <w:p>
      <w:pPr>
        <w:ind w:left="1300" w:hanging="644"/>
        <w:spacing w:after="0" w:line="258"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between our expenditures to develop and market new or enhanced products and consumables and the generation of sales from those products;</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geographic distribution of our sales and our supply chain;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our products, both domestically and internationally;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 of new competitive products by others;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responses to price competition;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level of research and development activities;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the amount that we spend to develop, acquire or license new products, consumables, technologies or businesses;</w:t>
      </w:r>
    </w:p>
    <w:p>
      <w:pPr>
        <w:spacing w:after="0" w:line="20" w:lineRule="exact"/>
        <w:rPr>
          <w:rFonts w:ascii="Arial" w:cs="Arial" w:eastAsia="Arial" w:hAnsi="Arial"/>
          <w:sz w:val="17"/>
          <w:szCs w:val="17"/>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amount we spend to promote our products and services;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cost of satisfying our warranty obligations and servicing our installed base of products;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third-party components at reasonable prices;</w:t>
      </w:r>
    </w:p>
    <w:p>
      <w:pPr>
        <w:spacing w:after="0" w:line="9"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and industry conditions, including changes in interest rates affecting returns on cash balances and investments, that affect customer demand;</w:t>
      </w: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of world-wide oil and gas prices;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dependence of our supply chain on a few, foreign third-party manufacturers and suppliers;</w:t>
      </w:r>
    </w:p>
    <w:p>
      <w:pPr>
        <w:spacing w:after="0" w:line="9" w:lineRule="exact"/>
        <w:rPr>
          <w:rFonts w:ascii="Arial" w:cs="Arial" w:eastAsia="Arial" w:hAnsi="Arial"/>
          <w:sz w:val="18"/>
          <w:szCs w:val="18"/>
          <w:color w:val="auto"/>
        </w:rPr>
      </w:pPr>
    </w:p>
    <w:p>
      <w:pPr>
        <w:ind w:left="1300" w:right="20" w:hanging="644"/>
        <w:spacing w:after="0" w:line="250"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severe weather events, public health crises, and other external events out of our control that can disrupt our operations or the operations of our customers’ or suppliers’ facilities; and</w:t>
      </w: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accounting rules.</w:t>
      </w:r>
    </w:p>
    <w:p>
      <w:pPr>
        <w:spacing w:after="0" w:line="15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Due to all of the foregoing factors, and the other risks discussed in this Form 10-K, quarter-to-quarter comparisons of our operating results may not be an indicator of future performance.</w:t>
      </w:r>
    </w:p>
    <w:p>
      <w:pPr>
        <w:spacing w:after="0" w:line="121" w:lineRule="exact"/>
        <w:rPr>
          <w:sz w:val="20"/>
          <w:szCs w:val="20"/>
          <w:color w:val="auto"/>
        </w:rPr>
      </w:pPr>
    </w:p>
    <w:p>
      <w:pPr>
        <w:jc w:val="both"/>
        <w:ind w:right="20"/>
        <w:spacing w:after="0" w:line="225" w:lineRule="auto"/>
        <w:rPr>
          <w:sz w:val="20"/>
          <w:szCs w:val="20"/>
          <w:color w:val="auto"/>
        </w:rPr>
      </w:pPr>
      <w:r>
        <w:rPr>
          <w:rFonts w:ascii="Arial" w:cs="Arial" w:eastAsia="Arial" w:hAnsi="Arial"/>
          <w:sz w:val="17"/>
          <w:szCs w:val="17"/>
          <w:b w:val="1"/>
          <w:bCs w:val="1"/>
          <w:i w:val="1"/>
          <w:iCs w:val="1"/>
          <w:color w:val="auto"/>
        </w:rPr>
        <w:t>Our revenue and profitability depend on our ability to continue to develop, on a timely basis, new products and technologies which are free from hardware or software anomalies and cannot be fraudulently manipulated, and customer acceptance of such products.</w:t>
      </w:r>
    </w:p>
    <w:p>
      <w:pPr>
        <w:jc w:val="both"/>
        <w:spacing w:after="0" w:line="214" w:lineRule="auto"/>
        <w:rPr>
          <w:sz w:val="20"/>
          <w:szCs w:val="20"/>
          <w:color w:val="auto"/>
        </w:rPr>
      </w:pPr>
      <w:r>
        <w:rPr>
          <w:rFonts w:ascii="Arial" w:cs="Arial" w:eastAsia="Arial" w:hAnsi="Arial"/>
          <w:sz w:val="18"/>
          <w:szCs w:val="18"/>
          <w:color w:val="auto"/>
        </w:rPr>
        <w:t>Our success depends upon our ability to timely adapt our capabilities and processes to meet the demands of producing new and innovative products. Because our newer products contain software and generally are more technologically sophisticated than those we have produced in the past, we must continually refine our capabilities to meet the needs of our product innovation. If we cannot efficiently adapt our infrastructure to meet the needs of our product innovations in a timely manner, our business could be negatively impacted.</w:t>
      </w:r>
    </w:p>
    <w:p>
      <w:pPr>
        <w:spacing w:after="0" w:line="123"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In addition, even if we successfully develop such products, there is no assurance that our innovations will be accepted by our customers. Developing and marketing new products, such as our BOHA! ecosystem, is costly, and our business could be materially adversely affected if we are unable to generate sales of such products or if our existing or new customers do not quickly accept such products. Customer acceptance is crucial because new products typically have very little competition and market penetration due to their novelty. Although we develop new products with the input of our customers, which has contributed to the early success of BOHA!, customer acceptance is never assured may take time to materialize.</w:t>
      </w:r>
    </w:p>
    <w:p>
      <w:pPr>
        <w:spacing w:after="0" w:line="125"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We compete in highly competitive markets, which are likely to become more competitive. Competitors may be able to respond more quickly to new or emerging technology and changes in customer requirements.</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face significant competition in developing and selling our printers, terminals, software, consumables and services. Our principal competitors have substantial marketing, financial, development and personnel resources. To remain competitive, we believe we must continue to provide:</w:t>
      </w:r>
    </w:p>
    <w:p>
      <w:pPr>
        <w:spacing w:after="0" w:line="108"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technologically advanced products that satisfy the user demands;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superior customer service;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levels of quality and reliability;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dependable and efficient distribution networks.</w:t>
      </w:r>
    </w:p>
    <w:p>
      <w:pPr>
        <w:spacing w:after="0" w:line="157"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cannot ensure we will be able to compete successfully against current or future competitors. Increased competition may result in price reductions, lower gross profit margins and loss of market share, and could require increased spending on research and development, sales and marketing and customer support. Some competitors may make strategic acquisitions or establish cooperative relationships with suppliers or companies that produce complementary products. Any of these factors could reduce our earnings.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on our ability to sustain and manage growth.</w:t>
      </w:r>
    </w:p>
    <w:p>
      <w:pPr>
        <w:jc w:val="both"/>
        <w:spacing w:after="0" w:line="214" w:lineRule="auto"/>
        <w:rPr>
          <w:sz w:val="20"/>
          <w:szCs w:val="20"/>
          <w:color w:val="auto"/>
        </w:rPr>
      </w:pPr>
      <w:r>
        <w:rPr>
          <w:rFonts w:ascii="Arial" w:cs="Arial" w:eastAsia="Arial" w:hAnsi="Arial"/>
          <w:sz w:val="18"/>
          <w:szCs w:val="18"/>
          <w:color w:val="auto"/>
        </w:rPr>
        <w:t>As part of our business strategy, we intend to pursue a growth strategy. Assuming this growth occurs, it will require the expansion of customer relationships in international markets, the successful development and marketing of new products for our existing and new markets, expanded internal sales and marketing, customer service and support, and the continued implementation and improvement of our operational, financial and management information systems.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jc w:val="both"/>
        <w:spacing w:after="0" w:line="226" w:lineRule="auto"/>
        <w:rPr>
          <w:sz w:val="20"/>
          <w:szCs w:val="20"/>
          <w:color w:val="auto"/>
        </w:rPr>
      </w:pPr>
      <w:r>
        <w:rPr>
          <w:rFonts w:ascii="Arial" w:cs="Arial" w:eastAsia="Arial" w:hAnsi="Arial"/>
          <w:sz w:val="17"/>
          <w:szCs w:val="17"/>
          <w:color w:val="auto"/>
        </w:rPr>
        <w:t>To the extent that we seek growth through acquisitions, our ability to manage our growth will also depend on our ability to integrate businesses that have previously operated independently. We may not be able to achieve this integration without encountering difficulties or experiencing the loss of key employees, customers or suppliers. It may be difficult to design and implement effective financial controls for combined operations and differences in existing controls for each business may result in weaknesses that require remediation when the financial controls and reporting functions are combined. As we pursue acquisitions, we may incur legal, accounting and other transaction related expenses for unsuccessful acquisition attempts that could adversely affect our results of operations in the period in which they are incurred.</w:t>
      </w:r>
    </w:p>
    <w:p>
      <w:pPr>
        <w:spacing w:after="0" w:line="97"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There can be no assurance that we will be able to successfully implement our growth strategy, or that we can successfully manage expanded operations, if they occur. As we expand, we may from time to time experience constraints that will adversely affect our ability to satisfy customer demand in a timely fashion. Failure to manage growth effectively could adversely affect our results of operations and financial condition.</w:t>
      </w:r>
    </w:p>
    <w:p>
      <w:pPr>
        <w:spacing w:after="0" w:line="8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b w:val="1"/>
          <w:bCs w:val="1"/>
          <w:i w:val="1"/>
          <w:iCs w:val="1"/>
          <w:color w:val="auto"/>
        </w:rPr>
        <w:t>Material weaknesses in our internal control over financial reporting have been identified, and if we are unable to implement and maintain effective internal control over financial reporting, or our independent registered public accounting firm is unable to provide an unqualified report thereon, we could be materially adversely affected.</w:t>
      </w:r>
    </w:p>
    <w:p>
      <w:pPr>
        <w:spacing w:after="0" w:line="2"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Material weaknesses in our internal control over financial reporting existed as of December 31, 2018 and 2019 regarding our internal controls over user access to ensure appropriate segregation of duties and to adequately restrict user access to appropriate personnel. Specifically, the provisioning and user recertification controls are not designed to ensure users maintain proper segregation of duties and therefore could have inappropriate access rights. Additionally, we identified a material weakness in controls over key spreadsheets supporting our accounting records. Specifically, we did not design adequate controls to address the completeness and accuracy of information included in key spreadsheets. As a result of these material weaknesses, management concluded that our internal control over financial reporting was not effective as of December 31, 2019.</w:t>
      </w:r>
    </w:p>
    <w:p>
      <w:pPr>
        <w:spacing w:after="0" w:line="96"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Unless and until these material weaknesses have been remediated or should new material weaknesses arise or be discovered in the future, a material misstatement could occur and go undetected in our interim or annual consolidated financial statements. As a result, we may experience delays in fulfilling our reporting obligations or complying with federal securities laws, which could result in investigations and sanctions by regulatory authorities, including, but not limited to, the Securities and Exchange Commission (the “SEC”), and may result in defaults or accelerations under our credit facility in the event that we are unable to timely file reports with the SEC, to the extent that in such an event, we are unable to obtain waivers from our lender. Any of these results could adversely affect our business and the value of our common stock.</w:t>
      </w:r>
    </w:p>
    <w:p>
      <w:pPr>
        <w:spacing w:after="0" w:line="97"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In the casino and gaming market and the lottery market, we are dependent on sales to one large customer; the loss of this customer or reduction in orders from this customer could materially affect our sales.</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Lottery and, to a lesser extent, casino and gaming sales to IGT have represented a material percentage of our net sales since 1995. A reduction, delay or cancellation in orders from this customer, including reductions or delays due to market, economic, or competitive conditions in the industries in which we serve, could have a material adverse effect upon our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conditions could have a material adverse effect on our business, operating results and financial condition.</w:t>
      </w:r>
    </w:p>
    <w:p>
      <w:pPr>
        <w:jc w:val="both"/>
        <w:spacing w:after="0" w:line="210" w:lineRule="auto"/>
        <w:rPr>
          <w:sz w:val="20"/>
          <w:szCs w:val="20"/>
          <w:color w:val="auto"/>
        </w:rPr>
      </w:pPr>
      <w:r>
        <w:rPr>
          <w:rFonts w:ascii="Arial" w:cs="Arial" w:eastAsia="Arial" w:hAnsi="Arial"/>
          <w:sz w:val="18"/>
          <w:szCs w:val="18"/>
          <w:color w:val="auto"/>
        </w:rPr>
        <w:t>Our business is subject to general economic conditions. Uncertainty or negative trends in U.S. or international economic and investment climates, including the impact of Brexit and recent developments in U.S.-China trade relations (discussed separately below), could adversely affect our business. For example, customers or potential customers could reduce or delay orders, key suppliers and customers could become insolvent, which could result in production delays, and our customers may not be able to obtain credit. Any of these possible effects could impact our ability to effectively manage inventory levels and collect receivables, create unabsorbed costs due to lower net sales, and ultimately decrease our net sales and profitability including write-downs of assets.</w:t>
      </w:r>
    </w:p>
    <w:p>
      <w:pPr>
        <w:spacing w:after="0" w:line="126" w:lineRule="exact"/>
        <w:rPr>
          <w:sz w:val="20"/>
          <w:szCs w:val="20"/>
          <w:color w:val="auto"/>
        </w:rPr>
      </w:pPr>
    </w:p>
    <w:p>
      <w:pPr>
        <w:jc w:val="both"/>
        <w:spacing w:after="0" w:line="209" w:lineRule="auto"/>
        <w:rPr>
          <w:sz w:val="20"/>
          <w:szCs w:val="20"/>
          <w:color w:val="auto"/>
        </w:rPr>
      </w:pPr>
      <w:r>
        <w:rPr>
          <w:rFonts w:ascii="Arial" w:cs="Arial" w:eastAsia="Arial" w:hAnsi="Arial"/>
          <w:sz w:val="18"/>
          <w:szCs w:val="18"/>
          <w:b w:val="1"/>
          <w:bCs w:val="1"/>
          <w:i w:val="1"/>
          <w:iCs w:val="1"/>
          <w:color w:val="auto"/>
        </w:rPr>
        <w:t>Fluctuations in oil and gas prices could adversely affect drilling and exploration activities by oil and gas companies and our revenue in our Printrex market. If oil and gas prices remain volatile, or if oil or gas prices remain low or decline further, the demand for our Printrex products could be adversely affected.</w:t>
      </w:r>
    </w:p>
    <w:p>
      <w:pPr>
        <w:spacing w:after="0" w:line="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The demand for our Printrex products depends on the level of spending by oil and gas companies for drilling and exploratory activities, which are affected by short-term and long-term trends in oil and gas prices, including current and anticipated oil and gas prices. Oil and gas prices, as well as the level of drilling and exploration, historically have been extremely volatile and are expected to continue to be highly volatile. If oil and gas prices continue to remain low or decline further, or if there is a further reduction in drilling and exploration activities, the demand for our Printrex products could be materially and adversely affected.</w:t>
      </w:r>
    </w:p>
    <w:p>
      <w:pPr>
        <w:spacing w:after="0" w:line="123"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If market conditions deteriorate or future results of operations are less than expected, a valuation allowance may be required for all or a portion of our deferred tax assets.</w:t>
      </w:r>
    </w:p>
    <w:p>
      <w:pPr>
        <w:spacing w:after="0" w:line="1"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We currently have deferred tax assets, which may be used to reduce taxable income in the future. We assess the realization of these deferred tax assets on a quarterly basis, and if we determine that it is more likely than not that some portion of these assets will not be realized, an income tax valuation allowance is recorded. If market conditions deteriorate or future results of operations are less than expected, or there is a change to applicable tax rules, future assessments may result in a determination that it is more likely than not that some or all of our net deferred tax assets are not realizable. As a result, we may need to establish a valuation allowance for all or a portion of our net deferred tax assets, which may have a material adverse effect on our business, results of operations and financial condition.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distributors and resellers to sell our products and services.</w:t>
      </w:r>
    </w:p>
    <w:p>
      <w:pPr>
        <w:jc w:val="both"/>
        <w:ind w:right="20"/>
        <w:spacing w:after="0" w:line="226" w:lineRule="auto"/>
        <w:rPr>
          <w:sz w:val="20"/>
          <w:szCs w:val="20"/>
          <w:color w:val="auto"/>
        </w:rPr>
      </w:pPr>
      <w:r>
        <w:rPr>
          <w:rFonts w:ascii="Arial" w:cs="Arial" w:eastAsia="Arial" w:hAnsi="Arial"/>
          <w:sz w:val="18"/>
          <w:szCs w:val="18"/>
          <w:color w:val="auto"/>
        </w:rPr>
        <w:t>We use a variety of distribution channels, including OEMs and distributors, to market and sell our products and services. We may be adversely impacted by any conflicts that could arise between and among our various sales channels.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Our dependence upon distributors and resellers exposes us to numerous risks, including:</w:t>
      </w: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of channel and the ability to bring new products to market;</w:t>
      </w:r>
    </w:p>
    <w:p>
      <w:pPr>
        <w:spacing w:after="0" w:line="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concentration of credit risk, including disruption in distribution should the distributors and / or resellers’ financial condition deteriorate;</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visibility to end user demand and pricing issues which makes forecasting more difficult;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distributors or resellers leveraging their buying power to change the terms of pricing, payment and product delivery schedules; and</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direct competition should a distributor or reseller decide to manufacture printers internally or source printers from a competitor.</w:t>
      </w:r>
    </w:p>
    <w:p>
      <w:pPr>
        <w:spacing w:after="0" w:line="157"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We cannot guarantee that resellers will not reduce, delay or eliminate purchases from us, which could have a material adverse effect upon the business, consolidated results of operations and financial condition.</w:t>
      </w:r>
    </w:p>
    <w:p>
      <w:pPr>
        <w:spacing w:after="0" w:line="121" w:lineRule="exact"/>
        <w:rPr>
          <w:sz w:val="20"/>
          <w:szCs w:val="20"/>
          <w:color w:val="auto"/>
        </w:rPr>
      </w:pPr>
    </w:p>
    <w:p>
      <w:pPr>
        <w:jc w:val="both"/>
        <w:spacing w:after="0" w:line="219" w:lineRule="auto"/>
        <w:rPr>
          <w:sz w:val="20"/>
          <w:szCs w:val="20"/>
          <w:color w:val="auto"/>
        </w:rPr>
      </w:pPr>
      <w:r>
        <w:rPr>
          <w:rFonts w:ascii="Arial" w:cs="Arial" w:eastAsia="Arial" w:hAnsi="Arial"/>
          <w:sz w:val="17"/>
          <w:szCs w:val="17"/>
          <w:b w:val="1"/>
          <w:bCs w:val="1"/>
          <w:i w:val="1"/>
          <w:iCs w:val="1"/>
          <w:color w:val="auto"/>
        </w:rPr>
        <w:t>We are dependent upon two manufacturers located in China and Thailand for the manufacturing and assembly of our printers and terminals, and their operations have been disrupted by the outbreak of the Coronavirus. The impact of this disruption on the Company is uncertain at this time, but this disruption, and any further or future disruption in their businesses or operations, such as those caused by political, social or economic instability, trade restrictions or tariffs, severe weather, additional public health crises and other events out of our control, could materially adversely affect our business, financial condition and results of operations.</w:t>
      </w:r>
    </w:p>
    <w:p>
      <w:pPr>
        <w:spacing w:after="0" w:line="2"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In an effort to achieve additional cost savings and operation benefits, we have outsourced substantially all of the manufacturing and assembly of our printers and terminals to two contract manufacturers located in Asia. Approximately 80% of our printer and terminal manufacturing is conducted by one third-party manufacturer located in China, and an additional 19% is conducted by one other third-party manufacturers located in Thailand. As a result, we are dependent on them for the manufacturing of our products, and any disruption in such manufacturing or the export of products from these manufacturers to the U.S. may adversely affect our business, financial condition and results of operations.</w:t>
      </w:r>
    </w:p>
    <w:p>
      <w:pPr>
        <w:spacing w:after="0" w:line="12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Risks affecting the businesses and operations of our two manufacturers in Asia include: political and regional strife; war; labor shortages; severe weather and natural disasters such as earthquakes, hurricanes, fires, and floods; lengthy power outages; increased pricing, financial instability and capacity constraints of shippers; and concerns with or threats of public health crises, contagious diseases or health epidemics. The risk to our business posed by any disruption in manufacturing is exacerbated by the concentration of our manufacturing operations in two manufacturers both located in Asia.</w:t>
      </w:r>
    </w:p>
    <w:p>
      <w:pPr>
        <w:spacing w:after="0" w:line="114"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In December 2019, a novel strain of the coronavirus was reported in China that has subsequently spread outside of China. In response to the coronavirus outbreak, the Chinese government has placed restrictions on travel and mandated business closures. Such restrictions and closures have started to disrupt our supply chain by delaying product shipments from our contract manufacturers during 2020. Although the impact of such disruptions and delays has not had a material impact on our results of operations, there is significant uncertainty relating to the outbreak of coronavirus as well as the potential effects of such outbreak on our business.</w:t>
      </w:r>
    </w:p>
    <w:p>
      <w:pPr>
        <w:spacing w:after="0" w:line="122"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The extent to which the coronavirus impacts our operations will depend on future developments, which are highly uncertain and cannot be predicted with confidence, including the duration of the outbreak, new information which may emerge concerning the severity of the coronavirus and the actions to contain the coronavirus or treat its impact, among others. Without the contract manufacturers continuing to manufacture our products and the continuing operation of the contract manufacturers’ facilities, we will have limited means for the final assembly of a majority of our products until we are able to secure the manufacturing capability at another facility or develop an alternative manufacturing facility, which could be costly and time consuming and have a material adverse effect on our operating and financial results. However, any such risk is partially offset by the current inventory of printing solutions maintained at our Ithaca, New York and, to a lesser extent, Las Vegas, Nevada facilities.</w:t>
      </w:r>
    </w:p>
    <w:p>
      <w:pPr>
        <w:spacing w:after="0" w:line="12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We may also incur increased business continuity and reputational risks to the extent that we continue to outsource the manufacturing and assembly of our products to foreign third-party service providers. For example, outsourcing of manufacturing prevents us from exercising control over the assembly of certain of our products and related operations or processes, including the internal controls associated with operations and processes conducted and the quality of our products assembled by contract manufacturers. If we are unable to effectively manage and oversee our outsourcing strategy, we may not realize cost structure efficiencies and our operating and financial results could be materially adversely affected. Outsourcing also exposes us to increased risk of infringement or misappropriation of our intellectual property, to which our manufacturers have access. Because our manufacturers are located in Asia, there is no guarantee that our intellectual property rights will be protected or enforced to the same extent as under U.S. federal and state laws. Consequently, we may not be able to prevent third-parties from developing or selling products made using our technologies.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manufacturing forecasts.</w:t>
      </w:r>
    </w:p>
    <w:p>
      <w:pPr>
        <w:jc w:val="both"/>
        <w:spacing w:after="0" w:line="227" w:lineRule="auto"/>
        <w:rPr>
          <w:sz w:val="20"/>
          <w:szCs w:val="20"/>
          <w:color w:val="auto"/>
        </w:rPr>
      </w:pPr>
      <w:r>
        <w:rPr>
          <w:rFonts w:ascii="Arial" w:cs="Arial" w:eastAsia="Arial" w:hAnsi="Arial"/>
          <w:sz w:val="17"/>
          <w:szCs w:val="17"/>
          <w:color w:val="auto"/>
        </w:rPr>
        <w:t>If we fail to predict our manufacturing requirements accurately, we could incur additional costs or experience manufacturing delays, which could cause us to lose orders or customers and result in lower net sales. We currently use a rolling 12-month forecast based primarily on our anticipated product orders and our product order history to help determine our requirements for components and materials. It is very important that we accurately predict both the demand for our products and the lead-time required to obtain the necessary components and raw materials.</w:t>
      </w:r>
    </w:p>
    <w:p>
      <w:pPr>
        <w:spacing w:after="0" w:line="95"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Lead times for materials and components that we order vary significantly and depend on factors such as the specific supplier, the size of the order, contract terms, and demand for each component at a given time. If we underestimate our requirements, we may have inadequate manufacturing capacity or inventory, which could interrupt manufacturing of our products and result in delays in shipments and net sales. If we overestimate our requirements, we could have excess inventory of parts and finished products. In addition, delays in the manufacturing of our products could cause us to lose orders or customers.</w:t>
      </w:r>
    </w:p>
    <w:p>
      <w:pPr>
        <w:spacing w:after="0" w:line="81"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We purchase component parts and consumable products from third-party and sole source suppliers, and any interference with this supply chain may impact our ability to manufacture and sell our products.</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We rely on third-party or sole source suppliers to provide certain key components for our products. We do not have guaranteed supply contracts with any of our component suppliers, and our suppliers could delay shipments, increase prices or cease manufacturing or selling such components to us at any time. A disruption in the supply of such component parts and consumable products could delay our production and/or the release of our new products and hinder our ability to meet our commitments to customers. If we are unable to obtain a sufficient quantity of these components on commercially reasonable terms or in a timely manner, or if we are unable to obtain alternative sources for the components, sales of our products could be delayed or halted entirely or we may be required to redesign our products. Any of these events could result in lost sales, reduced gross margins or damage to our end-customer relationships, which would have a material adverse effect on our operations and financial results.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1" w:name="page12"/>
    <w:bookmarkEnd w:id="11"/>
    <w:p>
      <w:pPr>
        <w:jc w:val="both"/>
        <w:spacing w:after="0" w:line="235" w:lineRule="auto"/>
        <w:rPr>
          <w:sz w:val="20"/>
          <w:szCs w:val="20"/>
          <w:color w:val="auto"/>
        </w:rPr>
      </w:pPr>
      <w:r>
        <w:rPr>
          <w:rFonts w:ascii="Arial" w:cs="Arial" w:eastAsia="Arial" w:hAnsi="Arial"/>
          <w:sz w:val="16"/>
          <w:szCs w:val="16"/>
          <w:b w:val="1"/>
          <w:bCs w:val="1"/>
          <w:i w:val="1"/>
          <w:iCs w:val="1"/>
          <w:color w:val="auto"/>
        </w:rPr>
        <w:t>In addition to maintaining offices in the UK and Macau, we sell and ship a significant portion of our products internationally and rely on third parties that make up our global salesforce. The international nature of our operations may expose us to certain risks associated with doing business outside of the U.S., including risks posed by the UK’s withdrawal from the European Union, tariffs, and changes in trade relations.</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We sell a significant amount of our products to customers outside the United States. Shipments to international customers are expected to continue to account for a material portion of net sales. In addition, our manufacturers and suppliers are largely located in Asia. As a result, our products are largely exported to one of our facilities in the United States, which makes our operations vulnerable to disruptions in trade that could adversely affect our business results.</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international operations, including our reliance on manufacturers and suppliers located in Asia, our worldwide sales team, and our sales to customers located outside the United States, expose us to disruptions in trade and other associated risks such as:</w:t>
      </w:r>
    </w:p>
    <w:p>
      <w:pPr>
        <w:spacing w:after="0" w:line="135" w:lineRule="exact"/>
        <w:rPr>
          <w:sz w:val="20"/>
          <w:szCs w:val="20"/>
          <w:color w:val="auto"/>
        </w:rPr>
      </w:pPr>
    </w:p>
    <w:p>
      <w:pPr>
        <w:ind w:left="980" w:right="20" w:hanging="324"/>
        <w:spacing w:after="0" w:line="25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imposition of additional duties, tariffs, quotas, taxes, trade barriers, capital flow restrictions and other charges on imports and exports by the United States or the governments of the countries in which we or our manufacturers and suppliers operate;</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the delivery of cargo due to port security considerations, labor disputes such as dock strikes, and our reliance on a limited number of shipping and air carriers, which may experience capacity issues that adversely affect our ability to ship inventory in a timely manner or for an acceptable cost;</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the value of the U.S. Dollar against foreign currencies, which could restrict sales, or increase costs of purchasing, in foreign countries;</w:t>
      </w: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or political instability in any of the countries in which we or our manufacturers or suppliers operate, which could result in a reduction in demand for our products due to political and economic instability or impair our foreign assets;</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reduced ability or inability to sell in or purchase from certain markets as a result of export or import restrictions;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potentially limited intellectual property protection in certain countries, such as China, may limit recourse against infringing products or cause us to refrain from selling in certain geographic territories; and</w:t>
      </w: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reliance on a limited number of shipping and air carriers who may experience capacity issues that adversely affect our ability to ship inventory in a timely manner or for an acceptable cost; and</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uncertainties and adverse economic conditions (including inflation and recession).</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Although we carry business interruption insurance to cover lost revenue and profits in an amount we consider adequate, this insurance does not cover all possible situations. In addition, the business interruption insurance would not compensate us for the loss of opportunity and potential adverse impact, both short-term and long-term, on relations with our existing customers resulting from our inability to produce products for them.</w:t>
      </w:r>
    </w:p>
    <w:p>
      <w:pPr>
        <w:spacing w:after="0" w:line="12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Outside of the United States we maintain offices in the UK and Macau. Effective January 31, 2020, the UK formally withdrew from the European Union. Following the UK’s withdrawal, often referred to as “Brexit,” the UK entered a transition period, which is currently set to end on December 31, 2020. It is expected that the UK will negotiate a new free trade agreement with the European Union during this transition period. In the event that no such agreement is reached prior to the end of the transition period, the UK will have no international agreement governing its ongoing relationship with the EU.</w:t>
      </w:r>
    </w:p>
    <w:p>
      <w:pPr>
        <w:spacing w:after="0" w:line="11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We are still evaluating the impact of Brexit on our business, particularly as it relates to our UK subsidiary, during and after this transition period. Adverse consequences such as deterioration in economic conditions and volatility in currency exchange rates could have a negative impact on the Company's operations, financial condition and results of operations. In addition, the future trade relationship between the UK and the European Union remains uncertain, and any incremental regulatory controls and regulations governing trade between the UK and the European Union could have adverse consequences on the steel industry in the UK and/or the European Union and could negatively impact the Company's operations and financial condition.</w:t>
      </w:r>
    </w:p>
    <w:p>
      <w:pPr>
        <w:spacing w:after="0" w:line="118"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Our business could be adversely affected by actual or threatened terrorist attacks or the related heightened security measures, military actions and other efforts to combat terrorism.</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Our business could be adversely affected by actual or threatened terrorist attacks or the related heightened security measures, military actions and other efforts to combat terrorism. It is possible that terrorist attacks could be directed at important locations for the gaming industry. Heightened security measures and other efforts to combat terrorism may also have an adverse effect on the gaming industry by reducing tourism. Any of these developments could also negatively affect the general economy and consumer confidence. Any downturn in the economy in general, or in the gaming industry in particular could result in a reduced demand for our products and could adversely affect our business and results of operations. In addition, heightened security measures may cause certain governments to restrict the import or export of goods, which may have an adverse effect on our ability to buy and sell goods.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key personnel, the loss of which could materially impact our business.</w:t>
      </w:r>
    </w:p>
    <w:p>
      <w:pPr>
        <w:jc w:val="both"/>
        <w:spacing w:after="0" w:line="212" w:lineRule="auto"/>
        <w:rPr>
          <w:sz w:val="20"/>
          <w:szCs w:val="20"/>
          <w:color w:val="auto"/>
        </w:rPr>
      </w:pPr>
      <w:r>
        <w:rPr>
          <w:rFonts w:ascii="Arial" w:cs="Arial" w:eastAsia="Arial" w:hAnsi="Arial"/>
          <w:sz w:val="18"/>
          <w:szCs w:val="18"/>
          <w:color w:val="auto"/>
        </w:rPr>
        <w:t>Our future success will depend in significant part upon the continued service of certain key management and other personnel and our continuing ability to attract and retain highly qualified managerial, technical and sales and marketing personnel. There can be no assurance that we will be able to recruit and retain such personnel. The loss of either Bart C. Shuldman, the Company's Chairman of the Board and Chief Executive Officer, or Steven A. DeMartino, the Company’s President, Chief Financial Officer, Treasurer and Secretary, or the loss of certain groups of key employees, could have a material adverse effect on our results of operations.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jc w:val="both"/>
        <w:spacing w:after="0" w:line="209" w:lineRule="auto"/>
        <w:rPr>
          <w:sz w:val="20"/>
          <w:szCs w:val="20"/>
          <w:color w:val="auto"/>
        </w:rPr>
      </w:pPr>
      <w:r>
        <w:rPr>
          <w:rFonts w:ascii="Arial" w:cs="Arial" w:eastAsia="Arial" w:hAnsi="Arial"/>
          <w:sz w:val="18"/>
          <w:szCs w:val="18"/>
          <w:b w:val="1"/>
          <w:bCs w:val="1"/>
          <w:i w:val="1"/>
          <w:iCs w:val="1"/>
          <w:color w:val="auto"/>
        </w:rPr>
        <w:t>The inability to protect our intellectual property rights could harm our reputation, damage our business or interfere with our competitive position, and infringement on the intellectual property rights of others, or claims thereof, could put us at a competitive disadvantage, and any related litigation could be time consuming and costly.</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Our intellectual property is valuable and provides us with certain competitive advantages. Copyrights, patents, trademarks, service marks, trade secrets, nondisclosure agreements and contracts are used to protect these proprietary rights. Despite these precautions, it may be possible for third parties to copy aspects of our products or, without authorization, to obtain and use information which we regard as trade secrets.</w:t>
      </w:r>
    </w:p>
    <w:p>
      <w:pPr>
        <w:spacing w:after="0" w:line="12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In addition, prosecuting and defending infringement lawsuits is very expensive. We are committed to aggressively asserting and defending our technology and related intellectual property rights, which we have spent a significant amount of money to develop. Similarly, third-parties may claim, from time to time, that we have violated their intellectual property rights. To the extent of a violation of a third-party’s patent or other intellectual property right, we may be prevented from operating our business as planned and may be required to pay damages, to obtain a license, if available, or to use a non-infringing method, if possible, to accomplish our objectives. Any such claims could result in costly litigation and, if successful, could result in costly judgments or settlements.</w:t>
      </w:r>
    </w:p>
    <w:p>
      <w:pPr>
        <w:spacing w:after="0" w:line="12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expense of prosecuting or defending any future infringement lawsuits could have a material adverse effect on our business, financial condition and results of operations. Intellectual property litigation is generally complex, costly, protracted, and highly disruptive to business operations by diverting the attention and energies of management and key technical personnel.</w:t>
      </w:r>
    </w:p>
    <w:p>
      <w:pPr>
        <w:spacing w:after="0" w:line="122" w:lineRule="exact"/>
        <w:rPr>
          <w:sz w:val="20"/>
          <w:szCs w:val="20"/>
          <w:color w:val="auto"/>
        </w:rPr>
      </w:pPr>
    </w:p>
    <w:p>
      <w:pPr>
        <w:spacing w:after="0" w:line="220" w:lineRule="auto"/>
        <w:rPr>
          <w:sz w:val="20"/>
          <w:szCs w:val="20"/>
          <w:color w:val="auto"/>
        </w:rPr>
      </w:pPr>
      <w:r>
        <w:rPr>
          <w:rFonts w:ascii="Arial" w:cs="Arial" w:eastAsia="Arial" w:hAnsi="Arial"/>
          <w:sz w:val="17"/>
          <w:szCs w:val="17"/>
          <w:b w:val="1"/>
          <w:bCs w:val="1"/>
          <w:i w:val="1"/>
          <w:iCs w:val="1"/>
          <w:color w:val="auto"/>
        </w:rPr>
        <w:t xml:space="preserve">Cyber-security and privacy breaches, cyber-attacks, or other disruptions could expose us to liability, affect our business, and damage our reputation. </w:t>
      </w:r>
      <w:r>
        <w:rPr>
          <w:rFonts w:ascii="Arial" w:cs="Arial" w:eastAsia="Arial" w:hAnsi="Arial"/>
          <w:sz w:val="17"/>
          <w:szCs w:val="17"/>
          <w:color w:val="auto"/>
        </w:rPr>
        <w:t>We are increasingly dependent on our information technology systems and infrastructure for our business. We collect, store, and transmit sensitive information including intellectual property, proprietary business information and personal information in connection with business operations. The secure maintenance of this information is critical to our operations and business strategy. Some of this information could be an attractive target of criminal attack by third parties with a wide range of motives and expertise, including organized criminal groups, disgruntled current or former employees, and others. Cyber-attacks are of ever-increasing levels of sophistication, and despite our extensive security measures, our information technology and infrastructure may be vulnerable to such attacks or may be breached, including due to employee error or malfeasance. Any such breach could compromise our networks and the information stored there could be accessed, publicly disclosed, lost or stolen. If our systems become compromised, we may not promptly discover the intrusion. Like other companies in our industry, we have experienced attacks to our data and systems, including malware and computer viruses that we have been able to detect and eliminate. If our systems fail or are breached or disrupted, we could lose product sales, and suffer reputational damage and loss of customer confidence. Such incidents would require notification to affected individuals and may result in legal claims or proceedings and liability under federal and state laws that protect the privacy and security of personal information. Any one of these events could cause our business to be materially harmed and our results of operations to be adversely impacted.</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provide any assurance that current laws, or any laws enacted in the future, will not have a material adverse effect on our business.</w:t>
      </w:r>
    </w:p>
    <w:p>
      <w:pPr>
        <w:spacing w:after="0" w:line="8"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Our operations are subject to laws, rules, regulations, including environmental regulations, government policies and other requirements in each of the jurisdictions in which we conduct business. Changes in such laws, rules, regulations, policies or requirements could result in the need to modify our products and could affect the demand for our products, which may have an adverse impact on our future operating results. If we do not comply with applicable laws, rules and regulations we could be subject to costs and liabilities and our business may be adversely impacted.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fluctuate significantly.</w:t>
      </w:r>
    </w:p>
    <w:p>
      <w:pPr>
        <w:spacing w:after="0"/>
        <w:rPr>
          <w:sz w:val="20"/>
          <w:szCs w:val="20"/>
          <w:color w:val="auto"/>
        </w:rPr>
      </w:pPr>
      <w:r>
        <w:rPr>
          <w:rFonts w:ascii="Arial" w:cs="Arial" w:eastAsia="Arial" w:hAnsi="Arial"/>
          <w:sz w:val="17"/>
          <w:szCs w:val="17"/>
          <w:color w:val="auto"/>
        </w:rPr>
        <w:t>The market price of our common stock could fluctuate significantly in response to variations in quarterly operating results and other factors, such as:</w:t>
      </w:r>
    </w:p>
    <w:p>
      <w:pPr>
        <w:spacing w:after="0" w:line="113"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business, operations or prospects;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in our relationships with our customers;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announcements of new products or services by us or by our competitors;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 or completion of acquisitions by us or by our competitors;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existing or adoption of additional government regulations;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unfavorable or reduced analyst coverage;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prevailing domestic and international market and economic conditions.</w:t>
      </w:r>
    </w:p>
    <w:p>
      <w:pPr>
        <w:spacing w:after="0" w:line="157"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In addition, the stock market may experience significant price fluctuations year-to-year. Broad market fluctuations, general economic conditions and specific conditions in the industries in which we operate may adversely affect the market price of our common stock.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trading volume and a reduction in analyst coverage of our common stock may contribute to its price volatility.</w:t>
      </w:r>
    </w:p>
    <w:p>
      <w:pPr>
        <w:jc w:val="both"/>
        <w:spacing w:after="0" w:line="212" w:lineRule="auto"/>
        <w:rPr>
          <w:sz w:val="20"/>
          <w:szCs w:val="20"/>
          <w:color w:val="auto"/>
        </w:rPr>
      </w:pPr>
      <w:r>
        <w:rPr>
          <w:rFonts w:ascii="Arial" w:cs="Arial" w:eastAsia="Arial" w:hAnsi="Arial"/>
          <w:sz w:val="18"/>
          <w:szCs w:val="18"/>
          <w:color w:val="auto"/>
        </w:rPr>
        <w:t>Our common stock is traded on the Nasdaq Global Market. During the year ended December 31, 2019 the average daily trading volume for our common stock as reported by the Nasdaq Global Market was approximately 19,000 shares. We are uncertain whether a more active trading market in our common stock will develop. In addition, many investment banks no longer find it profitable to provide securities research on micro-cap and small-cap companies. As a result, relatively small trades may have a significant impact on the market price of our common stock, which could increase the volatility and depress the price of our common stock.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w:t>
      </w:r>
    </w:p>
    <w:p>
      <w:pPr>
        <w:jc w:val="both"/>
        <w:spacing w:after="0" w:line="212" w:lineRule="auto"/>
        <w:rPr>
          <w:sz w:val="20"/>
          <w:szCs w:val="20"/>
          <w:color w:val="auto"/>
        </w:rPr>
      </w:pPr>
      <w:r>
        <w:rPr>
          <w:rFonts w:ascii="Arial" w:cs="Arial" w:eastAsia="Arial" w:hAnsi="Arial"/>
          <w:sz w:val="18"/>
          <w:szCs w:val="18"/>
          <w:color w:val="auto"/>
        </w:rPr>
        <w:t>In the future, we may sell additional shares of our common stock in public or private offerings, and we may also issue additional shares of our common stock to finance future acquisitions. Shares of our common stock are also available for future sale pursuant to stock options and other equity awards that we have granted to our employees, and in the future, we may grant additional stock options and other forms of equity compensation to our employees. Sales of our common stock or the perception that such sales could occur may adversely affect prevailing market prices for shares of our common stock and could impair our ability to raise capital through future offerings.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jc w:val="both"/>
        <w:spacing w:after="0" w:line="226" w:lineRule="auto"/>
        <w:rPr>
          <w:sz w:val="20"/>
          <w:szCs w:val="20"/>
          <w:color w:val="auto"/>
        </w:rPr>
      </w:pPr>
      <w:r>
        <w:rPr>
          <w:rFonts w:ascii="Arial" w:cs="Arial" w:eastAsia="Arial" w:hAnsi="Arial"/>
          <w:sz w:val="18"/>
          <w:szCs w:val="18"/>
          <w:color w:val="auto"/>
        </w:rPr>
        <w:t>Our principal facilities as of December 31, 2019 are listed below. We believe that all facilities generally are in good condition, adequately maintained and suitable for their present and currently contemplated uses.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Size</w:t>
            </w:r>
          </w:p>
        </w:tc>
        <w:tc>
          <w:tcPr>
            <w:tcW w:w="100" w:type="dxa"/>
            <w:vAlign w:val="bottom"/>
          </w:tcPr>
          <w:p>
            <w:pPr>
              <w:spacing w:after="0"/>
              <w:rPr>
                <w:sz w:val="17"/>
                <w:szCs w:val="17"/>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1"/>
              </w:rPr>
              <w:t>Owned or</w:t>
            </w:r>
          </w:p>
        </w:tc>
        <w:tc>
          <w:tcPr>
            <w:tcW w:w="17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Lease Expiration</w:t>
            </w:r>
          </w:p>
        </w:tc>
        <w:tc>
          <w:tcPr>
            <w:tcW w:w="0" w:type="dxa"/>
            <w:vAlign w:val="bottom"/>
          </w:tcPr>
          <w:p>
            <w:pPr>
              <w:spacing w:after="0"/>
              <w:rPr>
                <w:sz w:val="1"/>
                <w:szCs w:val="1"/>
                <w:color w:val="auto"/>
              </w:rPr>
            </w:pPr>
          </w:p>
        </w:tc>
      </w:tr>
      <w:tr>
        <w:trPr>
          <w:trHeight w:val="175"/>
        </w:trPr>
        <w:tc>
          <w:tcPr>
            <w:tcW w:w="2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Location</w:t>
            </w:r>
          </w:p>
        </w:tc>
        <w:tc>
          <w:tcPr>
            <w:tcW w:w="4180" w:type="dxa"/>
            <w:vAlign w:val="bottom"/>
            <w:gridSpan w:val="2"/>
            <w:vMerge w:val="restart"/>
          </w:tcPr>
          <w:p>
            <w:pPr>
              <w:ind w:left="1160"/>
              <w:spacing w:after="0"/>
              <w:rPr>
                <w:sz w:val="20"/>
                <w:szCs w:val="20"/>
                <w:color w:val="auto"/>
              </w:rPr>
            </w:pPr>
            <w:r>
              <w:rPr>
                <w:rFonts w:ascii="Arial" w:cs="Arial" w:eastAsia="Arial" w:hAnsi="Arial"/>
                <w:sz w:val="18"/>
                <w:szCs w:val="18"/>
                <w:b w:val="1"/>
                <w:bCs w:val="1"/>
                <w:color w:val="auto"/>
              </w:rPr>
              <w:t>Operations Conducted</w:t>
            </w:r>
          </w:p>
        </w:tc>
        <w:tc>
          <w:tcPr>
            <w:tcW w:w="1240" w:type="dxa"/>
            <w:vAlign w:val="bottom"/>
            <w:gridSpan w:val="2"/>
          </w:tcPr>
          <w:p>
            <w:pPr>
              <w:jc w:val="center"/>
              <w:ind w:right="20"/>
              <w:spacing w:after="0" w:line="176" w:lineRule="exact"/>
              <w:rPr>
                <w:sz w:val="20"/>
                <w:szCs w:val="20"/>
                <w:color w:val="auto"/>
              </w:rPr>
            </w:pPr>
            <w:r>
              <w:rPr>
                <w:rFonts w:ascii="Arial" w:cs="Arial" w:eastAsia="Arial" w:hAnsi="Arial"/>
                <w:sz w:val="18"/>
                <w:szCs w:val="18"/>
                <w:b w:val="1"/>
                <w:bCs w:val="1"/>
                <w:color w:val="auto"/>
                <w:w w:val="91"/>
              </w:rPr>
              <w:t>(Approx. Sq.</w:t>
            </w: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40" w:type="dxa"/>
            <w:vAlign w:val="bottom"/>
            <w:gridSpan w:val="2"/>
            <w:vMerge w:val="continue"/>
          </w:tcPr>
          <w:p>
            <w:pPr>
              <w:spacing w:after="0"/>
              <w:rPr>
                <w:sz w:val="18"/>
                <w:szCs w:val="18"/>
                <w:color w:val="auto"/>
              </w:rPr>
            </w:pPr>
          </w:p>
        </w:tc>
        <w:tc>
          <w:tcPr>
            <w:tcW w:w="4180" w:type="dxa"/>
            <w:vAlign w:val="bottom"/>
            <w:gridSpan w:val="2"/>
            <w:vMerge w:val="continue"/>
          </w:tcPr>
          <w:p>
            <w:pPr>
              <w:spacing w:after="0"/>
              <w:rPr>
                <w:sz w:val="18"/>
                <w:szCs w:val="18"/>
                <w:color w:val="auto"/>
              </w:rPr>
            </w:pPr>
          </w:p>
        </w:tc>
        <w:tc>
          <w:tcPr>
            <w:tcW w:w="12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Ft.)</w:t>
            </w:r>
          </w:p>
        </w:tc>
        <w:tc>
          <w:tcPr>
            <w:tcW w:w="100" w:type="dxa"/>
            <w:vAlign w:val="bottom"/>
          </w:tcPr>
          <w:p>
            <w:pPr>
              <w:spacing w:after="0"/>
              <w:rPr>
                <w:sz w:val="18"/>
                <w:szCs w:val="18"/>
                <w:color w:val="auto"/>
              </w:rPr>
            </w:pPr>
          </w:p>
        </w:tc>
        <w:tc>
          <w:tcPr>
            <w:tcW w:w="114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86"/>
              </w:rPr>
              <w:t>Leased</w:t>
            </w:r>
          </w:p>
        </w:tc>
        <w:tc>
          <w:tcPr>
            <w:tcW w:w="1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162"/>
        </w:trPr>
        <w:tc>
          <w:tcPr>
            <w:tcW w:w="2580" w:type="dxa"/>
            <w:vAlign w:val="bottom"/>
            <w:tcBorders>
              <w:top w:val="single" w:sz="8" w:color="auto"/>
            </w:tcBorders>
          </w:tcPr>
          <w:p>
            <w:pPr>
              <w:spacing w:after="0" w:line="162" w:lineRule="exact"/>
              <w:rPr>
                <w:sz w:val="20"/>
                <w:szCs w:val="20"/>
                <w:color w:val="auto"/>
              </w:rPr>
            </w:pPr>
            <w:r>
              <w:rPr>
                <w:rFonts w:ascii="Arial" w:cs="Arial" w:eastAsia="Arial" w:hAnsi="Arial"/>
                <w:sz w:val="18"/>
                <w:szCs w:val="18"/>
                <w:color w:val="auto"/>
              </w:rPr>
              <w:t>Hamden, Connecticut</w:t>
            </w:r>
          </w:p>
        </w:tc>
        <w:tc>
          <w:tcPr>
            <w:tcW w:w="260" w:type="dxa"/>
            <w:vAlign w:val="bottom"/>
          </w:tcPr>
          <w:p>
            <w:pPr>
              <w:spacing w:after="0"/>
              <w:rPr>
                <w:sz w:val="14"/>
                <w:szCs w:val="14"/>
                <w:color w:val="auto"/>
              </w:rPr>
            </w:pPr>
          </w:p>
        </w:tc>
        <w:tc>
          <w:tcPr>
            <w:tcW w:w="4080" w:type="dxa"/>
            <w:vAlign w:val="bottom"/>
            <w:tcBorders>
              <w:top w:val="single" w:sz="8" w:color="auto"/>
            </w:tcBorders>
          </w:tcPr>
          <w:p>
            <w:pPr>
              <w:spacing w:after="0" w:line="162" w:lineRule="exact"/>
              <w:rPr>
                <w:sz w:val="20"/>
                <w:szCs w:val="20"/>
                <w:color w:val="auto"/>
              </w:rPr>
            </w:pPr>
            <w:r>
              <w:rPr>
                <w:rFonts w:ascii="Arial" w:cs="Arial" w:eastAsia="Arial" w:hAnsi="Arial"/>
                <w:sz w:val="18"/>
                <w:szCs w:val="18"/>
                <w:color w:val="auto"/>
              </w:rPr>
              <w:t>Executive offices and sales office</w:t>
            </w:r>
          </w:p>
        </w:tc>
        <w:tc>
          <w:tcPr>
            <w:tcW w:w="100" w:type="dxa"/>
            <w:vAlign w:val="bottom"/>
          </w:tcPr>
          <w:p>
            <w:pPr>
              <w:spacing w:after="0"/>
              <w:rPr>
                <w:sz w:val="14"/>
                <w:szCs w:val="14"/>
                <w:color w:val="auto"/>
              </w:rPr>
            </w:pPr>
          </w:p>
        </w:tc>
        <w:tc>
          <w:tcPr>
            <w:tcW w:w="122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8"/>
                <w:szCs w:val="18"/>
                <w:color w:val="auto"/>
              </w:rPr>
              <w:t>11,100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auto"/>
            </w:tcBorders>
          </w:tcPr>
          <w:p>
            <w:pPr>
              <w:jc w:val="center"/>
              <w:spacing w:after="0" w:line="162" w:lineRule="exact"/>
              <w:rPr>
                <w:sz w:val="20"/>
                <w:szCs w:val="20"/>
                <w:color w:val="auto"/>
              </w:rPr>
            </w:pPr>
            <w:r>
              <w:rPr>
                <w:rFonts w:ascii="Arial" w:cs="Arial" w:eastAsia="Arial" w:hAnsi="Arial"/>
                <w:sz w:val="18"/>
                <w:szCs w:val="18"/>
                <w:color w:val="auto"/>
                <w:w w:val="87"/>
              </w:rPr>
              <w:t>Leased</w:t>
            </w:r>
          </w:p>
        </w:tc>
        <w:tc>
          <w:tcPr>
            <w:tcW w:w="120" w:type="dxa"/>
            <w:vAlign w:val="bottom"/>
          </w:tcPr>
          <w:p>
            <w:pPr>
              <w:spacing w:after="0"/>
              <w:rPr>
                <w:sz w:val="14"/>
                <w:szCs w:val="14"/>
                <w:color w:val="auto"/>
              </w:rPr>
            </w:pPr>
          </w:p>
        </w:tc>
        <w:tc>
          <w:tcPr>
            <w:tcW w:w="1740" w:type="dxa"/>
            <w:vAlign w:val="bottom"/>
            <w:tcBorders>
              <w:top w:val="single" w:sz="8" w:color="auto"/>
            </w:tcBorders>
          </w:tcPr>
          <w:p>
            <w:pPr>
              <w:jc w:val="center"/>
              <w:spacing w:after="0" w:line="162" w:lineRule="exact"/>
              <w:rPr>
                <w:sz w:val="20"/>
                <w:szCs w:val="20"/>
                <w:color w:val="auto"/>
              </w:rPr>
            </w:pPr>
            <w:r>
              <w:rPr>
                <w:rFonts w:ascii="Arial" w:cs="Arial" w:eastAsia="Arial" w:hAnsi="Arial"/>
                <w:sz w:val="18"/>
                <w:szCs w:val="18"/>
                <w:color w:val="auto"/>
                <w:w w:val="95"/>
              </w:rPr>
              <w:t>April 30, 2027</w:t>
            </w:r>
          </w:p>
        </w:tc>
        <w:tc>
          <w:tcPr>
            <w:tcW w:w="0" w:type="dxa"/>
            <w:vAlign w:val="bottom"/>
          </w:tcPr>
          <w:p>
            <w:pPr>
              <w:spacing w:after="0"/>
              <w:rPr>
                <w:sz w:val="1"/>
                <w:szCs w:val="1"/>
                <w:color w:val="auto"/>
              </w:rPr>
            </w:pPr>
          </w:p>
        </w:tc>
      </w:tr>
      <w:tr>
        <w:trPr>
          <w:trHeight w:val="176"/>
        </w:trPr>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Ithaca, New York*</w:t>
            </w:r>
          </w:p>
        </w:tc>
        <w:tc>
          <w:tcPr>
            <w:tcW w:w="4180" w:type="dxa"/>
            <w:vAlign w:val="bottom"/>
            <w:gridSpan w:val="2"/>
          </w:tcPr>
          <w:p>
            <w:pPr>
              <w:spacing w:after="0" w:line="176" w:lineRule="exact"/>
              <w:rPr>
                <w:sz w:val="20"/>
                <w:szCs w:val="20"/>
                <w:color w:val="auto"/>
              </w:rPr>
            </w:pPr>
            <w:r>
              <w:rPr>
                <w:rFonts w:ascii="Arial" w:cs="Arial" w:eastAsia="Arial" w:hAnsi="Arial"/>
                <w:sz w:val="18"/>
                <w:szCs w:val="18"/>
                <w:color w:val="auto"/>
              </w:rPr>
              <w:t>Hardware design and development, assembly and</w:t>
            </w:r>
          </w:p>
        </w:tc>
        <w:tc>
          <w:tcPr>
            <w:tcW w:w="12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73,900</w:t>
            </w:r>
          </w:p>
        </w:tc>
        <w:tc>
          <w:tcPr>
            <w:tcW w:w="100" w:type="dxa"/>
            <w:vAlign w:val="bottom"/>
          </w:tcPr>
          <w:p>
            <w:pPr>
              <w:spacing w:after="0"/>
              <w:rPr>
                <w:sz w:val="15"/>
                <w:szCs w:val="15"/>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7"/>
              </w:rPr>
              <w:t>Leased</w:t>
            </w:r>
          </w:p>
        </w:tc>
        <w:tc>
          <w:tcPr>
            <w:tcW w:w="1740" w:type="dxa"/>
            <w:vAlign w:val="bottom"/>
            <w:vMerge w:val="restart"/>
          </w:tcPr>
          <w:p>
            <w:pPr>
              <w:jc w:val="center"/>
              <w:spacing w:after="0"/>
              <w:rPr>
                <w:sz w:val="20"/>
                <w:szCs w:val="20"/>
                <w:color w:val="auto"/>
              </w:rPr>
            </w:pPr>
            <w:r>
              <w:rPr>
                <w:rFonts w:ascii="Arial" w:cs="Arial" w:eastAsia="Arial" w:hAnsi="Arial"/>
                <w:sz w:val="18"/>
                <w:szCs w:val="18"/>
                <w:color w:val="auto"/>
                <w:w w:val="93"/>
              </w:rPr>
              <w:t>May 31, 2021</w:t>
            </w:r>
          </w:p>
        </w:tc>
        <w:tc>
          <w:tcPr>
            <w:tcW w:w="0" w:type="dxa"/>
            <w:vAlign w:val="bottom"/>
          </w:tcPr>
          <w:p>
            <w:pPr>
              <w:spacing w:after="0"/>
              <w:rPr>
                <w:sz w:val="1"/>
                <w:szCs w:val="1"/>
                <w:color w:val="auto"/>
              </w:rPr>
            </w:pPr>
          </w:p>
        </w:tc>
      </w:tr>
      <w:tr>
        <w:trPr>
          <w:trHeight w:val="175"/>
        </w:trPr>
        <w:tc>
          <w:tcPr>
            <w:tcW w:w="2840" w:type="dxa"/>
            <w:vAlign w:val="bottom"/>
            <w:gridSpan w:val="2"/>
            <w:vMerge w:val="continue"/>
          </w:tcPr>
          <w:p>
            <w:pPr>
              <w:spacing w:after="0"/>
              <w:rPr>
                <w:sz w:val="15"/>
                <w:szCs w:val="15"/>
                <w:color w:val="auto"/>
              </w:rPr>
            </w:pPr>
          </w:p>
        </w:tc>
        <w:tc>
          <w:tcPr>
            <w:tcW w:w="4180" w:type="dxa"/>
            <w:vAlign w:val="bottom"/>
            <w:gridSpan w:val="2"/>
          </w:tcPr>
          <w:p>
            <w:pPr>
              <w:spacing w:after="0" w:line="176" w:lineRule="exact"/>
              <w:rPr>
                <w:sz w:val="20"/>
                <w:szCs w:val="20"/>
                <w:color w:val="auto"/>
              </w:rPr>
            </w:pPr>
            <w:r>
              <w:rPr>
                <w:rFonts w:ascii="Arial" w:cs="Arial" w:eastAsia="Arial" w:hAnsi="Arial"/>
                <w:sz w:val="18"/>
                <w:szCs w:val="18"/>
                <w:color w:val="auto"/>
              </w:rPr>
              <w:t>service facility</w:t>
            </w:r>
          </w:p>
        </w:tc>
        <w:tc>
          <w:tcPr>
            <w:tcW w:w="12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Las Vegas, Nevada</w:t>
            </w:r>
          </w:p>
        </w:tc>
        <w:tc>
          <w:tcPr>
            <w:tcW w:w="4180" w:type="dxa"/>
            <w:vAlign w:val="bottom"/>
            <w:gridSpan w:val="2"/>
          </w:tcPr>
          <w:p>
            <w:pPr>
              <w:spacing w:after="0" w:line="176" w:lineRule="exact"/>
              <w:rPr>
                <w:sz w:val="20"/>
                <w:szCs w:val="20"/>
                <w:color w:val="auto"/>
              </w:rPr>
            </w:pPr>
            <w:r>
              <w:rPr>
                <w:rFonts w:ascii="Arial" w:cs="Arial" w:eastAsia="Arial" w:hAnsi="Arial"/>
                <w:sz w:val="18"/>
                <w:szCs w:val="18"/>
                <w:color w:val="auto"/>
                <w:w w:val="96"/>
              </w:rPr>
              <w:t>Software design and development, service center and</w:t>
            </w:r>
          </w:p>
        </w:tc>
        <w:tc>
          <w:tcPr>
            <w:tcW w:w="12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19,600</w:t>
            </w:r>
          </w:p>
        </w:tc>
        <w:tc>
          <w:tcPr>
            <w:tcW w:w="100" w:type="dxa"/>
            <w:vAlign w:val="bottom"/>
          </w:tcPr>
          <w:p>
            <w:pPr>
              <w:spacing w:after="0"/>
              <w:rPr>
                <w:sz w:val="15"/>
                <w:szCs w:val="15"/>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7"/>
              </w:rPr>
              <w:t>Leased</w:t>
            </w:r>
          </w:p>
        </w:tc>
        <w:tc>
          <w:tcPr>
            <w:tcW w:w="1740" w:type="dxa"/>
            <w:vAlign w:val="bottom"/>
            <w:vMerge w:val="restart"/>
          </w:tcPr>
          <w:p>
            <w:pPr>
              <w:jc w:val="center"/>
              <w:spacing w:after="0"/>
              <w:rPr>
                <w:sz w:val="20"/>
                <w:szCs w:val="20"/>
                <w:color w:val="auto"/>
              </w:rPr>
            </w:pPr>
            <w:r>
              <w:rPr>
                <w:rFonts w:ascii="Arial" w:cs="Arial" w:eastAsia="Arial" w:hAnsi="Arial"/>
                <w:sz w:val="18"/>
                <w:szCs w:val="18"/>
                <w:color w:val="auto"/>
                <w:w w:val="90"/>
              </w:rPr>
              <w:t>October 31, 2022</w:t>
            </w:r>
          </w:p>
        </w:tc>
        <w:tc>
          <w:tcPr>
            <w:tcW w:w="0" w:type="dxa"/>
            <w:vAlign w:val="bottom"/>
          </w:tcPr>
          <w:p>
            <w:pPr>
              <w:spacing w:after="0"/>
              <w:rPr>
                <w:sz w:val="1"/>
                <w:szCs w:val="1"/>
                <w:color w:val="auto"/>
              </w:rPr>
            </w:pPr>
          </w:p>
        </w:tc>
      </w:tr>
      <w:tr>
        <w:trPr>
          <w:trHeight w:val="202"/>
        </w:trPr>
        <w:tc>
          <w:tcPr>
            <w:tcW w:w="2840" w:type="dxa"/>
            <w:vAlign w:val="bottom"/>
            <w:gridSpan w:val="2"/>
            <w:vMerge w:val="continue"/>
          </w:tcPr>
          <w:p>
            <w:pPr>
              <w:spacing w:after="0"/>
              <w:rPr>
                <w:sz w:val="17"/>
                <w:szCs w:val="17"/>
                <w:color w:val="auto"/>
              </w:rPr>
            </w:pPr>
          </w:p>
        </w:tc>
        <w:tc>
          <w:tcPr>
            <w:tcW w:w="4180" w:type="dxa"/>
            <w:vAlign w:val="bottom"/>
            <w:gridSpan w:val="2"/>
          </w:tcPr>
          <w:p>
            <w:pPr>
              <w:spacing w:after="0" w:line="201" w:lineRule="exact"/>
              <w:rPr>
                <w:sz w:val="20"/>
                <w:szCs w:val="20"/>
                <w:color w:val="auto"/>
              </w:rPr>
            </w:pPr>
            <w:r>
              <w:rPr>
                <w:rFonts w:ascii="Arial" w:cs="Arial" w:eastAsia="Arial" w:hAnsi="Arial"/>
                <w:sz w:val="18"/>
                <w:szCs w:val="18"/>
                <w:color w:val="auto"/>
              </w:rPr>
              <w:t>casino and gaming sales office</w:t>
            </w:r>
          </w:p>
        </w:tc>
        <w:tc>
          <w:tcPr>
            <w:tcW w:w="12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40" w:type="dxa"/>
            <w:vAlign w:val="bottom"/>
            <w:gridSpan w:val="2"/>
          </w:tcPr>
          <w:p>
            <w:pPr>
              <w:spacing w:after="0" w:line="189" w:lineRule="exact"/>
              <w:rPr>
                <w:sz w:val="20"/>
                <w:szCs w:val="20"/>
                <w:color w:val="auto"/>
              </w:rPr>
            </w:pPr>
            <w:r>
              <w:rPr>
                <w:rFonts w:ascii="Arial" w:cs="Arial" w:eastAsia="Arial" w:hAnsi="Arial"/>
                <w:sz w:val="18"/>
                <w:szCs w:val="18"/>
                <w:color w:val="auto"/>
              </w:rPr>
              <w:t>Doncaster, UK</w:t>
            </w:r>
          </w:p>
        </w:tc>
        <w:tc>
          <w:tcPr>
            <w:tcW w:w="4180" w:type="dxa"/>
            <w:vAlign w:val="bottom"/>
            <w:gridSpan w:val="2"/>
          </w:tcPr>
          <w:p>
            <w:pPr>
              <w:spacing w:after="0" w:line="189" w:lineRule="exact"/>
              <w:rPr>
                <w:sz w:val="20"/>
                <w:szCs w:val="20"/>
                <w:color w:val="auto"/>
              </w:rPr>
            </w:pPr>
            <w:r>
              <w:rPr>
                <w:rFonts w:ascii="Arial" w:cs="Arial" w:eastAsia="Arial" w:hAnsi="Arial"/>
                <w:sz w:val="18"/>
                <w:szCs w:val="18"/>
                <w:color w:val="auto"/>
              </w:rPr>
              <w:t>Sales office and service center</w:t>
            </w:r>
          </w:p>
        </w:tc>
        <w:tc>
          <w:tcPr>
            <w:tcW w:w="124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6,000</w:t>
            </w:r>
          </w:p>
        </w:tc>
        <w:tc>
          <w:tcPr>
            <w:tcW w:w="100" w:type="dxa"/>
            <w:vAlign w:val="bottom"/>
          </w:tcPr>
          <w:p>
            <w:pPr>
              <w:spacing w:after="0"/>
              <w:rPr>
                <w:sz w:val="16"/>
                <w:szCs w:val="16"/>
                <w:color w:val="auto"/>
              </w:rPr>
            </w:pPr>
          </w:p>
        </w:tc>
        <w:tc>
          <w:tcPr>
            <w:tcW w:w="1140" w:type="dxa"/>
            <w:vAlign w:val="bottom"/>
            <w:gridSpan w:val="2"/>
          </w:tcPr>
          <w:p>
            <w:pPr>
              <w:jc w:val="center"/>
              <w:ind w:right="140"/>
              <w:spacing w:after="0" w:line="189" w:lineRule="exact"/>
              <w:rPr>
                <w:sz w:val="20"/>
                <w:szCs w:val="20"/>
                <w:color w:val="auto"/>
              </w:rPr>
            </w:pPr>
            <w:r>
              <w:rPr>
                <w:rFonts w:ascii="Arial" w:cs="Arial" w:eastAsia="Arial" w:hAnsi="Arial"/>
                <w:sz w:val="18"/>
                <w:szCs w:val="18"/>
                <w:color w:val="auto"/>
                <w:w w:val="87"/>
              </w:rPr>
              <w:t>Leased</w:t>
            </w:r>
          </w:p>
        </w:tc>
        <w:tc>
          <w:tcPr>
            <w:tcW w:w="1740" w:type="dxa"/>
            <w:vAlign w:val="bottom"/>
          </w:tcPr>
          <w:p>
            <w:pPr>
              <w:jc w:val="center"/>
              <w:spacing w:after="0" w:line="189" w:lineRule="exact"/>
              <w:rPr>
                <w:sz w:val="20"/>
                <w:szCs w:val="20"/>
                <w:color w:val="auto"/>
              </w:rPr>
            </w:pPr>
            <w:r>
              <w:rPr>
                <w:rFonts w:ascii="Arial" w:cs="Arial" w:eastAsia="Arial" w:hAnsi="Arial"/>
                <w:sz w:val="18"/>
                <w:szCs w:val="18"/>
                <w:color w:val="auto"/>
                <w:w w:val="89"/>
              </w:rPr>
              <w:t>August 26, 2026</w:t>
            </w:r>
          </w:p>
        </w:tc>
        <w:tc>
          <w:tcPr>
            <w:tcW w:w="0" w:type="dxa"/>
            <w:vAlign w:val="bottom"/>
          </w:tcPr>
          <w:p>
            <w:pPr>
              <w:spacing w:after="0"/>
              <w:rPr>
                <w:sz w:val="1"/>
                <w:szCs w:val="1"/>
                <w:color w:val="auto"/>
              </w:rPr>
            </w:pPr>
          </w:p>
        </w:tc>
      </w:tr>
      <w:tr>
        <w:trPr>
          <w:trHeight w:val="210"/>
        </w:trPr>
        <w:tc>
          <w:tcPr>
            <w:tcW w:w="2840" w:type="dxa"/>
            <w:vAlign w:val="bottom"/>
            <w:gridSpan w:val="2"/>
          </w:tcPr>
          <w:p>
            <w:pPr>
              <w:spacing w:after="0" w:line="203" w:lineRule="exact"/>
              <w:rPr>
                <w:sz w:val="20"/>
                <w:szCs w:val="20"/>
                <w:color w:val="auto"/>
              </w:rPr>
            </w:pPr>
            <w:r>
              <w:rPr>
                <w:rFonts w:ascii="Arial" w:cs="Arial" w:eastAsia="Arial" w:hAnsi="Arial"/>
                <w:sz w:val="18"/>
                <w:szCs w:val="18"/>
                <w:color w:val="auto"/>
              </w:rPr>
              <w:t>Macau, China</w:t>
            </w:r>
          </w:p>
        </w:tc>
        <w:tc>
          <w:tcPr>
            <w:tcW w:w="4180" w:type="dxa"/>
            <w:vAlign w:val="bottom"/>
            <w:gridSpan w:val="2"/>
          </w:tcPr>
          <w:p>
            <w:pPr>
              <w:spacing w:after="0" w:line="203" w:lineRule="exact"/>
              <w:rPr>
                <w:sz w:val="20"/>
                <w:szCs w:val="20"/>
                <w:color w:val="auto"/>
              </w:rPr>
            </w:pPr>
            <w:r>
              <w:rPr>
                <w:rFonts w:ascii="Arial" w:cs="Arial" w:eastAsia="Arial" w:hAnsi="Arial"/>
                <w:sz w:val="18"/>
                <w:szCs w:val="18"/>
                <w:color w:val="auto"/>
              </w:rPr>
              <w:t>Sales office</w:t>
            </w:r>
          </w:p>
        </w:tc>
        <w:tc>
          <w:tcPr>
            <w:tcW w:w="124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1140" w:type="dxa"/>
            <w:vAlign w:val="bottom"/>
            <w:gridSpan w:val="2"/>
          </w:tcPr>
          <w:p>
            <w:pPr>
              <w:jc w:val="center"/>
              <w:ind w:right="140"/>
              <w:spacing w:after="0" w:line="203" w:lineRule="exact"/>
              <w:rPr>
                <w:sz w:val="20"/>
                <w:szCs w:val="20"/>
                <w:color w:val="auto"/>
              </w:rPr>
            </w:pPr>
            <w:r>
              <w:rPr>
                <w:rFonts w:ascii="Arial" w:cs="Arial" w:eastAsia="Arial" w:hAnsi="Arial"/>
                <w:sz w:val="18"/>
                <w:szCs w:val="18"/>
                <w:color w:val="auto"/>
                <w:w w:val="87"/>
              </w:rPr>
              <w:t>Leased</w:t>
            </w:r>
          </w:p>
        </w:tc>
        <w:tc>
          <w:tcPr>
            <w:tcW w:w="1740" w:type="dxa"/>
            <w:vAlign w:val="bottom"/>
          </w:tcPr>
          <w:p>
            <w:pPr>
              <w:jc w:val="center"/>
              <w:spacing w:after="0" w:line="203" w:lineRule="exact"/>
              <w:rPr>
                <w:sz w:val="20"/>
                <w:szCs w:val="20"/>
                <w:color w:val="auto"/>
              </w:rPr>
            </w:pPr>
            <w:r>
              <w:rPr>
                <w:rFonts w:ascii="Arial" w:cs="Arial" w:eastAsia="Arial" w:hAnsi="Arial"/>
                <w:sz w:val="18"/>
                <w:szCs w:val="18"/>
                <w:color w:val="auto"/>
                <w:w w:val="89"/>
              </w:rPr>
              <w:t>June 30, 2020</w:t>
            </w:r>
          </w:p>
        </w:tc>
        <w:tc>
          <w:tcPr>
            <w:tcW w:w="0" w:type="dxa"/>
            <w:vAlign w:val="bottom"/>
          </w:tcPr>
          <w:p>
            <w:pPr>
              <w:spacing w:after="0"/>
              <w:rPr>
                <w:sz w:val="1"/>
                <w:szCs w:val="1"/>
                <w:color w:val="auto"/>
              </w:rPr>
            </w:pPr>
          </w:p>
        </w:tc>
      </w:tr>
      <w:tr>
        <w:trPr>
          <w:trHeight w:val="183"/>
        </w:trPr>
        <w:tc>
          <w:tcPr>
            <w:tcW w:w="2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auto"/>
            </w:tcBorders>
            <w:gridSpan w:val="2"/>
          </w:tcPr>
          <w:p>
            <w:pPr>
              <w:jc w:val="right"/>
              <w:ind w:right="20"/>
              <w:spacing w:after="0" w:line="176" w:lineRule="exact"/>
              <w:rPr>
                <w:sz w:val="20"/>
                <w:szCs w:val="20"/>
                <w:color w:val="auto"/>
              </w:rPr>
            </w:pPr>
            <w:r>
              <w:rPr>
                <w:rFonts w:ascii="Arial" w:cs="Arial" w:eastAsia="Arial" w:hAnsi="Arial"/>
                <w:sz w:val="18"/>
                <w:szCs w:val="18"/>
                <w:color w:val="auto"/>
              </w:rPr>
              <w:t>110,780</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On February 28, 2020, we signed an amendment to extend our lease in Ithaca, New York to May 31, 2025.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jc w:val="both"/>
        <w:spacing w:after="0" w:line="231" w:lineRule="auto"/>
        <w:rPr>
          <w:sz w:val="20"/>
          <w:szCs w:val="20"/>
          <w:color w:val="auto"/>
        </w:rPr>
      </w:pPr>
      <w:r>
        <w:rPr>
          <w:rFonts w:ascii="Arial" w:cs="Arial" w:eastAsia="Arial" w:hAnsi="Arial"/>
          <w:sz w:val="17"/>
          <w:szCs w:val="17"/>
          <w:color w:val="auto"/>
        </w:rPr>
        <w:t>The Company may, in the ordinary course of business, become a party to litigation involving collection matters, contract claims and other legal proceedings relating to the conduct of its business. As of December 31, 2019, we are unaware of any legal proceedings pending or threatened against us that management believes are likely to have a material adverse effect on our business, financial condition or 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rPr>
          <w:sz w:val="20"/>
          <w:szCs w:val="20"/>
          <w:color w:val="auto"/>
        </w:rPr>
      </w:pPr>
      <w:r>
        <w:rPr>
          <w:rFonts w:ascii="Arial" w:cs="Arial" w:eastAsia="Arial" w:hAnsi="Arial"/>
          <w:sz w:val="18"/>
          <w:szCs w:val="18"/>
          <w:color w:val="auto"/>
        </w:rPr>
        <w:t>Not applicable.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14" w:name="page15"/>
    <w:bookmarkEnd w:id="14"/>
    <w:p>
      <w:pPr>
        <w:ind w:left="5300"/>
        <w:spacing w:after="0"/>
        <w:rPr>
          <w:sz w:val="20"/>
          <w:szCs w:val="20"/>
          <w:color w:val="auto"/>
        </w:rPr>
      </w:pPr>
      <w:r>
        <w:rPr>
          <w:rFonts w:ascii="Arial" w:cs="Arial" w:eastAsia="Arial" w:hAnsi="Arial"/>
          <w:sz w:val="18"/>
          <w:szCs w:val="18"/>
          <w:b w:val="1"/>
          <w:bCs w:val="1"/>
          <w:color w:val="auto"/>
        </w:rPr>
        <w:t>PART II</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jc w:val="both"/>
        <w:ind w:right="20"/>
        <w:spacing w:after="0" w:line="226" w:lineRule="auto"/>
        <w:rPr>
          <w:sz w:val="20"/>
          <w:szCs w:val="20"/>
          <w:color w:val="auto"/>
        </w:rPr>
      </w:pPr>
      <w:r>
        <w:rPr>
          <w:rFonts w:ascii="Arial" w:cs="Arial" w:eastAsia="Arial" w:hAnsi="Arial"/>
          <w:sz w:val="18"/>
          <w:szCs w:val="18"/>
          <w:color w:val="auto"/>
        </w:rPr>
        <w:t>Our common stock is traded on the Nasdaq Global Market under the symbol TACT. As of February 28, 2020, there were 261 holders of record of the common stock.</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jc w:val="both"/>
        <w:spacing w:after="0" w:line="212" w:lineRule="auto"/>
        <w:rPr>
          <w:sz w:val="20"/>
          <w:szCs w:val="20"/>
          <w:color w:val="auto"/>
        </w:rPr>
      </w:pPr>
      <w:r>
        <w:rPr>
          <w:rFonts w:ascii="Arial" w:cs="Arial" w:eastAsia="Arial" w:hAnsi="Arial"/>
          <w:sz w:val="18"/>
          <w:szCs w:val="18"/>
          <w:color w:val="auto"/>
        </w:rPr>
        <w:t>Prior to its expiration on December 31, 2019, we maintained a stock repurchase program (the "2018 Stock Repurchase Program") whereby we were authorized to repurchase up to $5 million of our outstanding shares of common stock from time to time in the open market at prevailing market prices based on market conditions, share price and other factors. During 2019 we did not repurchase any shares of our common stock. From the start of the 2018 Stock Repurchase Program on March 1, 2018 through December 31, 2018, we repurchased 156,410 shares of our common stock for approximately $2 million at an average price per share of $12.79.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jc w:val="both"/>
        <w:spacing w:after="0" w:line="210" w:lineRule="auto"/>
        <w:rPr>
          <w:sz w:val="20"/>
          <w:szCs w:val="20"/>
          <w:color w:val="auto"/>
        </w:rPr>
      </w:pPr>
      <w:r>
        <w:rPr>
          <w:rFonts w:ascii="Arial" w:cs="Arial" w:eastAsia="Arial" w:hAnsi="Arial"/>
          <w:sz w:val="18"/>
          <w:szCs w:val="18"/>
          <w:color w:val="auto"/>
        </w:rPr>
        <w:t>In 2012, our Board of Directors initiated a quarterly cash dividend program which is subject to the Board’s approval each quarter. Our Board of Directors declared an increase to the quarterly cash dividend from $0.06 to $0.07 per share in May 2013, from $0.07 to $0.08 per share in May 2014, and from $0.08 to $0.09 per share in May 2017. Dividends declared and paid on our common stock totaled $2.7 million or $0.36 per in both 2019 and 2018. On January 23, 2020, our Board of Directors announced the cessation of our quarterly cash dividend on the Company’s common stock to accelerate the investment in sales and marketing, continued product development and infrastructure of the BOHA! ecosystem. The final dividend payment was made in December 2019.</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rPr>
          <w:sz w:val="20"/>
          <w:szCs w:val="20"/>
          <w:color w:val="auto"/>
        </w:rPr>
      </w:pPr>
      <w:r>
        <w:rPr>
          <w:rFonts w:ascii="Arial" w:cs="Arial" w:eastAsia="Arial" w:hAnsi="Arial"/>
          <w:sz w:val="18"/>
          <w:szCs w:val="18"/>
          <w:color w:val="auto"/>
        </w:rPr>
        <w:t>None.</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CORPORATE PERFORMANCE GRAPH</w:t>
      </w:r>
    </w:p>
    <w:p>
      <w:pPr>
        <w:jc w:val="both"/>
        <w:spacing w:after="0" w:line="214" w:lineRule="auto"/>
        <w:rPr>
          <w:sz w:val="20"/>
          <w:szCs w:val="20"/>
          <w:color w:val="auto"/>
        </w:rPr>
      </w:pPr>
      <w:r>
        <w:rPr>
          <w:rFonts w:ascii="Arial" w:cs="Arial" w:eastAsia="Arial" w:hAnsi="Arial"/>
          <w:sz w:val="18"/>
          <w:szCs w:val="18"/>
          <w:color w:val="auto"/>
        </w:rPr>
        <w:t>The following graph compares the cumulative total return on the Company’s Common Stock from December 31, 2014 through December 31, 2019, with the CRSP Total Return Index for the Nasdaq Stock Market (U.S.) and the Nasdaq Computer Hardware Stocks Index. The graph assumes that $100 was invested on December 31, 2014 in each of TransAct’s common stock, the CRSP Total Return Index for the Nasdaq Stock Market (U.S.) and the Nasdaq Computer Manufacturer Stocks Index, and that all dividends were reinvested.</w:t>
      </w:r>
    </w:p>
    <w:p>
      <w:pPr>
        <w:spacing w:after="0" w:line="12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performance graph shall not be deemed “filed” for purposes of Section 18 of the Exchange Act or incorporated by reference into any filings of the Company under the Securities Act of 1933, as amended, or the Exchange Act, except as shall be expressly set forth by specific reference in such filing.</w:t>
      </w:r>
    </w:p>
    <w:p>
      <w:pPr>
        <w:spacing w:after="0" w:line="79" w:lineRule="exact"/>
        <w:rPr>
          <w:sz w:val="20"/>
          <w:szCs w:val="20"/>
          <w:color w:val="auto"/>
        </w:rPr>
      </w:pPr>
    </w:p>
    <w:p>
      <w:pPr>
        <w:jc w:val="center"/>
        <w:ind w:left="340" w:right="2260"/>
        <w:spacing w:after="0" w:line="220" w:lineRule="auto"/>
        <w:rPr>
          <w:sz w:val="20"/>
          <w:szCs w:val="20"/>
          <w:color w:val="auto"/>
        </w:rPr>
      </w:pPr>
      <w:r>
        <w:rPr>
          <w:rFonts w:ascii="Arial" w:cs="Arial" w:eastAsia="Arial" w:hAnsi="Arial"/>
          <w:sz w:val="18"/>
          <w:szCs w:val="18"/>
          <w:b w:val="1"/>
          <w:bCs w:val="1"/>
          <w:color w:val="auto"/>
        </w:rPr>
        <w:t>COMPARISON OF CUMULATIVE TOTAL RETURN AMONG TRANSACT TECHNOLOGIES INCORPORATED COMMON STOCK, THE CRSP TOTAL RETURN INDEX FOR THE NASDAQ STOCK MARKET (U.S.), AND THE NASDAQ COMPUTER MANUFACTURER STOCKS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95250</wp:posOffset>
            </wp:positionV>
            <wp:extent cx="5297805" cy="4080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97805" cy="408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12/31/14</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w w:val="99"/>
              </w:rPr>
              <w:t>12/31/15</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12/31/16</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12/31/17</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12/31/18</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12/31/19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TransAct Technologies Incorporated</w:t>
            </w:r>
          </w:p>
        </w:tc>
        <w:tc>
          <w:tcPr>
            <w:tcW w:w="1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100.00</w:t>
            </w:r>
          </w:p>
        </w:tc>
        <w:tc>
          <w:tcPr>
            <w:tcW w:w="1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157.04</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120.66</w:t>
            </w:r>
          </w:p>
        </w:tc>
        <w:tc>
          <w:tcPr>
            <w:tcW w:w="1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242.23</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164.17</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200.55</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Stock</w:t>
            </w:r>
          </w:p>
        </w:tc>
        <w:tc>
          <w:tcPr>
            <w:tcW w:w="160" w:type="dxa"/>
            <w:vAlign w:val="bottom"/>
            <w:vMerge w:val="continue"/>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7"/>
                <w:szCs w:val="17"/>
                <w:color w:val="auto"/>
              </w:rPr>
              <w:t>CRSP Total Return Index for the Nasdaq</w:t>
            </w:r>
          </w:p>
        </w:tc>
        <w:tc>
          <w:tcPr>
            <w:tcW w:w="160" w:type="dxa"/>
            <w:vAlign w:val="bottom"/>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100.00</w:t>
            </w:r>
          </w:p>
        </w:tc>
        <w:tc>
          <w:tcPr>
            <w:tcW w:w="160" w:type="dxa"/>
            <w:vAlign w:val="bottom"/>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100.48</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113.55</w:t>
            </w:r>
          </w:p>
        </w:tc>
        <w:tc>
          <w:tcPr>
            <w:tcW w:w="160" w:type="dxa"/>
            <w:vAlign w:val="bottom"/>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137.83</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130.33</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170.96</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Stock Market (U.S.)</w:t>
            </w:r>
          </w:p>
        </w:tc>
        <w:tc>
          <w:tcPr>
            <w:tcW w:w="160" w:type="dxa"/>
            <w:vAlign w:val="bottom"/>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6"/>
              </w:rPr>
              <w:t>Nasdaq Computer Hardware Stocks Index</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91.05</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104.94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150.94</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141.35</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259.32</w:t>
            </w:r>
          </w:p>
        </w:tc>
        <w:tc>
          <w:tcPr>
            <w:tcW w:w="0" w:type="dxa"/>
            <w:vAlign w:val="bottom"/>
          </w:tcPr>
          <w:p>
            <w:pPr>
              <w:spacing w:after="0"/>
              <w:rPr>
                <w:sz w:val="1"/>
                <w:szCs w:val="1"/>
                <w:color w:val="auto"/>
              </w:rPr>
            </w:pPr>
          </w:p>
        </w:tc>
      </w:tr>
      <w:tr>
        <w:trPr>
          <w:trHeight w:val="501"/>
        </w:trPr>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6. Selected Financial Data (in thousands, except per share amounts)</w:t>
      </w:r>
    </w:p>
    <w:p>
      <w:pPr>
        <w:spacing w:after="0"/>
        <w:rPr>
          <w:sz w:val="20"/>
          <w:szCs w:val="20"/>
          <w:color w:val="auto"/>
        </w:rPr>
      </w:pPr>
      <w:r>
        <w:rPr>
          <w:rFonts w:ascii="Arial" w:cs="Arial" w:eastAsia="Arial" w:hAnsi="Arial"/>
          <w:sz w:val="18"/>
          <w:szCs w:val="18"/>
          <w:color w:val="auto"/>
        </w:rPr>
        <w:t>The following is summarized from our audited financial statements of the past five years: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color w:val="auto"/>
              </w:rPr>
              <w:t>Year Ended December 31,</w:t>
            </w: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vMerge w:val="restart"/>
          </w:tcPr>
          <w:p>
            <w:pPr>
              <w:spacing w:after="0"/>
              <w:rPr>
                <w:sz w:val="20"/>
                <w:szCs w:val="20"/>
                <w:color w:val="auto"/>
              </w:rPr>
            </w:pPr>
            <w:r>
              <w:rPr>
                <w:rFonts w:ascii="Arial" w:cs="Arial" w:eastAsia="Arial" w:hAnsi="Arial"/>
                <w:sz w:val="18"/>
                <w:szCs w:val="18"/>
                <w:color w:val="auto"/>
              </w:rPr>
              <w:t>Consolidated Statement of Operations Data:</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2019</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2017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2016</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45,748</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54,587</w:t>
            </w:r>
          </w:p>
        </w:tc>
        <w:tc>
          <w:tcPr>
            <w:tcW w:w="3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56,311</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57,235</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59,676</w:t>
            </w:r>
          </w:p>
        </w:tc>
        <w:tc>
          <w:tcPr>
            <w:tcW w:w="0" w:type="dxa"/>
            <w:vAlign w:val="bottom"/>
          </w:tcPr>
          <w:p>
            <w:pPr>
              <w:spacing w:after="0"/>
              <w:rPr>
                <w:sz w:val="1"/>
                <w:szCs w:val="1"/>
                <w:color w:val="auto"/>
              </w:rPr>
            </w:pPr>
          </w:p>
        </w:tc>
      </w:tr>
      <w:tr>
        <w:trPr>
          <w:trHeight w:val="203"/>
        </w:trPr>
        <w:tc>
          <w:tcPr>
            <w:tcW w:w="4620" w:type="dxa"/>
            <w:vAlign w:val="bottom"/>
          </w:tcPr>
          <w:p>
            <w:pPr>
              <w:ind w:left="660"/>
              <w:spacing w:after="0" w:line="202" w:lineRule="exact"/>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21,935</w:t>
            </w:r>
          </w:p>
        </w:tc>
        <w:tc>
          <w:tcPr>
            <w:tcW w:w="24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26,743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26,662</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23,799</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24,978</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21,592</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19,984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19,848</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18,599</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20,510</w:t>
            </w:r>
          </w:p>
        </w:tc>
        <w:tc>
          <w:tcPr>
            <w:tcW w:w="0" w:type="dxa"/>
            <w:vAlign w:val="bottom"/>
          </w:tcPr>
          <w:p>
            <w:pPr>
              <w:spacing w:after="0"/>
              <w:rPr>
                <w:sz w:val="1"/>
                <w:szCs w:val="1"/>
                <w:color w:val="auto"/>
              </w:rPr>
            </w:pPr>
          </w:p>
        </w:tc>
      </w:tr>
      <w:tr>
        <w:trPr>
          <w:trHeight w:val="203"/>
        </w:trPr>
        <w:tc>
          <w:tcPr>
            <w:tcW w:w="4620" w:type="dxa"/>
            <w:vAlign w:val="bottom"/>
          </w:tcPr>
          <w:p>
            <w:pPr>
              <w:ind w:left="660"/>
              <w:spacing w:after="0" w:line="202" w:lineRule="exact"/>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343</w:t>
            </w:r>
          </w:p>
        </w:tc>
        <w:tc>
          <w:tcPr>
            <w:tcW w:w="24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6,759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6,814</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5,200</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516</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5,426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3,211</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3,617</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03"/>
        </w:trPr>
        <w:tc>
          <w:tcPr>
            <w:tcW w:w="4620" w:type="dxa"/>
            <w:vAlign w:val="bottom"/>
          </w:tcPr>
          <w:p>
            <w:pPr>
              <w:ind w:left="660"/>
              <w:spacing w:after="0" w:line="202" w:lineRule="exact"/>
              <w:rPr>
                <w:sz w:val="20"/>
                <w:szCs w:val="20"/>
                <w:color w:val="auto"/>
              </w:rPr>
            </w:pPr>
            <w:r>
              <w:rPr>
                <w:rFonts w:ascii="Arial" w:cs="Arial" w:eastAsia="Arial" w:hAnsi="Arial"/>
                <w:sz w:val="18"/>
                <w:szCs w:val="18"/>
                <w:color w:val="auto"/>
              </w:rPr>
              <w:t>Net income per share: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1300"/>
              <w:spacing w:after="0" w:line="202" w:lineRule="exact"/>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0.07</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0.73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0.43</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0.48</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3"/>
        </w:trPr>
        <w:tc>
          <w:tcPr>
            <w:tcW w:w="4620" w:type="dxa"/>
            <w:vAlign w:val="bottom"/>
          </w:tcPr>
          <w:p>
            <w:pPr>
              <w:ind w:left="1300"/>
              <w:spacing w:after="0" w:line="202" w:lineRule="exact"/>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0.07</w:t>
            </w:r>
          </w:p>
        </w:tc>
        <w:tc>
          <w:tcPr>
            <w:tcW w:w="24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0.70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0.42</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0.47</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Dividends declared and paid per share</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0.36</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0.35</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0.32</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385"/>
        </w:trPr>
        <w:tc>
          <w:tcPr>
            <w:tcW w:w="4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rPr>
              <w:t>December 31,</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20" w:type="dxa"/>
            <w:vAlign w:val="bottom"/>
            <w:vMerge w:val="restart"/>
          </w:tcPr>
          <w:p>
            <w:pPr>
              <w:spacing w:after="0"/>
              <w:rPr>
                <w:sz w:val="20"/>
                <w:szCs w:val="20"/>
                <w:color w:val="auto"/>
              </w:rPr>
            </w:pPr>
            <w:r>
              <w:rPr>
                <w:rFonts w:ascii="Arial" w:cs="Arial" w:eastAsia="Arial" w:hAnsi="Arial"/>
                <w:sz w:val="18"/>
                <w:szCs w:val="18"/>
                <w:color w:val="auto"/>
              </w:rPr>
              <w:t>Consolidated Balance Sheet Data:</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2019</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2017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2016</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36,061</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34,956</w:t>
            </w:r>
          </w:p>
        </w:tc>
        <w:tc>
          <w:tcPr>
            <w:tcW w:w="3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33,950</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32,042</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32,569</w:t>
            </w:r>
          </w:p>
        </w:tc>
        <w:tc>
          <w:tcPr>
            <w:tcW w:w="0" w:type="dxa"/>
            <w:vAlign w:val="bottom"/>
          </w:tcPr>
          <w:p>
            <w:pPr>
              <w:spacing w:after="0"/>
              <w:rPr>
                <w:sz w:val="1"/>
                <w:szCs w:val="1"/>
                <w:color w:val="auto"/>
              </w:rPr>
            </w:pPr>
          </w:p>
        </w:tc>
      </w:tr>
      <w:tr>
        <w:trPr>
          <w:trHeight w:val="230"/>
        </w:trPr>
        <w:tc>
          <w:tcPr>
            <w:tcW w:w="4620" w:type="dxa"/>
            <w:vAlign w:val="bottom"/>
          </w:tcPr>
          <w:p>
            <w:pPr>
              <w:ind w:left="660"/>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25,926</w:t>
            </w: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27,567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26,014</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24,109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25,728</w:t>
            </w:r>
          </w:p>
        </w:tc>
        <w:tc>
          <w:tcPr>
            <w:tcW w:w="0" w:type="dxa"/>
            <w:vAlign w:val="bottom"/>
          </w:tcPr>
          <w:p>
            <w:pPr>
              <w:spacing w:after="0"/>
              <w:rPr>
                <w:sz w:val="1"/>
                <w:szCs w:val="1"/>
                <w:color w:val="auto"/>
              </w:rPr>
            </w:pPr>
          </w:p>
        </w:tc>
      </w:tr>
    </w:tbl>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rPr>
          <w:sz w:val="20"/>
          <w:szCs w:val="20"/>
          <w:color w:val="auto"/>
        </w:rPr>
      </w:pPr>
      <w:r>
        <w:rPr>
          <w:rFonts w:ascii="Arial" w:cs="Arial" w:eastAsia="Arial" w:hAnsi="Arial"/>
          <w:sz w:val="18"/>
          <w:szCs w:val="18"/>
          <w:color w:val="auto"/>
        </w:rPr>
        <w:t>This discussion should be read in conjunction with the Consolidated Financial Statements and notes thereto.</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jc w:val="both"/>
        <w:spacing w:after="0" w:line="209" w:lineRule="auto"/>
        <w:rPr>
          <w:sz w:val="20"/>
          <w:szCs w:val="20"/>
          <w:color w:val="auto"/>
        </w:rPr>
      </w:pPr>
      <w:r>
        <w:rPr>
          <w:rFonts w:ascii="Arial" w:cs="Arial" w:eastAsia="Arial" w:hAnsi="Arial"/>
          <w:sz w:val="18"/>
          <w:szCs w:val="18"/>
          <w:color w:val="auto"/>
        </w:rPr>
        <w:t>During the year ended December 31, 2019, we launched our BOHA! software-as-a-service (“SaaS”)-based software and hardware ecosystem. BOHA! is a comprehensive ecosystem of cloud-based SaaS software applications and hardware designed to help restaurant and food service companies automate their back-of-house operations. BOHA! represents the first single-vendor solution to allow customers to choose from any combination of applications for inventory management, temperature monitoring of food and equipment, food safety labeling, food recalls, checklists &amp; procedures, equipment service management, timers and delivery management. In order to accelerate the investment in sales and marketing and continued product development of the BOHA! ecosystem, the Board of Directors announced the Company will cease our quarterly dividend on the Company’s common stock. The final dividend payment was made in December 2019.</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During 2019, our sales decreased due to declines in all markets other than food service technology. POS automation and banking sales declined due to lower sales of our Ithaca 9000 printer to McDonald’s in 2019 compared to higher than normal levels in 2018. Casino and gaming sales were lower in 2019 due to a large order from a domestic casino operator during 2018 that did not reoccur in 2019 and lower casino and gaming sales to Europe in 2019 compared to 2018 due to a large order from a slot machine manufacturer to replace a competitor’s printer. Sales for our lottery market and TransAct Services Group (“TSG”) market decreased in 2019 compared to 2018 due to lower sales to International Gaming Technology and its subsidiaries (“IGT”). TSG sales to IGT decreased due to lower sales of spare parts in the lottery market during 2019 compared to 2018. These sales declines were as expected as we are no longer focusing on the lottery markets and therefore we expect lottery and TSG sales to continue to decrease in 2020 compared to 2019.</w:t>
      </w:r>
    </w:p>
    <w:p>
      <w:pPr>
        <w:spacing w:after="0" w:line="12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During the year ended December 31, 2019, our total net sales decreased 16% to approximately $45.7 million. We have reclassified sales of labels and other recurring revenue items, which includes extended warranty and service contracts, and technical support services related to our food service technology market, previously included in TSG to Food Service Technology for all periods presented in this Form 10-K. See the table below for a breakdown of our sales by market: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Change</w:t>
            </w:r>
          </w:p>
        </w:tc>
        <w:tc>
          <w:tcPr>
            <w:tcW w:w="980" w:type="dxa"/>
            <w:vAlign w:val="bottom"/>
            <w:tcBorders>
              <w:bottom w:val="single" w:sz="8" w:color="auto"/>
            </w:tcBorders>
          </w:tcPr>
          <w:p>
            <w:pPr>
              <w:spacing w:after="0"/>
              <w:rPr>
                <w:sz w:val="18"/>
                <w:szCs w:val="18"/>
                <w:color w:val="auto"/>
              </w:rPr>
            </w:pP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2019</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2018</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Food service technology</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6,104</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5,086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9.3%</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1,018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 automation and banking</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5,758</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7,273</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Casino and gaming</w:t>
            </w:r>
          </w:p>
        </w:tc>
        <w:tc>
          <w:tcPr>
            <w:tcW w:w="30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21,529</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47.1%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26,593</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48.7%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(5,064)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(19.0%)</w:t>
            </w: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Lottery</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1,291</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3,093</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(58.3%)</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Printrex</w:t>
            </w:r>
          </w:p>
        </w:tc>
        <w:tc>
          <w:tcPr>
            <w:tcW w:w="30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1,166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1,297</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(10.1%)</w:t>
            </w: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TSG</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9,900</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11,245</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(1,345)</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(12.0%)</w:t>
            </w:r>
          </w:p>
        </w:tc>
      </w:tr>
      <w:tr>
        <w:trPr>
          <w:trHeight w:val="203"/>
        </w:trPr>
        <w:tc>
          <w:tcPr>
            <w:tcW w:w="320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45,748</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54,587</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(8,839)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(16.2%)</w:t>
            </w:r>
          </w:p>
        </w:tc>
      </w:tr>
      <w:tr>
        <w:trPr>
          <w:trHeight w:val="20"/>
        </w:trPr>
        <w:tc>
          <w:tcPr>
            <w:tcW w:w="3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Sales of our food service technology products increased 20% in the year ended December 31, 2019 compared to the year ended December 31, 2018. In the food service technology market, we focus on providing hardware products, which include terminals, handheld devices, tablets, temperature probes and temperature sensors; in addition to cloud-based software applications, labels and other recurring revenue items. In 2019, we launched our BOHA! solution, which combines our latest generation terminal, cloud-based software applications and hardware into a unique solution to automate the back-of-house operations in restaurants and food service operations. Food service technology sales increased in 2019 primarily due to a 264% increase in recurring revenue attributable to sales of BOHA!, which sales reflect subscriptions for the related software applications, as well as sales of labels, extended warranty and service contracts, and technical support services. We expect food service technology to increase in 2020 as we plan to accelerate investments in selling and marketing and product development to exploit the significant market opportunities.</w:t>
      </w:r>
    </w:p>
    <w:p>
      <w:pPr>
        <w:spacing w:after="0" w:line="126"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Sales of our POS automation and banking products decreased 21% in the year ended December 31, 2019 compared to the year ended December 31, 2018. In the POS market, we focus primarily on supplying printers that print receipts or linerless labels for customers in the restaurant and quick serve markets. During the year ended December 31, 2019, sales of our Ithaca 9000 printer to McDonald’s slowed from the record pace of the prior two years, which we expect to continue in 2020. In the banking market, we had focused mainly on supplying printers for use in bank teller stations at banks and financial institutions primarily in the U.S. As we continue to shift our focus to our new food service technology market, we do not expect any future sales of these legacy products, as we exited the banking market at the end of 2018.</w:t>
      </w:r>
    </w:p>
    <w:p>
      <w:pPr>
        <w:sectPr>
          <w:pgSz w:w="11900" w:h="16838" w:orient="portrait"/>
          <w:cols w:equalWidth="0" w:num="1">
            <w:col w:w="11240"/>
          </w:cols>
          <w:pgMar w:left="320" w:top="96" w:right="339" w:bottom="144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type w:val="continuous"/>
        </w:sectPr>
      </w:pPr>
    </w:p>
    <w:bookmarkStart w:id="17" w:name="page18"/>
    <w:bookmarkEnd w:id="17"/>
    <w:p>
      <w:pPr>
        <w:jc w:val="both"/>
        <w:spacing w:after="0" w:line="211" w:lineRule="auto"/>
        <w:rPr>
          <w:sz w:val="20"/>
          <w:szCs w:val="20"/>
          <w:color w:val="auto"/>
        </w:rPr>
      </w:pPr>
      <w:r>
        <w:rPr>
          <w:rFonts w:ascii="Arial" w:cs="Arial" w:eastAsia="Arial" w:hAnsi="Arial"/>
          <w:sz w:val="18"/>
          <w:szCs w:val="18"/>
          <w:color w:val="auto"/>
        </w:rPr>
        <w:t>Sales of our casino and gaming products decreased 19% in 2019 compared to 2018. In our casino and gaming market, our focus lies primarily in supplying printers worldwide for use in slot machines at casinos and racetracks, as well as in other electronic gaming devices that print tickets or receipts. Additionally, we supplement these printer sales with revenue from EPICENTRAL™, our promotional printing system that enables casino operators to create promotional coupons and marketing messages and print them real time at the slot machine. The decrease of casino and gaming printer sales is primarily due to decreased domestic and international sales of our thermal casino printers of 18% and 17%, respectively. The decrease in domestic thermal casino printers was driven primarily by lower sales to our OEMs and a large order of replacement printers from a domestic casino operator in 2018 that did not reoccur in 2019. Total casino and gaming sales also decreased, although to a lesser extent, due to a 23% decrease in sales of our international off-premise gaming printers.</w:t>
      </w:r>
    </w:p>
    <w:p>
      <w:pPr>
        <w:spacing w:after="0" w:line="124"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During the year ended December 31, 2019, total lottery printer sales decreased approximately 58% due to lower sales to IGT. Our sales to IGT each year are directly dependent on the timing and number of new and upgraded lottery terminal installations IGT performs and are not indicative of IGT’s overall business or revenue. On December 31, 2019, we decided to end our non-exclusive agreement with IGT and exit the lottery market as we have shifted our focus to our higher-value, technology-enabled market for food service technology and casino and gaming products. We do expect IGT to make a last time buy of lottery printers in 2020, with no future sales expected beyond 2020.</w:t>
      </w:r>
    </w:p>
    <w:p>
      <w:pPr>
        <w:spacing w:after="0" w:line="12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Sales of our Printrex branded printers include wide format, rack mounted and vehicle mounted thermal printers used by customers to log and plot oil field and down hole well drilling data in the oil and gas exploration industry. During the year ended December 31, 2019, we experienced a 10% decline in Printrex oil and gas printer sales. Although we will continue to fulfill orders from existing customers during 2020, we have shifted our focus away from this market and towards our higher value, technology enabled restaurant solution terminals and casino and gaming products.</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TSG, which sells service, replacement parts and consumable products, including receipt paper, ribbons and inkjet cartridges, continues to offer a recurring revenue stream for the Company. TSG sales decreased 12% in 2019 from 2018 primarily due to lower sales of lottery printer spare parts to IGT for a legacy lottery printer. Although the installed base of our thermal lottery printers remains large, we expect sales of spare parts to IGT to decline and overall TSG sales to decrease in 2020 compared to 2019.</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Operationally, our gross margin was 47.9% in 2019, a decrease of 110 basis points from 2018 when we reached our highest reported full year gross margin of 49%.</w:t>
      </w:r>
    </w:p>
    <w:p>
      <w:pPr>
        <w:spacing w:after="0" w:line="12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During 2019 our operating margin declined to 0.7% compared to 12.4% in 2018 primarily due to the 16% decline in sales and 8% increase in operating expenses. Operating expenses increased primarily due to increased investments in the launch of BOHA!. During 2020, we expect operating expenses to increase more significantly compared to 2019, as we accelerate investment in engineering and selling and marketing to take advantage of the opportunities we see in the food service technology market.</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reported net income of $0.5 million and net income per diluted share of $0.07 for 2019, compared to $5.4 million and net income per diluted share of $0.70 for 2018. In terms of cash flow for 2019 we generated $4.8 million of cash from operating activities. We also returned $2.7 million to our shareholders during 2019 in the form of cash dividends. We ended the year with cash and cash equivalents of $4.2 million and no debt on our Consolidated Balance Sheet at December 31, 2019.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jc w:val="both"/>
        <w:spacing w:after="0" w:line="21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judgments and assumptions that affect both Balance Sheet items and Statement of Income categories. Such estimates and judgments are based upon historical experience and certain assumptions that are believed to be reasonable in the particular circumstances. We evaluate our assumptions on an ongoing basis by comparing actual results with our estimates. Actual results may differ from the original estimates.</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following accounting policies are those that we believe to be most critical in the preparation of our financial statements. These items utilize assumptions and estimates about the effect of future events that are inherently uncertain and are therefore based on our judgment. Please refer to Note 2 – Summary of significant accounting policies in the accompanying Consolidated Financial Statements for a complete listing of our accounting policies.</w:t>
      </w:r>
    </w:p>
    <w:p>
      <w:pPr>
        <w:spacing w:after="0" w:line="106"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 We account for revenue in accordance with ASC Topic 606: Revenue from Contracts with Customers. We adopted ASC 606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January 1, 2018 and elected the modified retrospective approach. The results for periods before 2018 were not adjusted for the new standard and there was no cumulative effect for the change in accounting at the date of adoption. In accordance with ASC 606, a performance obligation is a promise in a contract with a customer to transfer a distinct good or service to the customer. Some of our contracts with customers contain a single performance obligation, while other contracts contain multiple performance obligations (most commonly when contracts include a hardware product, software and extended warranties). A contract's transaction price is allocated to each distinct performance obligation and recognized as revenue when, or as, the performance obligation is satisfied.</w:t>
      </w:r>
    </w:p>
    <w:p>
      <w:pPr>
        <w:spacing w:after="0" w:line="97"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The transaction price is determined based on the consideration to which the Company will be entitled in exchange for transferring services to the customer. To the extent the transaction price includes variable consideration, such as price protection, reserves for returns and other allowances,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the Company’s judgment, it is probable that a significant future reversal of cumulative revenue under the contract will not occur.</w:t>
      </w:r>
    </w:p>
    <w:p>
      <w:pPr>
        <w:spacing w:after="0" w:line="12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For a majority of our revenue, which consists of printers, terminals, consumables, and replacement parts, the Company recognizes revenue as of a point of time. The transaction price is recognized upon shipment of the order when control of the goods is transferred to the customer and at the time the performance obligation is fulfilled. We also sell a software solution in our casino and gaming market, EPICENTRAL™, that enables casino operators to</w:t>
      </w:r>
    </w:p>
    <w:p>
      <w:pPr>
        <w:spacing w:after="0" w:line="2" w:lineRule="exact"/>
        <w:rPr>
          <w:sz w:val="20"/>
          <w:szCs w:val="20"/>
          <w:color w:val="auto"/>
        </w:rPr>
      </w:pPr>
    </w:p>
    <w:p>
      <w:pPr>
        <w:jc w:val="both"/>
        <w:spacing w:after="0" w:line="193" w:lineRule="auto"/>
        <w:rPr>
          <w:sz w:val="20"/>
          <w:szCs w:val="20"/>
          <w:color w:val="auto"/>
        </w:rPr>
      </w:pPr>
      <w:r>
        <w:rPr>
          <w:rFonts w:ascii="Arial" w:cs="Arial" w:eastAsia="Arial" w:hAnsi="Arial"/>
          <w:sz w:val="18"/>
          <w:szCs w:val="18"/>
          <w:color w:val="auto"/>
        </w:rPr>
        <w:t>create promotional coupons and marketing messages and to print them in real-time at the slot machine. EPICENTRAL</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is primarily comprised of both a software component, which is licensed to the customer, and a hardware component. EPICENTRAL™ software and hardware are integrated to deliver the system's full functionality. The transaction prices from EPICENTRAL™ software license and hardware are recognized upon installation and formal acceptance by the customer when control of the license is transferred to the customer. For out-of-warranty repairs, the transaction price is recognized after the repair work is completed and the printer or terminal is returned to the customer, as control of the product is transferred to the customer and our performance obligation is completed.</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jc w:val="both"/>
        <w:spacing w:after="0" w:line="222" w:lineRule="auto"/>
        <w:rPr>
          <w:sz w:val="20"/>
          <w:szCs w:val="20"/>
          <w:color w:val="auto"/>
        </w:rPr>
      </w:pPr>
      <w:r>
        <w:rPr>
          <w:rFonts w:ascii="Arial" w:cs="Arial" w:eastAsia="Arial" w:hAnsi="Arial"/>
          <w:sz w:val="17"/>
          <w:szCs w:val="17"/>
          <w:color w:val="auto"/>
        </w:rPr>
        <w:t>Performance obligations are satisfied over time if the customer receives the benefits as we perform work, if the customer controls the asset as it is being produced, or if the product being produced for the customer has no alternative use and we have a contractual right to payment. For our separately priced extended warranty, BOHA! cloud-based software applications, technical support for our food service technology terminals and maintenance agreements (including free one-year maintenance received by the customers upon completion of EPICENTRAL™ installation) revenue is recognized over time as the customer receives the benefit. The transaction price from the maintenance services is recognized ratably over time, using output methods, as control of the services is transferred to the customer. The cloud-based software component of BOHA! allows customers to use hosted software over the contract period without taking possession of the software and are provided on a subscription basis and is recognized ratably over the contract period. For extended warranties, the transaction price is recognized ratably over the warranty period, using output methods, as control of the services is transferred to the customer.</w:t>
      </w:r>
    </w:p>
    <w:p>
      <w:pPr>
        <w:spacing w:after="0" w:line="128"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When there is more than one performance obligation in a customer arrangement, the Company typically uses the “standalone selling price” method to determine the transaction price to allocate to each performance obligation. The Company sells the performance obligations separately and has established standalone selling prices for its products and services. In the case of an overall price discount, the discount is applied to each performance obligation proportionately based on standalone selling price. To determine the standalone selling price for initial EPICENTRAL™ installations, the Company uses the adjusted market assessment approach.</w:t>
      </w:r>
    </w:p>
    <w:p>
      <w:pPr>
        <w:spacing w:after="0" w:line="12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 We have standardized credit granting and review policies and procedures for all customer accounts, including: credit reviews of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customer accounts; ongoing credit evaluations of current customers; credit limits and payment terms based on available credit information; and adjustments to credit limits based upon payment history and the customer’s current creditworthiness. We also provide an estimate of doubtful accounts based on historical experience and specific customer collection issues. Our allowance for doubtful accounts as of December 31, 2019 was $221 thousand, or 3.3% of outstanding accounts receivable, which we believe is appropriate considering the overall quality of our accounts receivable. Although credit losses have historically been within expectations and the reserves established, there is no assurance that our credit loss experience will continue to be consistent with historical experience.</w:t>
      </w:r>
    </w:p>
    <w:p>
      <w:pPr>
        <w:spacing w:after="0" w:line="124" w:lineRule="exact"/>
        <w:rPr>
          <w:sz w:val="20"/>
          <w:szCs w:val="20"/>
          <w:color w:val="auto"/>
        </w:rPr>
      </w:pPr>
    </w:p>
    <w:p>
      <w:pPr>
        <w:jc w:val="both"/>
        <w:spacing w:after="0" w:line="226" w:lineRule="auto"/>
        <w:rPr>
          <w:sz w:val="20"/>
          <w:szCs w:val="20"/>
          <w:color w:val="auto"/>
        </w:rPr>
      </w:pPr>
      <w:r>
        <w:rPr>
          <w:rFonts w:ascii="Arial" w:cs="Arial" w:eastAsia="Arial" w:hAnsi="Arial"/>
          <w:sz w:val="17"/>
          <w:szCs w:val="17"/>
          <w:b w:val="1"/>
          <w:bCs w:val="1"/>
          <w:i w:val="1"/>
          <w:iCs w:val="1"/>
          <w:color w:val="auto"/>
        </w:rPr>
        <w:t xml:space="preserve">Inventories </w:t>
      </w:r>
      <w:r>
        <w:rPr>
          <w:rFonts w:ascii="Arial" w:cs="Arial" w:eastAsia="Arial" w:hAnsi="Arial"/>
          <w:sz w:val="17"/>
          <w:szCs w:val="17"/>
          <w:color w:val="auto"/>
        </w:rPr>
        <w:t>– Our inventories are stated at the lower of cost (principally standard cost, which approximates actual cost on a first-in, first-out basis) or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realizable value. We review net realizable value based on estimated selling prices in the ordinary course of business less estimated costs of completion, disposal and transportation, historical usage and estimates of future demand. Assumptions are reviewed at least quarterly and adjustments are made, as necessary, to reflect changing market conditions. Based on these reviews, inventory write-downs are recorded, as necessary, to reflect estimated obsolescence, excess quantities and net realizable value. Should circumstances change and we determine that additional inventory is subject to obsolescence, additional write-downs of inventory could result in a charge to income.</w:t>
      </w:r>
    </w:p>
    <w:p>
      <w:pPr>
        <w:spacing w:after="0" w:line="124"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i w:val="1"/>
          <w:iCs w:val="1"/>
          <w:color w:val="auto"/>
        </w:rPr>
        <w:t xml:space="preserve">Goodwill and Intangible Assets </w:t>
      </w:r>
      <w:r>
        <w:rPr>
          <w:rFonts w:ascii="Arial" w:cs="Arial" w:eastAsia="Arial" w:hAnsi="Arial"/>
          <w:sz w:val="16"/>
          <w:szCs w:val="16"/>
          <w:color w:val="auto"/>
        </w:rPr>
        <w:t>– We acquire businesses in purchase transactions that result in the recognition of goodwill and intangible assets.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determination of the value of intangible assets requires management to make estimates and assumptions. In accordance with ASC 350-20 “Goodwill”, acquired goodwill is not amortized, but is subject to impairment testing at least annually and when an event occurs or circumstances change, which indicate it is more likely than not an impairment exists. Factors considered that may trigger an impairment review are: significant underperformance relative to expected historical or projected future operating results; significant changes in the manner of use of acquired assets or the strategy for the overall business; significant negative industry or economic trends; and significant decline in market capitalization relative to net book value. Definite-lived intangible assets are amortized and are tested for impairment when appropriate. We reported $2.6 million of goodwill and $0.8 million of unamortized definite-lived intangible assets at December 31, 2019. We have determined that no goodwill or intangible asset impairment has occurred and the fair value of goodwill was substantially higher than our carrying value based on our assessment as of December 31, 2019 when the impairment review was performed.</w:t>
      </w:r>
    </w:p>
    <w:p>
      <w:pPr>
        <w:spacing w:after="0" w:line="12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 In preparing our Consolidated Financial Statements, we are required to estimate income taxes in each of the jurisdictions in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operate. This involves estimating the actual current tax exposure together with assessing temporary differences between the tax basis of certain assets and liabilities and their reported amounts in the financial statements, as well as net operating losses, tax credits and other carryforwards. These differences result in deferred tax assets and liabilities, which are reflected in our Consolidated Balance Sheets. We then assess the likelihood that the deferred tax assets will be realized from future taxable income, and to the extent that we believe that realization is not likely, we establish a valuation allowance.</w:t>
      </w:r>
    </w:p>
    <w:p>
      <w:pPr>
        <w:spacing w:after="0" w:line="118"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Significant judgment is required in determining the provision for income taxes and, in particular, any valuation allowance or tax reserves with respect to our deferred tax assets and uncertain tax positions. On a quarterly basis, we evaluate the recoverability of our deferred tax assets based upon historical results and forecasted taxable income over future years, and match this forecast against the basis differences, deductions available in future years and the limitations allowed for net operating loss and tax credit carryforwards to ensure that there is adequate support for the realization of the deferred tax assets. Although we have considered future taxable income and ongoing prudent and feasible tax planning strategies in assessing the need for a valuation allowance, in the event we were to determine that we would not be able to realize all or part of our deferred tax assets in the future, an adjustment to the valuation allowance or tax reserves would be charged as a reduction to income in the period such determination was made. Likewise, should we determine that we would be able to realize future deferred tax assets in excess of its net recorded amount, an adjustment to the valuation allowance would increase net income in the period such determination was made.</w:t>
      </w:r>
    </w:p>
    <w:p>
      <w:pPr>
        <w:spacing w:after="0" w:line="128"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We account for income taxes in accordance with ASC 740, “Income Taxes.” Among other things this provision prescribes a minimum recognition threshold that an income tax position must meet before it is recorded in the reporting entity’s financial statements. It also requires that the effects of such income tax positions be recognized only if, as of the balance sheet reporting date, it is “more likely than not” (i.e., more than a 50% likelihood) that the income tax position will be sustained based solely on its technical merits. When making this assessment, management must assume that the responsible taxing authority will examine the income tax position and have full knowledge of all relevant facts and other pertinent information. The accounting guidance also clarifies the method of accruing for interest and penalties when there is a difference between the amount claimed, or expected to be claimed, on a company’s income tax returns and the benefits recognized in the financial statements. See Note 11 to the consolidated financial statements for further details of the impact of the Tax Reform Act.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jc w:val="both"/>
        <w:spacing w:after="0" w:line="219" w:lineRule="auto"/>
        <w:rPr>
          <w:sz w:val="20"/>
          <w:szCs w:val="20"/>
          <w:color w:val="auto"/>
        </w:rPr>
      </w:pPr>
      <w:r>
        <w:rPr>
          <w:rFonts w:ascii="Arial" w:cs="Arial" w:eastAsia="Arial" w:hAnsi="Arial"/>
          <w:sz w:val="18"/>
          <w:szCs w:val="18"/>
          <w:b w:val="1"/>
          <w:bCs w:val="1"/>
          <w:i w:val="1"/>
          <w:iCs w:val="1"/>
          <w:color w:val="auto"/>
        </w:rPr>
        <w:t xml:space="preserve">Warranty </w:t>
      </w:r>
      <w:r>
        <w:rPr>
          <w:rFonts w:ascii="Arial" w:cs="Arial" w:eastAsia="Arial" w:hAnsi="Arial"/>
          <w:sz w:val="18"/>
          <w:szCs w:val="18"/>
          <w:color w:val="auto"/>
        </w:rPr>
        <w:t>– We generally warrant our products for up to 24 months and record the estimated cost of such product warranties at the time the sale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Estimated warranty costs are based upon actual past experience of product repairs and the related estimated cost of labor and material to make the necessary repairs. If actual future product repair rates or the actual costs of material and labor differ from the estimates, adjustments to the accrued warranty liability and related warranty expense would be made.</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Share-Based Compensation </w:t>
      </w:r>
      <w:r>
        <w:rPr>
          <w:rFonts w:ascii="Arial" w:cs="Arial" w:eastAsia="Arial" w:hAnsi="Arial"/>
          <w:sz w:val="16"/>
          <w:szCs w:val="16"/>
          <w:color w:val="auto"/>
        </w:rPr>
        <w:t>– We calculate share-based compensation expense in accordance with ASC 718, “Compensation – Stock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using the Black-Scholes option-pricing model to calculate the fair value of share-based awards. The key assumptions for this valuation method include the expected term of an option grant, stock price volatility, risk-free interest rate, and dividend yield. We account for forfeitures as they occur.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Year ended December 31, 2019 compared to Year ended December 31, 2018</w:t>
      </w:r>
    </w:p>
    <w:p>
      <w:pPr>
        <w:spacing w:after="0" w:line="14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b w:val="1"/>
          <w:bCs w:val="1"/>
          <w:i w:val="1"/>
          <w:iCs w:val="1"/>
          <w:color w:val="auto"/>
        </w:rPr>
        <w:t xml:space="preserve">Net Sales. </w:t>
      </w:r>
      <w:r>
        <w:rPr>
          <w:rFonts w:ascii="Arial" w:cs="Arial" w:eastAsia="Arial" w:hAnsi="Arial"/>
          <w:sz w:val="17"/>
          <w:szCs w:val="17"/>
          <w:color w:val="auto"/>
        </w:rPr>
        <w:t>Net sales, which include printer, terminal and software sales as well as sales of replacement parts, consumables and maintenance and repair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by market for the years ended December 31, 2019 and 2018 are detailed in the below table. We have reclassified sales of labels and other recurring revenue items, which includes extended warranty and service contracts, and technical support services related to our food service technology market, previously included in TSG to Food Service Technology for all periods presented in this Form 10-K.</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Change</w:t>
            </w:r>
          </w:p>
        </w:tc>
        <w:tc>
          <w:tcPr>
            <w:tcW w:w="980" w:type="dxa"/>
            <w:vAlign w:val="bottom"/>
            <w:tcBorders>
              <w:bottom w:val="single" w:sz="8" w:color="auto"/>
            </w:tcBorders>
          </w:tcPr>
          <w:p>
            <w:pPr>
              <w:spacing w:after="0"/>
              <w:rPr>
                <w:sz w:val="18"/>
                <w:szCs w:val="18"/>
                <w:color w:val="auto"/>
              </w:rPr>
            </w:pPr>
          </w:p>
        </w:tc>
      </w:tr>
      <w:tr>
        <w:trPr>
          <w:trHeight w:val="209"/>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2019</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2018</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Food service technology</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6,104</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5,086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9.3%</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1,018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 automation and banking</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5,758</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7,273</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Casino and gaming</w:t>
            </w:r>
          </w:p>
        </w:tc>
        <w:tc>
          <w:tcPr>
            <w:tcW w:w="30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21,529</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47.1%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26,593</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48.7%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(5,064)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(19.0%)</w:t>
            </w: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Lottery</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1,291</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3,093</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(58.3%)</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Printrex</w:t>
            </w:r>
          </w:p>
        </w:tc>
        <w:tc>
          <w:tcPr>
            <w:tcW w:w="30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1,166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1,297</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(10.1%)</w:t>
            </w: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TSG</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9,900</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11,245</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(1,345)</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(12.0%)</w:t>
            </w:r>
          </w:p>
        </w:tc>
      </w:tr>
      <w:tr>
        <w:trPr>
          <w:trHeight w:val="203"/>
        </w:trPr>
        <w:tc>
          <w:tcPr>
            <w:tcW w:w="320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45,748</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54,587</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(8,839)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(16.2%)</w:t>
            </w:r>
          </w:p>
        </w:tc>
      </w:tr>
      <w:tr>
        <w:trPr>
          <w:trHeight w:val="20"/>
        </w:trPr>
        <w:tc>
          <w:tcPr>
            <w:tcW w:w="3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3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10,416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22.8%</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11,069</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20.3%</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(653)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r>
      <w:tr>
        <w:trPr>
          <w:trHeight w:val="21"/>
        </w:trPr>
        <w:tc>
          <w:tcPr>
            <w:tcW w:w="3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2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International sales do not include sales of products made to domestic distributors or other customers who in turn ship those products to international destinations.</w:t>
      </w:r>
    </w:p>
    <w:p>
      <w:pPr>
        <w:spacing w:after="0" w:line="116"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Net sales for 2019 decreased $8.8 million, or 16%, from 2018. Printer, terminal and other hardware sales volume decreased by 22% to approximately 111,000 units, driven primarily by a 17% decrease in unit volume from the casino and gaming market and, to a lesser extent, a 66% and 22% decrease in the lottery market and POS automation and banking market, respectively. The average selling price of our printers, terminals and other hardware increased 2% during 2019 compared to 2018.</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International sales decreased $0.7 million, or 6%, primarily driven by a 7% decrease of international casino and gaming sales. This increase was partially offset by a 31% increase from our international food service technology market during 2019 compared to 2018.</w:t>
      </w:r>
    </w:p>
    <w:p>
      <w:pPr>
        <w:spacing w:after="0" w:line="121" w:lineRule="exact"/>
        <w:rPr>
          <w:sz w:val="20"/>
          <w:szCs w:val="20"/>
          <w:color w:val="auto"/>
        </w:rPr>
      </w:pPr>
    </w:p>
    <w:p>
      <w:pPr>
        <w:jc w:val="both"/>
        <w:spacing w:after="0" w:line="233" w:lineRule="auto"/>
        <w:rPr>
          <w:sz w:val="20"/>
          <w:szCs w:val="20"/>
          <w:color w:val="auto"/>
        </w:rPr>
      </w:pPr>
      <w:r>
        <w:rPr>
          <w:rFonts w:ascii="Arial" w:cs="Arial" w:eastAsia="Arial" w:hAnsi="Arial"/>
          <w:sz w:val="16"/>
          <w:szCs w:val="16"/>
          <w:i w:val="1"/>
          <w:iCs w:val="1"/>
          <w:color w:val="auto"/>
        </w:rPr>
        <w:t xml:space="preserve">Food service technology: </w:t>
      </w:r>
      <w:r>
        <w:rPr>
          <w:rFonts w:ascii="Arial" w:cs="Arial" w:eastAsia="Arial" w:hAnsi="Arial"/>
          <w:sz w:val="16"/>
          <w:szCs w:val="16"/>
          <w:color w:val="auto"/>
        </w:rPr>
        <w:t>The primary offering in the food service technology market is our BOHA! ecosystem, which combines our latest generation</w:t>
      </w:r>
      <w:r>
        <w:rPr>
          <w:rFonts w:ascii="Arial" w:cs="Arial" w:eastAsia="Arial" w:hAnsi="Arial"/>
          <w:sz w:val="16"/>
          <w:szCs w:val="16"/>
          <w:i w:val="1"/>
          <w:iCs w:val="1"/>
          <w:color w:val="auto"/>
        </w:rPr>
        <w:t xml:space="preserve"> </w:t>
      </w:r>
      <w:r>
        <w:rPr>
          <w:rFonts w:ascii="Arial" w:cs="Arial" w:eastAsia="Arial" w:hAnsi="Arial"/>
          <w:sz w:val="16"/>
          <w:szCs w:val="16"/>
          <w:color w:val="auto"/>
        </w:rPr>
        <w:t>terminal, cloud-based software applications and related hardware into a unique solution to automate back-of-house operations in restaurants and food service operations. The software component of BOHA! consists of a suite of SaaS-based applications, including applications for inventory management, temperature monitoring of food and equipment, timers, food safety labeling, food recalls, checklists and procedures, equipment service management, and delivery management. These applications are combined into a single platform with the associated hardware, which includes the BOHA! terminal, handheld devices, tablets, temperature probes and temperature sensors. The BOHA! terminal combines the software and hardware components in a device that includes an operating system, touchscreen and one or two thermal print mechanisms that print easy-to-read food rotation labels, grab and go labels for prepared foods, and “enjoy by” date labels. The BOHA! terminal is equipped with the TransAct Enterprise Management System to ensure that only approved applications and functions are available on the device, and allows over-the-air updates to the applications and operating system. BOHA! helps food service establishments and restaurants (including fine dining, casual dining, fast casual and quick-serve restaurants, convenience stores, hospitality establishments and contract food service providers) effectively manage food safety and grab-and-go initiatives, as well as automate and manage back-of-house operations. Recurring revenue from BOHA! is generated by software sales, including software subscriptions that are charged to customers upfront on a per-application basis, as well as sales of labels, extended warranty and service contracts, and technical support services. In the food service technology market, we use an internal sales force and, to a lesser extent, distributors, to solicit sales directly from end users. Sales of our worldwide food service technology products for the years ended December 31, 2019 and 2018 is as follows (in thousands, except percentages):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5"/>
          </w:tcPr>
          <w:p>
            <w:pPr>
              <w:jc w:val="center"/>
              <w:ind w:left="110"/>
              <w:spacing w:after="0"/>
              <w:rPr>
                <w:sz w:val="20"/>
                <w:szCs w:val="20"/>
                <w:color w:val="auto"/>
              </w:rPr>
            </w:pPr>
            <w:r>
              <w:rPr>
                <w:rFonts w:ascii="Arial" w:cs="Arial" w:eastAsia="Arial" w:hAnsi="Arial"/>
                <w:sz w:val="18"/>
                <w:szCs w:val="18"/>
                <w:color w:val="auto"/>
                <w:w w:val="88"/>
              </w:rPr>
              <w:t>Year Ended</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5"/>
          </w:tcPr>
          <w:p>
            <w:pPr>
              <w:jc w:val="center"/>
              <w:ind w:left="110"/>
              <w:spacing w:after="0"/>
              <w:rPr>
                <w:sz w:val="20"/>
                <w:szCs w:val="20"/>
                <w:color w:val="auto"/>
              </w:rPr>
            </w:pPr>
            <w:r>
              <w:rPr>
                <w:rFonts w:ascii="Arial" w:cs="Arial" w:eastAsia="Arial" w:hAnsi="Arial"/>
                <w:sz w:val="18"/>
                <w:szCs w:val="18"/>
                <w:color w:val="auto"/>
                <w:w w:val="88"/>
              </w:rPr>
              <w:t>Year Ended</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5"/>
          </w:tcPr>
          <w:p>
            <w:pPr>
              <w:ind w:left="640"/>
              <w:spacing w:after="0"/>
              <w:rPr>
                <w:sz w:val="20"/>
                <w:szCs w:val="20"/>
                <w:color w:val="auto"/>
              </w:rPr>
            </w:pPr>
            <w:r>
              <w:rPr>
                <w:rFonts w:ascii="Arial" w:cs="Arial" w:eastAsia="Arial" w:hAnsi="Arial"/>
                <w:sz w:val="18"/>
                <w:szCs w:val="18"/>
                <w:color w:val="auto"/>
              </w:rPr>
              <w:t>Change</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5"/>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89"/>
              </w:rPr>
              <w:t>December 31, 2019</w:t>
            </w:r>
          </w:p>
        </w:tc>
        <w:tc>
          <w:tcPr>
            <w:tcW w:w="5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5"/>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89"/>
              </w:rPr>
              <w:t>December 31, 2018</w:t>
            </w:r>
          </w:p>
        </w:tc>
        <w:tc>
          <w:tcPr>
            <w:tcW w:w="5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5,522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90.5%</w:t>
            </w:r>
          </w:p>
        </w:tc>
        <w:tc>
          <w:tcPr>
            <w:tcW w:w="380" w:type="dxa"/>
            <w:vAlign w:val="bottom"/>
            <w:gridSpan w:val="3"/>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4,640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91.2%</w:t>
            </w:r>
          </w:p>
        </w:tc>
        <w:tc>
          <w:tcPr>
            <w:tcW w:w="400" w:type="dxa"/>
            <w:vAlign w:val="bottom"/>
            <w:gridSpan w:val="3"/>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882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582</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9.5%</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446</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8.8%</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136</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6,104</w:t>
            </w:r>
          </w:p>
        </w:tc>
        <w:tc>
          <w:tcPr>
            <w:tcW w:w="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w w:val="98"/>
              </w:rPr>
              <w:t>100.0%</w:t>
            </w:r>
          </w:p>
        </w:tc>
        <w:tc>
          <w:tcPr>
            <w:tcW w:w="100" w:type="dxa"/>
            <w:vAlign w:val="bottom"/>
            <w:gridSpan w:val="2"/>
          </w:tcPr>
          <w:p>
            <w:pPr>
              <w:spacing w:after="0"/>
              <w:rPr>
                <w:sz w:val="17"/>
                <w:szCs w:val="17"/>
                <w:color w:val="auto"/>
              </w:rPr>
            </w:pPr>
          </w:p>
        </w:tc>
        <w:tc>
          <w:tcPr>
            <w:tcW w:w="2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5,086</w:t>
            </w:r>
          </w:p>
        </w:tc>
        <w:tc>
          <w:tcPr>
            <w:tcW w:w="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w w:val="98"/>
              </w:rPr>
              <w:t>100.0%</w:t>
            </w:r>
          </w:p>
        </w:tc>
        <w:tc>
          <w:tcPr>
            <w:tcW w:w="100" w:type="dxa"/>
            <w:vAlign w:val="bottom"/>
            <w:gridSpan w:val="2"/>
          </w:tcPr>
          <w:p>
            <w:pPr>
              <w:spacing w:after="0"/>
              <w:rPr>
                <w:sz w:val="17"/>
                <w:szCs w:val="17"/>
                <w:color w:val="auto"/>
              </w:rPr>
            </w:pPr>
          </w:p>
        </w:tc>
        <w:tc>
          <w:tcPr>
            <w:tcW w:w="30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1,018</w:t>
            </w:r>
          </w:p>
        </w:tc>
        <w:tc>
          <w:tcPr>
            <w:tcW w:w="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8"/>
        </w:trPr>
        <w:tc>
          <w:tcPr>
            <w:tcW w:w="3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gridSpan w:val="5"/>
          </w:tcPr>
          <w:p>
            <w:pPr>
              <w:jc w:val="center"/>
              <w:ind w:left="10"/>
              <w:spacing w:after="0"/>
              <w:rPr>
                <w:sz w:val="20"/>
                <w:szCs w:val="20"/>
                <w:color w:val="auto"/>
              </w:rPr>
            </w:pPr>
            <w:r>
              <w:rPr>
                <w:rFonts w:ascii="Arial" w:cs="Arial" w:eastAsia="Arial" w:hAnsi="Arial"/>
                <w:sz w:val="18"/>
                <w:szCs w:val="18"/>
                <w:color w:val="auto"/>
                <w:w w:val="86"/>
              </w:rPr>
              <w:t>Year Ended</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gridSpan w:val="5"/>
          </w:tcPr>
          <w:p>
            <w:pPr>
              <w:jc w:val="center"/>
              <w:ind w:left="10"/>
              <w:spacing w:after="0"/>
              <w:rPr>
                <w:sz w:val="20"/>
                <w:szCs w:val="20"/>
                <w:color w:val="auto"/>
              </w:rPr>
            </w:pPr>
            <w:r>
              <w:rPr>
                <w:rFonts w:ascii="Arial" w:cs="Arial" w:eastAsia="Arial" w:hAnsi="Arial"/>
                <w:sz w:val="18"/>
                <w:szCs w:val="18"/>
                <w:color w:val="auto"/>
                <w:w w:val="86"/>
              </w:rPr>
              <w:t>Year Ended</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ind w:left="600"/>
              <w:spacing w:after="0"/>
              <w:rPr>
                <w:sz w:val="20"/>
                <w:szCs w:val="20"/>
                <w:color w:val="auto"/>
              </w:rPr>
            </w:pPr>
            <w:r>
              <w:rPr>
                <w:rFonts w:ascii="Arial" w:cs="Arial" w:eastAsia="Arial" w:hAnsi="Arial"/>
                <w:sz w:val="18"/>
                <w:szCs w:val="18"/>
                <w:color w:val="auto"/>
              </w:rPr>
              <w:t>Change</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5"/>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9"/>
              </w:rPr>
              <w:t>December 31, 2019</w:t>
            </w:r>
          </w:p>
        </w:tc>
        <w:tc>
          <w:tcPr>
            <w:tcW w:w="5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5"/>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9"/>
              </w:rPr>
              <w:t>December 31, 2018</w:t>
            </w:r>
          </w:p>
        </w:tc>
        <w:tc>
          <w:tcPr>
            <w:tcW w:w="5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Hardware</w:t>
            </w:r>
          </w:p>
        </w:tc>
        <w:tc>
          <w:tcPr>
            <w:tcW w:w="32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4,169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68.3%</w:t>
            </w:r>
          </w:p>
        </w:tc>
        <w:tc>
          <w:tcPr>
            <w:tcW w:w="60" w:type="dxa"/>
            <w:vAlign w:val="bottom"/>
          </w:tcPr>
          <w:p>
            <w:pPr>
              <w:spacing w:after="0"/>
              <w:rPr>
                <w:sz w:val="17"/>
                <w:szCs w:val="17"/>
                <w:color w:val="auto"/>
              </w:rPr>
            </w:pPr>
          </w:p>
        </w:tc>
        <w:tc>
          <w:tcPr>
            <w:tcW w:w="38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4,555</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89.6%</w:t>
            </w:r>
          </w:p>
        </w:tc>
        <w:tc>
          <w:tcPr>
            <w:tcW w:w="60" w:type="dxa"/>
            <w:vAlign w:val="bottom"/>
          </w:tcPr>
          <w:p>
            <w:pPr>
              <w:spacing w:after="0"/>
              <w:rPr>
                <w:sz w:val="17"/>
                <w:szCs w:val="17"/>
                <w:color w:val="auto"/>
              </w:rPr>
            </w:pPr>
          </w:p>
        </w:tc>
        <w:tc>
          <w:tcPr>
            <w:tcW w:w="400" w:type="dxa"/>
            <w:vAlign w:val="bottom"/>
            <w:gridSpan w:val="3"/>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(386)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Software,  labels  and  other  recurring</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1,935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1,404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32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6,104</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1"/>
              </w:rPr>
              <w:t>100.0%</w:t>
            </w:r>
          </w:p>
        </w:tc>
        <w:tc>
          <w:tcPr>
            <w:tcW w:w="60" w:type="dxa"/>
            <w:vAlign w:val="bottom"/>
          </w:tcPr>
          <w:p>
            <w:pPr>
              <w:spacing w:after="0"/>
              <w:rPr>
                <w:sz w:val="17"/>
                <w:szCs w:val="17"/>
                <w:color w:val="auto"/>
              </w:rPr>
            </w:pPr>
          </w:p>
        </w:tc>
        <w:tc>
          <w:tcPr>
            <w:tcW w:w="38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5,086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1"/>
              </w:rPr>
              <w:t>100.0%</w:t>
            </w:r>
          </w:p>
        </w:tc>
        <w:tc>
          <w:tcPr>
            <w:tcW w:w="60" w:type="dxa"/>
            <w:vAlign w:val="bottom"/>
          </w:tcPr>
          <w:p>
            <w:pPr>
              <w:spacing w:after="0"/>
              <w:rPr>
                <w:sz w:val="17"/>
                <w:szCs w:val="17"/>
                <w:color w:val="auto"/>
              </w:rPr>
            </w:pPr>
          </w:p>
        </w:tc>
        <w:tc>
          <w:tcPr>
            <w:tcW w:w="400" w:type="dxa"/>
            <w:vAlign w:val="bottom"/>
            <w:gridSpan w:val="3"/>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1,018</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1" w:right="339" w:bottom="1440" w:gutter="0" w:footer="0" w:header="0"/>
        </w:sectPr>
      </w:pP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0" w:name="page21"/>
    <w:bookmarkEnd w:id="20"/>
    <w:p>
      <w:pPr>
        <w:jc w:val="both"/>
        <w:spacing w:after="0" w:line="212" w:lineRule="auto"/>
        <w:rPr>
          <w:sz w:val="20"/>
          <w:szCs w:val="20"/>
          <w:color w:val="auto"/>
        </w:rPr>
      </w:pPr>
      <w:r>
        <w:rPr>
          <w:rFonts w:ascii="Arial" w:cs="Arial" w:eastAsia="Arial" w:hAnsi="Arial"/>
          <w:sz w:val="18"/>
          <w:szCs w:val="18"/>
          <w:color w:val="auto"/>
        </w:rPr>
        <w:t>The increase in food service technology sales in 2019 compared to 2018 was driven by sales of our BOHA! software, labels and other recurring revenue. Sales of BOHA! software, recognized on a SaaS subscription basis, labels and other recurring revenue increased by 264%, including a 241% increase in label sales and an eight-fold increase in software sales (though off a low base for 2018). Hardware sales declined approximately 9% primarily due to lower sales of our AccuDate 9700 terminal to our former U.S. distributor. Sales of our new BOHA! terminal and other hardware products partially offset the decline of the AccuDate 9700 terminal, increasing 4% in 2019 compared to 2018. We expect food service technology sales to increase in 2020 compared to 2019 as we convert the investments we have made, and will continue to make in our BOHA! products, into sales, including recurring software subscription, service and label sales.</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International food service technology sales increased during 2019 compared to 2018 primarily due to increased sales of the BOHA! ecosystem to a casino operator in Asia and a quick serve chain in Canada.</w:t>
      </w:r>
    </w:p>
    <w:p>
      <w:pPr>
        <w:spacing w:after="0" w:line="130" w:lineRule="exact"/>
        <w:rPr>
          <w:sz w:val="20"/>
          <w:szCs w:val="20"/>
          <w:color w:val="auto"/>
        </w:rPr>
      </w:pPr>
    </w:p>
    <w:p>
      <w:pPr>
        <w:jc w:val="both"/>
        <w:spacing w:after="0" w:line="226" w:lineRule="auto"/>
        <w:rPr>
          <w:sz w:val="20"/>
          <w:szCs w:val="20"/>
          <w:color w:val="auto"/>
        </w:rPr>
      </w:pPr>
      <w:r>
        <w:rPr>
          <w:rFonts w:ascii="Arial" w:cs="Arial" w:eastAsia="Arial" w:hAnsi="Arial"/>
          <w:sz w:val="17"/>
          <w:szCs w:val="17"/>
          <w:i w:val="1"/>
          <w:iCs w:val="1"/>
          <w:color w:val="auto"/>
        </w:rPr>
        <w:t xml:space="preserve">POS automation and banking: </w:t>
      </w:r>
      <w:r>
        <w:rPr>
          <w:rFonts w:ascii="Arial" w:cs="Arial" w:eastAsia="Arial" w:hAnsi="Arial"/>
          <w:sz w:val="17"/>
          <w:szCs w:val="17"/>
          <w:color w:val="auto"/>
        </w:rPr>
        <w:t>Revenue from the POS automation and banking market includes sales of thermal printers used primarily by quick serve</w:t>
      </w:r>
      <w:r>
        <w:rPr>
          <w:rFonts w:ascii="Arial" w:cs="Arial" w:eastAsia="Arial" w:hAnsi="Arial"/>
          <w:sz w:val="17"/>
          <w:szCs w:val="17"/>
          <w:i w:val="1"/>
          <w:iCs w:val="1"/>
          <w:color w:val="auto"/>
        </w:rPr>
        <w:t xml:space="preserve"> </w:t>
      </w:r>
      <w:r>
        <w:rPr>
          <w:rFonts w:ascii="Arial" w:cs="Arial" w:eastAsia="Arial" w:hAnsi="Arial"/>
          <w:sz w:val="17"/>
          <w:szCs w:val="17"/>
          <w:color w:val="auto"/>
        </w:rPr>
        <w:t>restaurants located either at the checkout counter or within self-service kiosks to print receipts for consumers or to print on linerless labels. In addition, revenue includes sales of inkjet printers used by banks, credit unions and other financial institutions to print deposit or withdrawal receipts and/or validate checks at bank teller stations. As of December 31, 2018, we exited the banking market, but will continue to fulfill orders from legacy customers until our inventory is exhausted and to sell consumable products through TSG that are compatible with the previously sold inkjet printers. A summary of sales of our worldwide POS automation and banking products for the years ended December 31, 2019 and 2018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Change</w:t>
            </w:r>
          </w:p>
        </w:tc>
        <w:tc>
          <w:tcPr>
            <w:tcW w:w="980" w:type="dxa"/>
            <w:vAlign w:val="bottom"/>
            <w:tcBorders>
              <w:bottom w:val="single" w:sz="8" w:color="auto"/>
            </w:tcBorders>
          </w:tcPr>
          <w:p>
            <w:pPr>
              <w:spacing w:after="0"/>
              <w:rPr>
                <w:sz w:val="18"/>
                <w:szCs w:val="18"/>
                <w:color w:val="auto"/>
              </w:rPr>
            </w:pPr>
          </w:p>
        </w:tc>
      </w:tr>
      <w:tr>
        <w:trPr>
          <w:trHeight w:val="209"/>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2019</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2018</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5,714</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99.2%</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7,122</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97.9%</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(1,408)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r>
      <w:tr>
        <w:trPr>
          <w:trHeight w:val="209"/>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(70.9%)</w:t>
            </w:r>
          </w:p>
        </w:tc>
      </w:tr>
      <w:tr>
        <w:trPr>
          <w:trHeight w:val="203"/>
        </w:trPr>
        <w:tc>
          <w:tcPr>
            <w:tcW w:w="320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5,758</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7,273</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(1,515)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(20.8%)</w:t>
            </w:r>
          </w:p>
        </w:tc>
      </w:tr>
      <w:tr>
        <w:trPr>
          <w:trHeight w:val="21"/>
        </w:trPr>
        <w:tc>
          <w:tcPr>
            <w:tcW w:w="3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decrease in domestic POS automation and banking sales in 2019 compared to 2018 was primarily driven by a 20% decrease in domestic sales of our Ithaca® 9000 printer, as sales to McDonald’s decreased during 2019 compared to 2018, and the decrease in international POS automation and banking sales was primarily due to lower sales of our Ithaca® 9000 printer to our Canadian distributor for McDonald’s during 2019 compared to 2018. We expect POS automation and banking sales to decrease due to lower expected sales of our Ithaca® 9000 printer to McDonald's in 2020 compared to 2019.</w:t>
      </w:r>
    </w:p>
    <w:p>
      <w:pPr>
        <w:spacing w:after="0" w:line="262" w:lineRule="exact"/>
        <w:rPr>
          <w:sz w:val="20"/>
          <w:szCs w:val="20"/>
          <w:color w:val="auto"/>
        </w:rPr>
      </w:pPr>
    </w:p>
    <w:p>
      <w:pPr>
        <w:jc w:val="both"/>
        <w:spacing w:after="0" w:line="211" w:lineRule="auto"/>
        <w:rPr>
          <w:sz w:val="20"/>
          <w:szCs w:val="20"/>
          <w:color w:val="auto"/>
        </w:rPr>
      </w:pPr>
      <w:r>
        <w:rPr>
          <w:rFonts w:ascii="Arial" w:cs="Arial" w:eastAsia="Arial" w:hAnsi="Arial"/>
          <w:sz w:val="18"/>
          <w:szCs w:val="18"/>
          <w:i w:val="1"/>
          <w:iCs w:val="1"/>
          <w:color w:val="auto"/>
        </w:rPr>
        <w:t xml:space="preserve">Casino and Gaming: </w:t>
      </w:r>
      <w:r>
        <w:rPr>
          <w:rFonts w:ascii="Arial" w:cs="Arial" w:eastAsia="Arial" w:hAnsi="Arial"/>
          <w:sz w:val="18"/>
          <w:szCs w:val="18"/>
          <w:color w:val="auto"/>
        </w:rPr>
        <w:t>Revenue from the casino and gaming market includes sales of thermal ticket printers used in slot machines, video lottery terminals,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gaming machines that print tickets or receipts instead of issuing coins at casinos and racetracks and other gaming venues worldwide. Revenue from this market also includes sales of thermal roll-fed printers used in the international off-premise gaming market in gaming machines such as Amusement with Prizes, Skills with Prizes and Fixed Odds Betting Terminals at non-casino gaming establishments. Revenue from this market also includes royalties related to our patented casino and gaming technology. In addition, casino and gaming market revenue includes sales of the EPICENTRAL™ print system, our software solution (including annual software maintenance), that enables casino operators to create promotional coupons and marketing messages and to print them real-time at the slot machine. A summary of sales of our worldwide casino and gaming products for the years ended December 31, 2019 and 2018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Change</w:t>
            </w:r>
          </w:p>
        </w:tc>
        <w:tc>
          <w:tcPr>
            <w:tcW w:w="980" w:type="dxa"/>
            <w:vAlign w:val="bottom"/>
            <w:tcBorders>
              <w:bottom w:val="single" w:sz="8" w:color="auto"/>
            </w:tcBorders>
          </w:tcPr>
          <w:p>
            <w:pPr>
              <w:spacing w:after="0"/>
              <w:rPr>
                <w:sz w:val="18"/>
                <w:szCs w:val="18"/>
                <w:color w:val="auto"/>
              </w:rPr>
            </w:pP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2019</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2018</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13,076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60.7%</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17,518</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65.9%</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(4,442)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(25.4%)</w:t>
            </w:r>
          </w:p>
        </w:tc>
      </w:tr>
      <w:tr>
        <w:trPr>
          <w:trHeight w:val="209"/>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8,453</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9,075</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w:t>
            </w:r>
          </w:p>
        </w:tc>
      </w:tr>
      <w:tr>
        <w:trPr>
          <w:trHeight w:val="203"/>
        </w:trPr>
        <w:tc>
          <w:tcPr>
            <w:tcW w:w="320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21,529</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26,593</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(5,064)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(19.0%)</w:t>
            </w:r>
          </w:p>
        </w:tc>
      </w:tr>
      <w:tr>
        <w:trPr>
          <w:trHeight w:val="20"/>
        </w:trPr>
        <w:tc>
          <w:tcPr>
            <w:tcW w:w="3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The decrease in domestic sales of our casino and gaming products during 2019 compared to 2018 was due primarily to a 18% decrease in domestic sales of our thermal casino printer, driven primarily by a large order from a domestic casino operator for replacement printers during 2018 that did not reoccur in 2019, as well as lower sales to our domestic OEMs. Additionally, domestic sales of our off-premise gaming printers decreased 95% during 2019 compared to 2018 due to sales to an OEM in the 2018 period that did not reoccur in 2019. Domestic EPICENTRAL™ software sales decreased 60%, as we had no new installations during 2019 compared to two new installations during 2018. Sales of EPICENTRAL™ are project based, and as a result, may fluctuate significantly quarter-to-quarter and year-to-year.</w:t>
      </w:r>
    </w:p>
    <w:p>
      <w:pPr>
        <w:spacing w:after="0" w:line="12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decrease in international sales in 2019 compared to 2018 was primarily due to a 17% decline in international sales of our thermal casino printer due primarily to lower sales to a large OEM in Europe to replace a competitor’s printer. The decrease was partially offset by a 26% increase in international sales of our off-premise gaming printers to Europe for sports betting. Sales of our off-premise gaming printers are largely project-oriented and therefore may fluctuate significantly from quarter-to-quarter and year-to-year.</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i w:val="1"/>
          <w:iCs w:val="1"/>
          <w:color w:val="auto"/>
        </w:rPr>
        <w:t xml:space="preserve">Lottery: </w:t>
      </w:r>
      <w:r>
        <w:rPr>
          <w:rFonts w:ascii="Arial" w:cs="Arial" w:eastAsia="Arial" w:hAnsi="Arial"/>
          <w:sz w:val="18"/>
          <w:szCs w:val="18"/>
          <w:color w:val="auto"/>
        </w:rPr>
        <w:t>Revenue from the lottery market includes sales of thermal on-line and other lottery printers primarily to IGT and, to a lesser extent, other lottery</w:t>
      </w:r>
      <w:r>
        <w:rPr>
          <w:rFonts w:ascii="Arial" w:cs="Arial" w:eastAsia="Arial" w:hAnsi="Arial"/>
          <w:sz w:val="18"/>
          <w:szCs w:val="18"/>
          <w:i w:val="1"/>
          <w:iCs w:val="1"/>
          <w:color w:val="auto"/>
        </w:rPr>
        <w:t xml:space="preserve"> </w:t>
      </w:r>
      <w:r>
        <w:rPr>
          <w:rFonts w:ascii="Arial" w:cs="Arial" w:eastAsia="Arial" w:hAnsi="Arial"/>
          <w:sz w:val="18"/>
          <w:szCs w:val="18"/>
          <w:color w:val="auto"/>
        </w:rPr>
        <w:t>system companies for various lottery applications. A summary of sales of our worldwide lottery printers for the years ended December 31, 2019 and 2018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Change</w:t>
            </w:r>
          </w:p>
        </w:tc>
        <w:tc>
          <w:tcPr>
            <w:tcW w:w="980" w:type="dxa"/>
            <w:vAlign w:val="bottom"/>
            <w:tcBorders>
              <w:bottom w:val="single" w:sz="8" w:color="auto"/>
            </w:tcBorders>
          </w:tcPr>
          <w:p>
            <w:pPr>
              <w:spacing w:after="0"/>
              <w:rPr>
                <w:sz w:val="18"/>
                <w:szCs w:val="18"/>
                <w:color w:val="auto"/>
              </w:rPr>
            </w:pP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2019</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2018</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1,290</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99.9%</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3,046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98.5%</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(1,756)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(57.6%)</w:t>
            </w: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(97.9%)</w:t>
            </w:r>
          </w:p>
        </w:tc>
      </w:tr>
      <w:tr>
        <w:trPr>
          <w:trHeight w:val="203"/>
        </w:trPr>
        <w:tc>
          <w:tcPr>
            <w:tcW w:w="320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1,291</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3,093</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(1,802)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(58.3%)</w:t>
            </w:r>
          </w:p>
        </w:tc>
      </w:tr>
      <w:tr>
        <w:trPr>
          <w:trHeight w:val="20"/>
        </w:trPr>
        <w:tc>
          <w:tcPr>
            <w:tcW w:w="3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95"/>
        </w:trPr>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6"/>
        </w:trPr>
        <w:tc>
          <w:tcPr>
            <w:tcW w:w="3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1" w:right="339" w:bottom="1440" w:gutter="0" w:footer="0" w:header="0"/>
        </w:sectPr>
      </w:pPr>
    </w:p>
    <w:bookmarkStart w:id="21" w:name="page22"/>
    <w:bookmarkEnd w:id="21"/>
    <w:p>
      <w:pPr>
        <w:jc w:val="both"/>
        <w:spacing w:after="0" w:line="216" w:lineRule="auto"/>
        <w:rPr>
          <w:sz w:val="20"/>
          <w:szCs w:val="20"/>
          <w:color w:val="auto"/>
        </w:rPr>
      </w:pPr>
      <w:r>
        <w:rPr>
          <w:rFonts w:ascii="Arial" w:cs="Arial" w:eastAsia="Arial" w:hAnsi="Arial"/>
          <w:sz w:val="18"/>
          <w:szCs w:val="18"/>
          <w:color w:val="auto"/>
        </w:rPr>
        <w:t>Our sales to IGT are directly dependent on the timing and number of new and upgraded lottery terminal installations that IGT performs, and as a result, may fluctuate significantly quarter-to-quarter and year-to-year. Our sales to IGT are not indicative of IGT’s overall business or revenue. We allowed our non-exclusive agreement to provide lottery terminal printers to IGT to expire on December 31, 2019 as we have decided to exit this market and to shift our focus towards our higher-value, technology enabled food service technology and casino and gaming products. As a result, we expect IGT to make a last time buy in 2020 and expect no future sales beyond 2020.</w:t>
      </w:r>
    </w:p>
    <w:p>
      <w:pPr>
        <w:spacing w:after="0" w:line="122" w:lineRule="exact"/>
        <w:rPr>
          <w:sz w:val="20"/>
          <w:szCs w:val="20"/>
          <w:color w:val="auto"/>
        </w:rPr>
      </w:pPr>
    </w:p>
    <w:p>
      <w:pPr>
        <w:jc w:val="both"/>
        <w:spacing w:after="0" w:line="226" w:lineRule="auto"/>
        <w:rPr>
          <w:sz w:val="20"/>
          <w:szCs w:val="20"/>
          <w:color w:val="auto"/>
        </w:rPr>
      </w:pPr>
      <w:r>
        <w:rPr>
          <w:rFonts w:ascii="Arial" w:cs="Arial" w:eastAsia="Arial" w:hAnsi="Arial"/>
          <w:sz w:val="17"/>
          <w:szCs w:val="17"/>
          <w:i w:val="1"/>
          <w:iCs w:val="1"/>
          <w:color w:val="auto"/>
        </w:rPr>
        <w:t xml:space="preserve">Printrex: </w:t>
      </w:r>
      <w:r>
        <w:rPr>
          <w:rFonts w:ascii="Arial" w:cs="Arial" w:eastAsia="Arial" w:hAnsi="Arial"/>
          <w:sz w:val="17"/>
          <w:szCs w:val="17"/>
          <w:color w:val="auto"/>
        </w:rPr>
        <w:t>Printrex branded printers are sold into markets that include wide format, desktop and rack mounted and vehicle mounted black/white thermal</w:t>
      </w:r>
      <w:r>
        <w:rPr>
          <w:rFonts w:ascii="Arial" w:cs="Arial" w:eastAsia="Arial" w:hAnsi="Arial"/>
          <w:sz w:val="17"/>
          <w:szCs w:val="17"/>
          <w:i w:val="1"/>
          <w:iCs w:val="1"/>
          <w:color w:val="auto"/>
        </w:rPr>
        <w:t xml:space="preserve"> </w:t>
      </w:r>
      <w:r>
        <w:rPr>
          <w:rFonts w:ascii="Arial" w:cs="Arial" w:eastAsia="Arial" w:hAnsi="Arial"/>
          <w:sz w:val="17"/>
          <w:szCs w:val="17"/>
          <w:color w:val="auto"/>
        </w:rPr>
        <w:t>printers used by customers to log and plot oil field, seismic and down hole well drilling data in the oil and gas exploration industry. It also includes high-speed color inkjet desktop printers used to print logs at the data centers of the oil and gas field service companies. Prior to 2019, revenue in this market also included sales of vehicle mounted printers used to print schematics and certain other critical information in emergency services vehicles and other mobile printing applications. We exited this market at the end of 2018 and do not expect any future sales. A summary of sales of our worldwide Printrex printers for the years ended December 31, 2019 and 2018 is as follows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Change</w:t>
            </w:r>
          </w:p>
        </w:tc>
        <w:tc>
          <w:tcPr>
            <w:tcW w:w="980" w:type="dxa"/>
            <w:vAlign w:val="bottom"/>
            <w:tcBorders>
              <w:bottom w:val="single" w:sz="8" w:color="auto"/>
            </w:tcBorders>
          </w:tcPr>
          <w:p>
            <w:pPr>
              <w:spacing w:after="0"/>
              <w:rPr>
                <w:sz w:val="18"/>
                <w:szCs w:val="18"/>
                <w:color w:val="auto"/>
              </w:rPr>
            </w:pPr>
          </w:p>
        </w:tc>
      </w:tr>
      <w:tr>
        <w:trPr>
          <w:trHeight w:val="209"/>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2019</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2018</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961</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82.4%</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1,028</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79.3%</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r>
      <w:tr>
        <w:trPr>
          <w:trHeight w:val="209"/>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(23.8%)</w:t>
            </w:r>
          </w:p>
        </w:tc>
      </w:tr>
      <w:tr>
        <w:trPr>
          <w:trHeight w:val="203"/>
        </w:trPr>
        <w:tc>
          <w:tcPr>
            <w:tcW w:w="320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1,166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1,297</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(10.1%)</w:t>
            </w:r>
          </w:p>
        </w:tc>
      </w:tr>
      <w:tr>
        <w:trPr>
          <w:trHeight w:val="21"/>
        </w:trPr>
        <w:tc>
          <w:tcPr>
            <w:tcW w:w="3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decrease in sales of Printrex printers during 2019 compared to 2018 resulted from a 12% decrease in domestic and international sales in the oil and gas market. This decrease was partially offset by higher sales from the international medical and mobile market which we exited at the end of 2018 but continued to fulfill orders from legacy customers during 2019.</w:t>
      </w:r>
    </w:p>
    <w:p>
      <w:pPr>
        <w:spacing w:after="0" w:line="12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i w:val="1"/>
          <w:iCs w:val="1"/>
          <w:color w:val="auto"/>
        </w:rPr>
        <w:t xml:space="preserve">TSG: </w:t>
      </w:r>
      <w:r>
        <w:rPr>
          <w:rFonts w:ascii="Arial" w:cs="Arial" w:eastAsia="Arial" w:hAnsi="Arial"/>
          <w:sz w:val="18"/>
          <w:szCs w:val="18"/>
          <w:color w:val="auto"/>
        </w:rPr>
        <w:t>Revenue generated by our TSG includes sales of consumable products (inkjet cartridges, ribbons, receipt paper, and other printing supplies),</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parts, maintenance and repair services, testing services, refurbished printers, and shipping and handling charges. TSG sales for all periods presented in this Form 10-K exclude the sales of labels, extended warranty and service contracts, and technical support services related to our food service technology market, which have been reclassified to food service technology. A summary of sales in our worldwide TSG market for the years ended December 31, 2019 and 2018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Change</w:t>
            </w:r>
          </w:p>
        </w:tc>
        <w:tc>
          <w:tcPr>
            <w:tcW w:w="980" w:type="dxa"/>
            <w:vAlign w:val="bottom"/>
            <w:tcBorders>
              <w:bottom w:val="single" w:sz="8" w:color="auto"/>
            </w:tcBorders>
          </w:tcPr>
          <w:p>
            <w:pPr>
              <w:spacing w:after="0"/>
              <w:rPr>
                <w:sz w:val="18"/>
                <w:szCs w:val="18"/>
                <w:color w:val="auto"/>
              </w:rPr>
            </w:pPr>
          </w:p>
        </w:tc>
      </w:tr>
      <w:tr>
        <w:trPr>
          <w:trHeight w:val="209"/>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2019</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2018</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8,769</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88.6%</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10,164</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90.4%</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(1,395)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(13.7%)</w:t>
            </w: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1,131</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1,081</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w:t>
            </w:r>
          </w:p>
        </w:tc>
      </w:tr>
      <w:tr>
        <w:trPr>
          <w:trHeight w:val="203"/>
        </w:trPr>
        <w:tc>
          <w:tcPr>
            <w:tcW w:w="320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9,900</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11,245</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(1,345)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r>
      <w:tr>
        <w:trPr>
          <w:trHeight w:val="20"/>
        </w:trPr>
        <w:tc>
          <w:tcPr>
            <w:tcW w:w="3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The decrease in domestic revenue from TSG for 2019 as compared to 2018 was due primarily to lower sales of replacement parts and lower sales of consumable products. Replacement part sales decreased 29% due to lower lottery printer spare parts to IGT. Consumable sales declined 13% due largely to lower sales of HP inkjet cartridges used in our banking printers, as we exited the banking market at the end of 2018. These decreases were partially offset by a 24% increase in service revenue during 2019 compared 2018. We expect TSG sales to decrease in 2020 compared to 2019 due to lower expected sales of lottery printer spare printer parts to IGT and lower service sales related to a service contract with a banking customer that is expected to end in 2020.</w:t>
      </w:r>
    </w:p>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Internationally, TSG revenue increased during 2019 compared to 2018 primarily due to a 18% increase in sales of replacement parts and accessories to international casino and gaming customers. This increase was partially offset by a 60% decrease of international consumable sales in 2019 compared to 2018.</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information for the years ended December 31, 2019 and 2018 is summarized below (in thousands, except percentages):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ind w:left="480"/>
              <w:spacing w:after="0"/>
              <w:rPr>
                <w:sz w:val="20"/>
                <w:szCs w:val="20"/>
                <w:color w:val="auto"/>
              </w:rPr>
            </w:pPr>
            <w:r>
              <w:rPr>
                <w:rFonts w:ascii="Arial" w:cs="Arial" w:eastAsia="Arial" w:hAnsi="Arial"/>
                <w:sz w:val="18"/>
                <w:szCs w:val="18"/>
                <w:color w:val="auto"/>
              </w:rPr>
              <w:t>December 31,</w:t>
            </w:r>
          </w:p>
        </w:tc>
        <w:tc>
          <w:tcPr>
            <w:tcW w:w="1320" w:type="dxa"/>
            <w:vAlign w:val="bottom"/>
          </w:tcPr>
          <w:p>
            <w:pPr>
              <w:ind w:left="280"/>
              <w:spacing w:after="0"/>
              <w:rPr>
                <w:sz w:val="20"/>
                <w:szCs w:val="20"/>
                <w:color w:val="auto"/>
              </w:rPr>
            </w:pPr>
            <w:r>
              <w:rPr>
                <w:rFonts w:ascii="Arial" w:cs="Arial" w:eastAsia="Arial" w:hAnsi="Arial"/>
                <w:sz w:val="18"/>
                <w:szCs w:val="18"/>
                <w:color w:val="auto"/>
              </w:rPr>
              <w:t>Percent</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2"/>
                <w:szCs w:val="12"/>
                <w:color w:val="auto"/>
              </w:rPr>
            </w:pPr>
          </w:p>
        </w:tc>
        <w:tc>
          <w:tcPr>
            <w:tcW w:w="1320" w:type="dxa"/>
            <w:vAlign w:val="bottom"/>
            <w:vMerge w:val="restart"/>
          </w:tcPr>
          <w:p>
            <w:pPr>
              <w:ind w:left="28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10"/>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2019</w:t>
            </w: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21,935</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26,743</w:t>
            </w:r>
          </w:p>
        </w:tc>
        <w:tc>
          <w:tcPr>
            <w:tcW w:w="220" w:type="dxa"/>
            <w:vAlign w:val="bottom"/>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Gross profit is measured as revenue less cost of sales, which includes primarily the cost of all raw materials and component parts, direct labor, manufacturing overhead expenses, cost of finished products purchased directly from our contract manufacturers and expenses associated with installations</w:t>
      </w:r>
    </w:p>
    <w:p>
      <w:pPr>
        <w:jc w:val="both"/>
        <w:spacing w:after="0" w:line="199" w:lineRule="auto"/>
        <w:rPr>
          <w:sz w:val="20"/>
          <w:szCs w:val="20"/>
          <w:color w:val="auto"/>
        </w:rPr>
      </w:pPr>
      <w:r>
        <w:rPr>
          <w:rFonts w:ascii="Arial" w:cs="Arial" w:eastAsia="Arial" w:hAnsi="Arial"/>
          <w:sz w:val="17"/>
          <w:szCs w:val="17"/>
          <w:color w:val="auto"/>
        </w:rPr>
        <w:t>and support of our EPICENTRAL</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print system and BOHA! ecosystem. Gross profit decreased $4.8 million, or 18%, and gross margin decreased 110 basis points due primarily to the 16% sales decrease in 2019 compared to 2018. The decline in gross margin reflects higher manufacturing overhead expenses including approximately $0.2 million incurred for the new Chinese tariffs and $0.4 million for the write-off of tooling related to a product design change incurred during the year ended December 31, 2019 compared to the year ended December 31, 2018.</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Operating Expenses - Engineering, Design and Product Development.  </w:t>
      </w:r>
      <w:r>
        <w:rPr>
          <w:rFonts w:ascii="Arial" w:cs="Arial" w:eastAsia="Arial" w:hAnsi="Arial"/>
          <w:sz w:val="16"/>
          <w:szCs w:val="16"/>
          <w:color w:val="auto"/>
        </w:rPr>
        <w:t>Engineering, design and product development information for the years ended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2018 is summarized below (in thousands, except percentages):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ind w:left="480"/>
              <w:spacing w:after="0"/>
              <w:rPr>
                <w:sz w:val="20"/>
                <w:szCs w:val="20"/>
                <w:color w:val="auto"/>
              </w:rPr>
            </w:pPr>
            <w:r>
              <w:rPr>
                <w:rFonts w:ascii="Arial" w:cs="Arial" w:eastAsia="Arial" w:hAnsi="Arial"/>
                <w:sz w:val="18"/>
                <w:szCs w:val="18"/>
                <w:color w:val="auto"/>
              </w:rPr>
              <w:t>December 31,</w:t>
            </w:r>
          </w:p>
        </w:tc>
        <w:tc>
          <w:tcPr>
            <w:tcW w:w="1320" w:type="dxa"/>
            <w:vAlign w:val="bottom"/>
          </w:tcPr>
          <w:p>
            <w:pPr>
              <w:ind w:left="280"/>
              <w:spacing w:after="0"/>
              <w:rPr>
                <w:sz w:val="20"/>
                <w:szCs w:val="20"/>
                <w:color w:val="auto"/>
              </w:rPr>
            </w:pPr>
            <w:r>
              <w:rPr>
                <w:rFonts w:ascii="Arial" w:cs="Arial" w:eastAsia="Arial" w:hAnsi="Arial"/>
                <w:sz w:val="18"/>
                <w:szCs w:val="18"/>
                <w:color w:val="auto"/>
              </w:rPr>
              <w:t>Percent</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75"/>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2"/>
                <w:szCs w:val="12"/>
                <w:color w:val="auto"/>
              </w:rPr>
            </w:pPr>
          </w:p>
        </w:tc>
        <w:tc>
          <w:tcPr>
            <w:tcW w:w="1320" w:type="dxa"/>
            <w:vAlign w:val="bottom"/>
            <w:vMerge w:val="restart"/>
          </w:tcPr>
          <w:p>
            <w:pPr>
              <w:ind w:left="28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09"/>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2019</w:t>
            </w: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480"/>
              <w:spacing w:after="0" w:line="202" w:lineRule="exact"/>
              <w:rPr>
                <w:sz w:val="20"/>
                <w:szCs w:val="20"/>
                <w:color w:val="auto"/>
              </w:rPr>
            </w:pPr>
            <w:r>
              <w:rPr>
                <w:rFonts w:ascii="Arial" w:cs="Arial" w:eastAsia="Arial" w:hAnsi="Arial"/>
                <w:sz w:val="18"/>
                <w:szCs w:val="18"/>
                <w:color w:val="auto"/>
                <w:w w:val="84"/>
              </w:rPr>
              <w:t>4,393</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4,576</w:t>
            </w:r>
          </w:p>
        </w:tc>
        <w:tc>
          <w:tcPr>
            <w:tcW w:w="220" w:type="dxa"/>
            <w:vAlign w:val="bottom"/>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501"/>
        </w:trPr>
        <w:tc>
          <w:tcPr>
            <w:tcW w:w="4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22" w:name="page23"/>
    <w:bookmarkEnd w:id="22"/>
    <w:p>
      <w:pPr>
        <w:jc w:val="both"/>
        <w:spacing w:after="0" w:line="214" w:lineRule="auto"/>
        <w:rPr>
          <w:sz w:val="20"/>
          <w:szCs w:val="20"/>
          <w:color w:val="auto"/>
        </w:rPr>
      </w:pPr>
      <w:r>
        <w:rPr>
          <w:rFonts w:ascii="Arial" w:cs="Arial" w:eastAsia="Arial" w:hAnsi="Arial"/>
          <w:sz w:val="18"/>
          <w:szCs w:val="18"/>
          <w:color w:val="auto"/>
        </w:rPr>
        <w:t>Engineering, design and product development expenses primarily includes salary and payroll related expenses for our hardware and software engineering staff, depreciation and design expenses (including prototype printer expenses, outside design, development and testing services, supplies and contract software development expenses). Engineering, design and product development expenses decreased $183 thousand, or 4%, in 2019 compared to 2018 due primarily to lower expenses related to hardware product development for the food service technology market and casino and gaming market. We expect engineering, design and product development expenses to increase in 2020 related to accelerated investments planned for our food service technology products.</w:t>
      </w:r>
    </w:p>
    <w:p>
      <w:pPr>
        <w:spacing w:after="0" w:line="11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Operating Expenses - Selling and Marketing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and marketing information for the years ended December 31, 2019 and 2018 is summarized below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thousands, except percentages):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ind w:left="480"/>
              <w:spacing w:after="0"/>
              <w:rPr>
                <w:sz w:val="20"/>
                <w:szCs w:val="20"/>
                <w:color w:val="auto"/>
              </w:rPr>
            </w:pPr>
            <w:r>
              <w:rPr>
                <w:rFonts w:ascii="Arial" w:cs="Arial" w:eastAsia="Arial" w:hAnsi="Arial"/>
                <w:sz w:val="18"/>
                <w:szCs w:val="18"/>
                <w:color w:val="auto"/>
              </w:rPr>
              <w:t>December 31,</w:t>
            </w:r>
          </w:p>
        </w:tc>
        <w:tc>
          <w:tcPr>
            <w:tcW w:w="1260" w:type="dxa"/>
            <w:vAlign w:val="bottom"/>
          </w:tcPr>
          <w:p>
            <w:pPr>
              <w:ind w:left="280"/>
              <w:spacing w:after="0"/>
              <w:rPr>
                <w:sz w:val="20"/>
                <w:szCs w:val="20"/>
                <w:color w:val="auto"/>
              </w:rPr>
            </w:pPr>
            <w:r>
              <w:rPr>
                <w:rFonts w:ascii="Arial" w:cs="Arial" w:eastAsia="Arial" w:hAnsi="Arial"/>
                <w:sz w:val="18"/>
                <w:szCs w:val="18"/>
                <w:color w:val="auto"/>
              </w:rPr>
              <w:t>Percent</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2"/>
                <w:szCs w:val="12"/>
                <w:color w:val="auto"/>
              </w:rPr>
            </w:pPr>
          </w:p>
        </w:tc>
        <w:tc>
          <w:tcPr>
            <w:tcW w:w="1260" w:type="dxa"/>
            <w:vAlign w:val="bottom"/>
            <w:vMerge w:val="restart"/>
          </w:tcPr>
          <w:p>
            <w:pPr>
              <w:ind w:left="28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2019</w:t>
            </w: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480"/>
              <w:spacing w:after="0" w:line="202" w:lineRule="exact"/>
              <w:rPr>
                <w:sz w:val="20"/>
                <w:szCs w:val="20"/>
                <w:color w:val="auto"/>
              </w:rPr>
            </w:pPr>
            <w:r>
              <w:rPr>
                <w:rFonts w:ascii="Arial" w:cs="Arial" w:eastAsia="Arial" w:hAnsi="Arial"/>
                <w:sz w:val="18"/>
                <w:szCs w:val="18"/>
                <w:color w:val="auto"/>
                <w:w w:val="84"/>
              </w:rPr>
              <w:t>8,033</w:t>
            </w: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7,203</w:t>
            </w:r>
          </w:p>
        </w:tc>
        <w:tc>
          <w:tcPr>
            <w:tcW w:w="2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Selling and marketing expenses primarily include salaries and payroll related expenses for our sales and marketing staff, sales commissions, travel expenses, expenses associated with the lease of sales offices, advertising, trade show expenses, public relations, e-commerce and other promotional marketing expenses. Selling and marketing expenses increased $830 thousand, or 12%, in 2019 compared to 2018 due primarily to higher compensation expenses related to the hiring of additional outside sales, technical sales and marketing staff and higher promotional marketing expenses for our food service technology market. We expect selling and marketing expenses to continue to increase in 2020 as we make substantial strategic investments in our food service technology sales and marketing groups.</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Operating Expenses - General and Administrative. </w:t>
      </w:r>
      <w:r>
        <w:rPr>
          <w:rFonts w:ascii="Arial" w:cs="Arial" w:eastAsia="Arial" w:hAnsi="Arial"/>
          <w:sz w:val="18"/>
          <w:szCs w:val="18"/>
          <w:color w:val="auto"/>
        </w:rPr>
        <w:t>General and administrative information for the years ended December 31, 2019 and 2018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summarized below (in thousands, except percentages):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ind w:left="480"/>
              <w:spacing w:after="0"/>
              <w:rPr>
                <w:sz w:val="20"/>
                <w:szCs w:val="20"/>
                <w:color w:val="auto"/>
              </w:rPr>
            </w:pPr>
            <w:r>
              <w:rPr>
                <w:rFonts w:ascii="Arial" w:cs="Arial" w:eastAsia="Arial" w:hAnsi="Arial"/>
                <w:sz w:val="18"/>
                <w:szCs w:val="18"/>
                <w:color w:val="auto"/>
              </w:rPr>
              <w:t>December 31,</w:t>
            </w:r>
          </w:p>
        </w:tc>
        <w:tc>
          <w:tcPr>
            <w:tcW w:w="1260" w:type="dxa"/>
            <w:vAlign w:val="bottom"/>
          </w:tcPr>
          <w:p>
            <w:pPr>
              <w:ind w:left="280"/>
              <w:spacing w:after="0"/>
              <w:rPr>
                <w:sz w:val="20"/>
                <w:szCs w:val="20"/>
                <w:color w:val="auto"/>
              </w:rPr>
            </w:pPr>
            <w:r>
              <w:rPr>
                <w:rFonts w:ascii="Arial" w:cs="Arial" w:eastAsia="Arial" w:hAnsi="Arial"/>
                <w:sz w:val="18"/>
                <w:szCs w:val="18"/>
                <w:color w:val="auto"/>
              </w:rPr>
              <w:t>Percent</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2"/>
                <w:szCs w:val="12"/>
                <w:color w:val="auto"/>
              </w:rPr>
            </w:pPr>
          </w:p>
        </w:tc>
        <w:tc>
          <w:tcPr>
            <w:tcW w:w="1260" w:type="dxa"/>
            <w:vAlign w:val="bottom"/>
            <w:vMerge w:val="restart"/>
          </w:tcPr>
          <w:p>
            <w:pPr>
              <w:ind w:left="28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2019</w:t>
            </w: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480"/>
              <w:spacing w:after="0" w:line="202" w:lineRule="exact"/>
              <w:rPr>
                <w:sz w:val="20"/>
                <w:szCs w:val="20"/>
                <w:color w:val="auto"/>
              </w:rPr>
            </w:pPr>
            <w:r>
              <w:rPr>
                <w:rFonts w:ascii="Arial" w:cs="Arial" w:eastAsia="Arial" w:hAnsi="Arial"/>
                <w:sz w:val="18"/>
                <w:szCs w:val="18"/>
                <w:color w:val="auto"/>
                <w:w w:val="84"/>
              </w:rPr>
              <w:t>9,166</w:t>
            </w: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8,205</w:t>
            </w:r>
          </w:p>
        </w:tc>
        <w:tc>
          <w:tcPr>
            <w:tcW w:w="2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General and administrative expenses primarily include salaries, incentive compensation, and other payroll related expenses for our executive, accounting, human resources and information technology staff, expenses for our corporate headquarters, professional and legal expenses, telecommunication expenses, and other expenses related to being a publicly-traded company. General and administrative expenses increased $961 thousand, or 12%, in 2019 compared to 2018 due primarily to higher professional and legal expenses. We expect general and administrative expenses to increase in 2020 compared to 2019 due to the hiring of additional administrative staff to support the anticipated growth in the food service technology market.</w:t>
      </w:r>
    </w:p>
    <w:p>
      <w:pPr>
        <w:spacing w:after="0" w:line="1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for the years ended December 31, 2019 and 2018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2640" w:type="dxa"/>
            <w:vAlign w:val="bottom"/>
            <w:gridSpan w:val="6"/>
          </w:tcPr>
          <w:p>
            <w:pPr>
              <w:ind w:left="700"/>
              <w:spacing w:after="0"/>
              <w:rPr>
                <w:sz w:val="20"/>
                <w:szCs w:val="20"/>
                <w:color w:val="auto"/>
              </w:rPr>
            </w:pPr>
            <w:r>
              <w:rPr>
                <w:rFonts w:ascii="Arial" w:cs="Arial" w:eastAsia="Arial" w:hAnsi="Arial"/>
                <w:sz w:val="18"/>
                <w:szCs w:val="18"/>
                <w:color w:val="auto"/>
              </w:rPr>
              <w:t>December 31,</w:t>
            </w:r>
          </w:p>
        </w:tc>
        <w:tc>
          <w:tcPr>
            <w:tcW w:w="1320" w:type="dxa"/>
            <w:vAlign w:val="bottom"/>
          </w:tcPr>
          <w:p>
            <w:pPr>
              <w:ind w:left="280"/>
              <w:spacing w:after="0"/>
              <w:rPr>
                <w:sz w:val="20"/>
                <w:szCs w:val="20"/>
                <w:color w:val="auto"/>
              </w:rPr>
            </w:pPr>
            <w:r>
              <w:rPr>
                <w:rFonts w:ascii="Arial" w:cs="Arial" w:eastAsia="Arial" w:hAnsi="Arial"/>
                <w:sz w:val="18"/>
                <w:szCs w:val="18"/>
                <w:color w:val="auto"/>
              </w:rPr>
              <w:t>Percent</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2019</w:t>
            </w: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2"/>
                <w:szCs w:val="12"/>
                <w:color w:val="auto"/>
              </w:rPr>
            </w:pPr>
          </w:p>
        </w:tc>
        <w:tc>
          <w:tcPr>
            <w:tcW w:w="1320" w:type="dxa"/>
            <w:vAlign w:val="bottom"/>
            <w:vMerge w:val="restart"/>
          </w:tcPr>
          <w:p>
            <w:pPr>
              <w:ind w:left="28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120" w:type="dxa"/>
            <w:vAlign w:val="bottom"/>
          </w:tcPr>
          <w:p>
            <w:pPr>
              <w:spacing w:after="0"/>
              <w:rPr>
                <w:sz w:val="12"/>
                <w:szCs w:val="12"/>
                <w:color w:val="auto"/>
              </w:rPr>
            </w:pPr>
          </w:p>
        </w:tc>
        <w:tc>
          <w:tcPr>
            <w:tcW w:w="1260" w:type="dxa"/>
            <w:vAlign w:val="bottom"/>
          </w:tcPr>
          <w:p>
            <w:pPr>
              <w:jc w:val="center"/>
              <w:ind w:right="92"/>
              <w:spacing w:after="0" w:line="149" w:lineRule="exact"/>
              <w:rPr>
                <w:sz w:val="20"/>
                <w:szCs w:val="20"/>
                <w:color w:val="auto"/>
              </w:rPr>
            </w:pPr>
            <w:r>
              <w:rPr>
                <w:rFonts w:ascii="Arial" w:cs="Arial" w:eastAsia="Arial" w:hAnsi="Arial"/>
                <w:sz w:val="17"/>
                <w:szCs w:val="17"/>
                <w:color w:val="auto"/>
                <w:w w:val="92"/>
              </w:rPr>
              <w:t>Total Sales –</w:t>
            </w:r>
          </w:p>
        </w:tc>
        <w:tc>
          <w:tcPr>
            <w:tcW w:w="0" w:type="dxa"/>
            <w:vAlign w:val="bottom"/>
          </w:tcPr>
          <w:p>
            <w:pPr>
              <w:spacing w:after="0"/>
              <w:rPr>
                <w:sz w:val="1"/>
                <w:szCs w:val="1"/>
                <w:color w:val="auto"/>
              </w:rPr>
            </w:pPr>
          </w:p>
        </w:tc>
      </w:tr>
      <w:tr>
        <w:trPr>
          <w:trHeight w:val="209"/>
        </w:trPr>
        <w:tc>
          <w:tcPr>
            <w:tcW w:w="45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2019</w:t>
            </w: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780" w:type="dxa"/>
            <w:vAlign w:val="bottom"/>
            <w:tcBorders>
              <w:top w:val="single" w:sz="8" w:color="auto"/>
            </w:tcBorders>
            <w:shd w:val="clear" w:color="auto" w:fill="CCEEFF"/>
          </w:tcPr>
          <w:p>
            <w:pPr>
              <w:jc w:val="right"/>
              <w:ind w:right="61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343</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6,759</w:t>
            </w:r>
          </w:p>
        </w:tc>
        <w:tc>
          <w:tcPr>
            <w:tcW w:w="220" w:type="dxa"/>
            <w:vAlign w:val="bottom"/>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(94.9%)</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operating income decreased by $6.4 million, or 95%, in 2019 due to a decrease in sales of 16% and an 8% increase in operating expenses related to the investments made in our food service technology market during 2019 compared to 2018.</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We recorded net interest expense of $11 thousand in 2019 compared to $27 thousand in 2018 primarily due to interest income earned on the note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receivable during 2019 partially offsetting interest expense.</w:t>
      </w:r>
    </w:p>
    <w:p>
      <w:pPr>
        <w:spacing w:after="0" w:line="117" w:lineRule="exact"/>
        <w:rPr>
          <w:sz w:val="20"/>
          <w:szCs w:val="20"/>
          <w:color w:val="auto"/>
        </w:rPr>
      </w:pPr>
    </w:p>
    <w:p>
      <w:pPr>
        <w:jc w:val="both"/>
        <w:spacing w:after="0" w:line="220"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recorded other income of $35 thousand in 2019 compared to other expense of $266 thousand in 2018 primarily due to foreign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gains recorded by our UK entity during 2019 compared to foreign exchange losses recorded during 2018. Going forward, we may continue to experience more foreign exchange gains or losses depending on the level of sales to Europe through our UK subsidiary and the change in exchange rates of the Euro and Pound Sterling against the U.S. dollar.</w:t>
      </w:r>
    </w:p>
    <w:p>
      <w:pPr>
        <w:spacing w:after="0" w:line="11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recorded an income tax benefit during the year ended December 31, 2019 of $149 thousand at an effective tax rate of -40.6%,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an income tax provision during the year ended December 31, 2018 of $1.0 million at an effective tax rate of 16.1%. An income tax benefit was recorded in 2019 primarily due to the impact of research and development (R&amp;D) credits on a relatively low level of taxable income.</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We reported net income of $0.5 million, or $0.07 per diluted share, in 2019 compared to net income of $5.4 million, or $0.70 per diluted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in 2018.</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 Year ended December 31, 2018 compared to year ended December 31, 2017</w:t>
      </w:r>
    </w:p>
    <w:p>
      <w:pPr>
        <w:spacing w:after="0" w:line="14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b w:val="1"/>
          <w:bCs w:val="1"/>
          <w:i w:val="1"/>
          <w:iCs w:val="1"/>
          <w:color w:val="auto"/>
        </w:rPr>
        <w:t xml:space="preserve">Net Sales. </w:t>
      </w:r>
      <w:r>
        <w:rPr>
          <w:rFonts w:ascii="Arial" w:cs="Arial" w:eastAsia="Arial" w:hAnsi="Arial"/>
          <w:sz w:val="17"/>
          <w:szCs w:val="17"/>
          <w:color w:val="auto"/>
        </w:rPr>
        <w:t>Net sales, which include printer, terminal and software sales as well as sales of replacement parts, consumables and maintenance and repair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by market for the years ended December 31, 2018 and 2017 are detailed in the below table. We have reclassified sales of labels and other recurring revenue items, which includes extended warranty and service contracts, and technical support services related to our food service technology market, previously included in TSG to Food Service Technology for all periods presented in this Form 10-K.</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ind w:left="640"/>
              <w:spacing w:after="0"/>
              <w:rPr>
                <w:sz w:val="20"/>
                <w:szCs w:val="20"/>
                <w:color w:val="auto"/>
              </w:rPr>
            </w:pPr>
            <w:r>
              <w:rPr>
                <w:rFonts w:ascii="Arial" w:cs="Arial" w:eastAsia="Arial" w:hAnsi="Arial"/>
                <w:sz w:val="18"/>
                <w:szCs w:val="18"/>
                <w:color w:val="auto"/>
              </w:rPr>
              <w:t>Change</w:t>
            </w:r>
          </w:p>
        </w:tc>
        <w:tc>
          <w:tcPr>
            <w:tcW w:w="980" w:type="dxa"/>
            <w:vAlign w:val="bottom"/>
            <w:tcBorders>
              <w:bottom w:val="single" w:sz="8" w:color="auto"/>
            </w:tcBorders>
          </w:tcPr>
          <w:p>
            <w:pPr>
              <w:spacing w:after="0"/>
              <w:rPr>
                <w:sz w:val="18"/>
                <w:szCs w:val="18"/>
                <w:color w:val="auto"/>
              </w:rPr>
            </w:pP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2018</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2017</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Food service technology</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5,086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9.3%</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4,862</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 automation and banking</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7,273</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7,905</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(632)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Casino and gaming</w:t>
            </w:r>
          </w:p>
        </w:tc>
        <w:tc>
          <w:tcPr>
            <w:tcW w:w="30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26,593</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48.7%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18,615</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33.1%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7,978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42.9%</w:t>
            </w: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Lottery</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3,093</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9,805</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(6,712)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(68.5%)</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Printrex</w:t>
            </w:r>
          </w:p>
        </w:tc>
        <w:tc>
          <w:tcPr>
            <w:tcW w:w="30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1,297</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1,052</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23.3%</w:t>
            </w:r>
          </w:p>
        </w:tc>
      </w:tr>
      <w:tr>
        <w:trPr>
          <w:trHeight w:val="209"/>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TSG</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11,245</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14,072</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(2,827)</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(20.1%)</w:t>
            </w:r>
          </w:p>
        </w:tc>
      </w:tr>
      <w:tr>
        <w:trPr>
          <w:trHeight w:val="203"/>
        </w:trPr>
        <w:tc>
          <w:tcPr>
            <w:tcW w:w="320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54,587</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56,311</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(1,724)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r>
      <w:tr>
        <w:trPr>
          <w:trHeight w:val="21"/>
        </w:trPr>
        <w:tc>
          <w:tcPr>
            <w:tcW w:w="3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3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11,069</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20.3%</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7,591</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3,478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45.8%</w:t>
            </w:r>
          </w:p>
        </w:tc>
      </w:tr>
      <w:tr>
        <w:trPr>
          <w:trHeight w:val="20"/>
        </w:trPr>
        <w:tc>
          <w:tcPr>
            <w:tcW w:w="3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61" w:lineRule="exact"/>
        <w:rPr>
          <w:sz w:val="20"/>
          <w:szCs w:val="20"/>
          <w:color w:val="auto"/>
        </w:rPr>
      </w:pPr>
    </w:p>
    <w:p>
      <w:pPr>
        <w:ind w:left="320" w:right="20" w:hanging="312"/>
        <w:spacing w:after="0" w:line="277"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International sales do not include sales of products made to domestic distributors or other customers who in turn ship those products to international destinations.</w:t>
      </w:r>
    </w:p>
    <w:p>
      <w:pPr>
        <w:spacing w:after="0" w:line="11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Net sales for 2018 decreased $1.7 million, or approximately 3%, from 2017. Printer and terminal sales volume decreased by 5% to approximately 142,000 units, driven primarily by a 71% decrease in unit volume from the lottery market and, to a lesser extent, a 6% and 18% decrease in the POS automation and banking market and food service technology market, respectively. These decreases were partially offset by an increase in sales volume of 44% in the casino and gaming market. Although unit volume decreased during 2018 compared to 2017, the average selling price of our printers and terminals increased 7% during 2018 compared to 2017, due primarily to the decreased volume of lottery printers, which carry lower prices than our other products.</w:t>
      </w:r>
    </w:p>
    <w:p>
      <w:pPr>
        <w:spacing w:after="0" w:line="11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International sales increased $3.5 million, or 46%, primarily driven by 81% higher international sales in the casino and gaming market. This increase was partially offset by a $1.1 million sales decrease in our international lottery market during 2018 compared to 2017.</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 xml:space="preserve">Food service technology: </w:t>
      </w:r>
      <w:r>
        <w:rPr>
          <w:rFonts w:ascii="Arial" w:cs="Arial" w:eastAsia="Arial" w:hAnsi="Arial"/>
          <w:sz w:val="18"/>
          <w:szCs w:val="18"/>
          <w:color w:val="auto"/>
        </w:rPr>
        <w:t>A summary of sales of our worldwide food service technology products for the years ended December 31, 2018 and 2017 is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5"/>
          </w:tcPr>
          <w:p>
            <w:pPr>
              <w:jc w:val="center"/>
              <w:ind w:left="110"/>
              <w:spacing w:after="0"/>
              <w:rPr>
                <w:sz w:val="20"/>
                <w:szCs w:val="20"/>
                <w:color w:val="auto"/>
              </w:rPr>
            </w:pPr>
            <w:r>
              <w:rPr>
                <w:rFonts w:ascii="Arial" w:cs="Arial" w:eastAsia="Arial" w:hAnsi="Arial"/>
                <w:sz w:val="18"/>
                <w:szCs w:val="18"/>
                <w:color w:val="auto"/>
                <w:w w:val="88"/>
              </w:rPr>
              <w:t>Year Ended</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5"/>
          </w:tcPr>
          <w:p>
            <w:pPr>
              <w:jc w:val="center"/>
              <w:ind w:left="110"/>
              <w:spacing w:after="0"/>
              <w:rPr>
                <w:sz w:val="20"/>
                <w:szCs w:val="20"/>
                <w:color w:val="auto"/>
              </w:rPr>
            </w:pPr>
            <w:r>
              <w:rPr>
                <w:rFonts w:ascii="Arial" w:cs="Arial" w:eastAsia="Arial" w:hAnsi="Arial"/>
                <w:sz w:val="18"/>
                <w:szCs w:val="18"/>
                <w:color w:val="auto"/>
                <w:w w:val="88"/>
              </w:rPr>
              <w:t>Year Ended</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5"/>
          </w:tcPr>
          <w:p>
            <w:pPr>
              <w:ind w:left="640"/>
              <w:spacing w:after="0"/>
              <w:rPr>
                <w:sz w:val="20"/>
                <w:szCs w:val="20"/>
                <w:color w:val="auto"/>
              </w:rPr>
            </w:pPr>
            <w:r>
              <w:rPr>
                <w:rFonts w:ascii="Arial" w:cs="Arial" w:eastAsia="Arial" w:hAnsi="Arial"/>
                <w:sz w:val="18"/>
                <w:szCs w:val="18"/>
                <w:color w:val="auto"/>
              </w:rPr>
              <w:t>Change</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5"/>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89"/>
              </w:rPr>
              <w:t>December 31, 2018</w:t>
            </w:r>
          </w:p>
        </w:tc>
        <w:tc>
          <w:tcPr>
            <w:tcW w:w="5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5"/>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89"/>
              </w:rPr>
              <w:t>December 31, 2017</w:t>
            </w:r>
          </w:p>
        </w:tc>
        <w:tc>
          <w:tcPr>
            <w:tcW w:w="5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4,640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91.2%</w:t>
            </w:r>
          </w:p>
        </w:tc>
        <w:tc>
          <w:tcPr>
            <w:tcW w:w="380" w:type="dxa"/>
            <w:vAlign w:val="bottom"/>
            <w:gridSpan w:val="3"/>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4,488</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92.3%</w:t>
            </w:r>
          </w:p>
        </w:tc>
        <w:tc>
          <w:tcPr>
            <w:tcW w:w="400" w:type="dxa"/>
            <w:vAlign w:val="bottom"/>
            <w:gridSpan w:val="3"/>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446</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8.8%</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374</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7.7%</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5,086</w:t>
            </w:r>
          </w:p>
        </w:tc>
        <w:tc>
          <w:tcPr>
            <w:tcW w:w="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w w:val="98"/>
              </w:rPr>
              <w:t>100.0%</w:t>
            </w:r>
          </w:p>
        </w:tc>
        <w:tc>
          <w:tcPr>
            <w:tcW w:w="100" w:type="dxa"/>
            <w:vAlign w:val="bottom"/>
            <w:gridSpan w:val="2"/>
          </w:tcPr>
          <w:p>
            <w:pPr>
              <w:spacing w:after="0"/>
              <w:rPr>
                <w:sz w:val="17"/>
                <w:szCs w:val="17"/>
                <w:color w:val="auto"/>
              </w:rPr>
            </w:pPr>
          </w:p>
        </w:tc>
        <w:tc>
          <w:tcPr>
            <w:tcW w:w="2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4,862</w:t>
            </w:r>
          </w:p>
        </w:tc>
        <w:tc>
          <w:tcPr>
            <w:tcW w:w="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w w:val="98"/>
              </w:rPr>
              <w:t>100.0%</w:t>
            </w:r>
          </w:p>
        </w:tc>
        <w:tc>
          <w:tcPr>
            <w:tcW w:w="100" w:type="dxa"/>
            <w:vAlign w:val="bottom"/>
            <w:gridSpan w:val="2"/>
          </w:tcPr>
          <w:p>
            <w:pPr>
              <w:spacing w:after="0"/>
              <w:rPr>
                <w:sz w:val="17"/>
                <w:szCs w:val="17"/>
                <w:color w:val="auto"/>
              </w:rPr>
            </w:pPr>
          </w:p>
        </w:tc>
        <w:tc>
          <w:tcPr>
            <w:tcW w:w="30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224</w:t>
            </w:r>
          </w:p>
        </w:tc>
        <w:tc>
          <w:tcPr>
            <w:tcW w:w="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9"/>
        </w:trPr>
        <w:tc>
          <w:tcPr>
            <w:tcW w:w="3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gridSpan w:val="5"/>
          </w:tcPr>
          <w:p>
            <w:pPr>
              <w:jc w:val="center"/>
              <w:ind w:left="10"/>
              <w:spacing w:after="0"/>
              <w:rPr>
                <w:sz w:val="20"/>
                <w:szCs w:val="20"/>
                <w:color w:val="auto"/>
              </w:rPr>
            </w:pPr>
            <w:r>
              <w:rPr>
                <w:rFonts w:ascii="Arial" w:cs="Arial" w:eastAsia="Arial" w:hAnsi="Arial"/>
                <w:sz w:val="18"/>
                <w:szCs w:val="18"/>
                <w:color w:val="auto"/>
                <w:w w:val="86"/>
              </w:rPr>
              <w:t>Year Ended</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gridSpan w:val="5"/>
          </w:tcPr>
          <w:p>
            <w:pPr>
              <w:jc w:val="center"/>
              <w:ind w:left="10"/>
              <w:spacing w:after="0"/>
              <w:rPr>
                <w:sz w:val="20"/>
                <w:szCs w:val="20"/>
                <w:color w:val="auto"/>
              </w:rPr>
            </w:pPr>
            <w:r>
              <w:rPr>
                <w:rFonts w:ascii="Arial" w:cs="Arial" w:eastAsia="Arial" w:hAnsi="Arial"/>
                <w:sz w:val="18"/>
                <w:szCs w:val="18"/>
                <w:color w:val="auto"/>
                <w:w w:val="86"/>
              </w:rPr>
              <w:t>Year Ended</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ind w:left="600"/>
              <w:spacing w:after="0"/>
              <w:rPr>
                <w:sz w:val="20"/>
                <w:szCs w:val="20"/>
                <w:color w:val="auto"/>
              </w:rPr>
            </w:pPr>
            <w:r>
              <w:rPr>
                <w:rFonts w:ascii="Arial" w:cs="Arial" w:eastAsia="Arial" w:hAnsi="Arial"/>
                <w:sz w:val="18"/>
                <w:szCs w:val="18"/>
                <w:color w:val="auto"/>
              </w:rPr>
              <w:t>Change</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5"/>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9"/>
              </w:rPr>
              <w:t>December 31, 2018</w:t>
            </w:r>
          </w:p>
        </w:tc>
        <w:tc>
          <w:tcPr>
            <w:tcW w:w="5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5"/>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9"/>
              </w:rPr>
              <w:t>December 31, 2017</w:t>
            </w:r>
          </w:p>
        </w:tc>
        <w:tc>
          <w:tcPr>
            <w:tcW w:w="5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Hardware</w:t>
            </w:r>
          </w:p>
        </w:tc>
        <w:tc>
          <w:tcPr>
            <w:tcW w:w="32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4,555</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89.6%</w:t>
            </w:r>
          </w:p>
        </w:tc>
        <w:tc>
          <w:tcPr>
            <w:tcW w:w="60" w:type="dxa"/>
            <w:vAlign w:val="bottom"/>
          </w:tcPr>
          <w:p>
            <w:pPr>
              <w:spacing w:after="0"/>
              <w:rPr>
                <w:sz w:val="17"/>
                <w:szCs w:val="17"/>
                <w:color w:val="auto"/>
              </w:rPr>
            </w:pPr>
          </w:p>
        </w:tc>
        <w:tc>
          <w:tcPr>
            <w:tcW w:w="38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4,758</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97.9%</w:t>
            </w:r>
          </w:p>
        </w:tc>
        <w:tc>
          <w:tcPr>
            <w:tcW w:w="60" w:type="dxa"/>
            <w:vAlign w:val="bottom"/>
          </w:tcPr>
          <w:p>
            <w:pPr>
              <w:spacing w:after="0"/>
              <w:rPr>
                <w:sz w:val="17"/>
                <w:szCs w:val="17"/>
                <w:color w:val="auto"/>
              </w:rPr>
            </w:pPr>
          </w:p>
        </w:tc>
        <w:tc>
          <w:tcPr>
            <w:tcW w:w="400" w:type="dxa"/>
            <w:vAlign w:val="bottom"/>
            <w:gridSpan w:val="3"/>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Software,  labels  and  other  recurring</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427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32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5,086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1"/>
              </w:rPr>
              <w:t>100.0%</w:t>
            </w:r>
          </w:p>
        </w:tc>
        <w:tc>
          <w:tcPr>
            <w:tcW w:w="60" w:type="dxa"/>
            <w:vAlign w:val="bottom"/>
          </w:tcPr>
          <w:p>
            <w:pPr>
              <w:spacing w:after="0"/>
              <w:rPr>
                <w:sz w:val="17"/>
                <w:szCs w:val="17"/>
                <w:color w:val="auto"/>
              </w:rPr>
            </w:pPr>
          </w:p>
        </w:tc>
        <w:tc>
          <w:tcPr>
            <w:tcW w:w="38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4,862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1"/>
              </w:rPr>
              <w:t>100.0%</w:t>
            </w:r>
          </w:p>
        </w:tc>
        <w:tc>
          <w:tcPr>
            <w:tcW w:w="60" w:type="dxa"/>
            <w:vAlign w:val="bottom"/>
          </w:tcPr>
          <w:p>
            <w:pPr>
              <w:spacing w:after="0"/>
              <w:rPr>
                <w:sz w:val="17"/>
                <w:szCs w:val="17"/>
                <w:color w:val="auto"/>
              </w:rPr>
            </w:pPr>
          </w:p>
        </w:tc>
        <w:tc>
          <w:tcPr>
            <w:tcW w:w="400" w:type="dxa"/>
            <w:vAlign w:val="bottom"/>
            <w:gridSpan w:val="3"/>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224</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 increase in food service technology sales in 2018 compared to 2017 was due to increased sales of our labels and other recurring revenue, primarily increased label sales which more than quadrupled in 2018 compared 2017. Hardware sales declined 4% in 2018 compared to 2017 due to lower sales of our AccuDate 9700 terminal for McDonald’s. This decrease was partially offset by increased sales of our newer AccuDate XL2e terminal, which was renamed to our BOHA! terminal in 2019, to three large corporate customers.</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International food service technology sales increased during 2018 compared to 2017 due to increased sales of the AccuDate 9700 for McDonald’s through our Canadian distributor.</w:t>
      </w:r>
    </w:p>
    <w:p>
      <w:pPr>
        <w:spacing w:after="0" w:line="129" w:lineRule="exact"/>
        <w:rPr>
          <w:sz w:val="20"/>
          <w:szCs w:val="20"/>
          <w:color w:val="auto"/>
        </w:rPr>
      </w:pPr>
    </w:p>
    <w:p>
      <w:pPr>
        <w:spacing w:after="0" w:line="235" w:lineRule="auto"/>
        <w:rPr>
          <w:sz w:val="20"/>
          <w:szCs w:val="20"/>
          <w:color w:val="auto"/>
        </w:rPr>
      </w:pPr>
      <w:r>
        <w:rPr>
          <w:rFonts w:ascii="Arial" w:cs="Arial" w:eastAsia="Arial" w:hAnsi="Arial"/>
          <w:sz w:val="18"/>
          <w:szCs w:val="18"/>
          <w:i w:val="1"/>
          <w:iCs w:val="1"/>
          <w:color w:val="auto"/>
        </w:rPr>
        <w:t xml:space="preserve">POS automation and banking: </w:t>
      </w:r>
      <w:r>
        <w:rPr>
          <w:rFonts w:ascii="Arial" w:cs="Arial" w:eastAsia="Arial" w:hAnsi="Arial"/>
          <w:sz w:val="18"/>
          <w:szCs w:val="18"/>
          <w:color w:val="auto"/>
        </w:rPr>
        <w:t>A summary of sales of our worldwide POS automation and banking products for the years ended December 31, 2018 and</w:t>
      </w:r>
      <w:r>
        <w:rPr>
          <w:rFonts w:ascii="Arial" w:cs="Arial" w:eastAsia="Arial" w:hAnsi="Arial"/>
          <w:sz w:val="18"/>
          <w:szCs w:val="18"/>
          <w:i w:val="1"/>
          <w:iCs w:val="1"/>
          <w:color w:val="auto"/>
        </w:rPr>
        <w:t xml:space="preserve"> </w:t>
      </w:r>
      <w:r>
        <w:rPr>
          <w:rFonts w:ascii="Arial" w:cs="Arial" w:eastAsia="Arial" w:hAnsi="Arial"/>
          <w:sz w:val="18"/>
          <w:szCs w:val="18"/>
          <w:color w:val="auto"/>
        </w:rPr>
        <w:t>2017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Change</w:t>
            </w:r>
          </w:p>
        </w:tc>
        <w:tc>
          <w:tcPr>
            <w:tcW w:w="980" w:type="dxa"/>
            <w:vAlign w:val="bottom"/>
            <w:tcBorders>
              <w:bottom w:val="single" w:sz="8" w:color="auto"/>
            </w:tcBorders>
          </w:tcPr>
          <w:p>
            <w:pPr>
              <w:spacing w:after="0"/>
              <w:rPr>
                <w:sz w:val="18"/>
                <w:szCs w:val="18"/>
                <w:color w:val="auto"/>
              </w:rPr>
            </w:pP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2018</w:t>
            </w:r>
          </w:p>
        </w:tc>
        <w:tc>
          <w:tcPr>
            <w:tcW w:w="4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2017</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7,122</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97.9%</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7,596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96.1%</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(474)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r>
      <w:tr>
        <w:trPr>
          <w:trHeight w:val="209"/>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(51.1%)</w:t>
            </w:r>
          </w:p>
        </w:tc>
      </w:tr>
      <w:tr>
        <w:trPr>
          <w:trHeight w:val="203"/>
        </w:trPr>
        <w:tc>
          <w:tcPr>
            <w:tcW w:w="3200" w:type="dxa"/>
            <w:vAlign w:val="bottom"/>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7,273</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7,905</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r>
      <w:tr>
        <w:trPr>
          <w:trHeight w:val="20"/>
        </w:trPr>
        <w:tc>
          <w:tcPr>
            <w:tcW w:w="3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decrease in domestic POS automation and banking sales in 2018 compared to 2017 was primarily driven by a 75% decrease in sales of our legacy banking and other POS printers. These decreases were partially offset by a slight increase in domestic sales of our Ithaca® 9000 printers of 1% during 2018 compared to 2017, as sales rebounded to 2017, near-record levels during the second and third quarters of 2018.</w:t>
      </w:r>
    </w:p>
    <w:p>
      <w:pPr>
        <w:spacing w:after="0" w:line="122"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International POS automation and banking sales decreased due to lower sales of our Ithaca® 9000 printer to our Canadian distributor for McDonald’s during 2018 compared to 2017.</w:t>
      </w:r>
    </w:p>
    <w:p>
      <w:pPr>
        <w:sectPr>
          <w:pgSz w:w="11900" w:h="16838" w:orient="portrait"/>
          <w:cols w:equalWidth="0" w:num="1">
            <w:col w:w="11240"/>
          </w:cols>
          <w:pgMar w:left="320" w:top="108" w:right="339" w:bottom="144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6"/>
          <w:szCs w:val="16"/>
          <w:i w:val="1"/>
          <w:iCs w:val="1"/>
          <w:color w:val="auto"/>
        </w:rPr>
        <w:t xml:space="preserve">Casino and gaming: </w:t>
      </w:r>
      <w:r>
        <w:rPr>
          <w:rFonts w:ascii="Arial" w:cs="Arial" w:eastAsia="Arial" w:hAnsi="Arial"/>
          <w:sz w:val="16"/>
          <w:szCs w:val="16"/>
          <w:color w:val="auto"/>
        </w:rPr>
        <w:t>A summary of sales of our worldwide casino and gaming products for the years ended December 31, 2018 and 2017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3"/>
          </w:tcPr>
          <w:p>
            <w:pPr>
              <w:jc w:val="center"/>
              <w:ind w:left="70"/>
              <w:spacing w:after="0"/>
              <w:rPr>
                <w:sz w:val="20"/>
                <w:szCs w:val="20"/>
                <w:color w:val="auto"/>
              </w:rPr>
            </w:pPr>
            <w:r>
              <w:rPr>
                <w:rFonts w:ascii="Arial" w:cs="Arial" w:eastAsia="Arial" w:hAnsi="Arial"/>
                <w:sz w:val="18"/>
                <w:szCs w:val="18"/>
                <w:color w:val="auto"/>
                <w:w w:val="88"/>
              </w:rPr>
              <w:t>Year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3"/>
          </w:tcPr>
          <w:p>
            <w:pPr>
              <w:jc w:val="center"/>
              <w:ind w:left="70"/>
              <w:spacing w:after="0"/>
              <w:rPr>
                <w:sz w:val="20"/>
                <w:szCs w:val="20"/>
                <w:color w:val="auto"/>
              </w:rPr>
            </w:pPr>
            <w:r>
              <w:rPr>
                <w:rFonts w:ascii="Arial" w:cs="Arial" w:eastAsia="Arial" w:hAnsi="Arial"/>
                <w:sz w:val="18"/>
                <w:szCs w:val="18"/>
                <w:color w:val="auto"/>
                <w:w w:val="88"/>
              </w:rPr>
              <w:t>Year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ind w:left="620"/>
              <w:spacing w:after="0"/>
              <w:rPr>
                <w:sz w:val="20"/>
                <w:szCs w:val="20"/>
                <w:color w:val="auto"/>
              </w:rPr>
            </w:pPr>
            <w:r>
              <w:rPr>
                <w:rFonts w:ascii="Arial" w:cs="Arial" w:eastAsia="Arial" w:hAnsi="Arial"/>
                <w:sz w:val="18"/>
                <w:szCs w:val="18"/>
                <w:color w:val="auto"/>
              </w:rPr>
              <w:t>Change</w:t>
            </w:r>
          </w:p>
        </w:tc>
        <w:tc>
          <w:tcPr>
            <w:tcW w:w="920" w:type="dxa"/>
            <w:vAlign w:val="bottom"/>
            <w:tcBorders>
              <w:bottom w:val="single" w:sz="8" w:color="auto"/>
            </w:tcBorders>
          </w:tcPr>
          <w:p>
            <w:pPr>
              <w:spacing w:after="0"/>
              <w:rPr>
                <w:sz w:val="18"/>
                <w:szCs w:val="18"/>
                <w:color w:val="auto"/>
              </w:rPr>
            </w:pPr>
          </w:p>
        </w:tc>
      </w:tr>
      <w:tr>
        <w:trPr>
          <w:trHeight w:val="210"/>
        </w:trPr>
        <w:tc>
          <w:tcPr>
            <w:tcW w:w="32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3"/>
            <w:shd w:val="clear" w:color="auto" w:fill="CCEEFF"/>
          </w:tcPr>
          <w:p>
            <w:pPr>
              <w:jc w:val="center"/>
              <w:ind w:left="90"/>
              <w:spacing w:after="0" w:line="202" w:lineRule="exact"/>
              <w:rPr>
                <w:sz w:val="20"/>
                <w:szCs w:val="20"/>
                <w:color w:val="auto"/>
              </w:rPr>
            </w:pPr>
            <w:r>
              <w:rPr>
                <w:rFonts w:ascii="Arial" w:cs="Arial" w:eastAsia="Arial" w:hAnsi="Arial"/>
                <w:sz w:val="18"/>
                <w:szCs w:val="18"/>
                <w:color w:val="auto"/>
                <w:w w:val="89"/>
              </w:rPr>
              <w:t>December 31, 2018</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3"/>
            <w:shd w:val="clear" w:color="auto" w:fill="CCEEFF"/>
          </w:tcPr>
          <w:p>
            <w:pPr>
              <w:jc w:val="center"/>
              <w:ind w:left="90"/>
              <w:spacing w:after="0" w:line="202" w:lineRule="exact"/>
              <w:rPr>
                <w:sz w:val="20"/>
                <w:szCs w:val="20"/>
                <w:color w:val="auto"/>
              </w:rPr>
            </w:pPr>
            <w:r>
              <w:rPr>
                <w:rFonts w:ascii="Arial" w:cs="Arial" w:eastAsia="Arial" w:hAnsi="Arial"/>
                <w:sz w:val="18"/>
                <w:szCs w:val="18"/>
                <w:color w:val="auto"/>
                <w:w w:val="89"/>
              </w:rPr>
              <w:t>December 31, 2017</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w:t>
            </w: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17,518</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65.9%</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13,608</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73.1%</w:t>
            </w:r>
          </w:p>
        </w:tc>
        <w:tc>
          <w:tcPr>
            <w:tcW w:w="10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3,910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28.7%</w:t>
            </w:r>
          </w:p>
        </w:tc>
      </w:tr>
      <w:tr>
        <w:trPr>
          <w:trHeight w:val="209"/>
        </w:trPr>
        <w:tc>
          <w:tcPr>
            <w:tcW w:w="32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9,075</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5,007</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4,068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81.2%</w:t>
            </w:r>
          </w:p>
        </w:tc>
      </w:tr>
      <w:tr>
        <w:trPr>
          <w:trHeight w:val="203"/>
        </w:trPr>
        <w:tc>
          <w:tcPr>
            <w:tcW w:w="324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26,593</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18,615</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10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7,978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42.9%</w:t>
            </w:r>
          </w:p>
        </w:tc>
      </w:tr>
      <w:tr>
        <w:trPr>
          <w:trHeight w:val="21"/>
        </w:trPr>
        <w:tc>
          <w:tcPr>
            <w:tcW w:w="3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increase in domestic sales of our casino and gaming products was due primarily to a 20% increase in domestic sales of our thermal casino printer in 2018 compared to 2017, driven primarily by increased sales to our OEMs and a large order from a domestic casino operator for replacement printers. Domestic sales also increased during 2018 due to a significant sale of our off-premise gaming printers to an OEM. Sales of EPICENTRAL™ software during 2018 were comparable with our 2017 EPICENTRAL™ sales as we completed two new installations during both 2018 and 2017.</w:t>
      </w:r>
    </w:p>
    <w:p>
      <w:pPr>
        <w:spacing w:after="0" w:line="114"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increase in international sales in 2018 compared to 2017 was due to a 143% increase of thermal casino printer sales. These increases were due to the successful transition away from using our previous exclusive worldwide distributor whose contract ended at the end of 2017 and using our new direct sales team to sell to end user casino and gaming customers in Europe. These increases were partially offset by a 5% decrease in international sales of off-premise gaming printers.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Lottery: </w:t>
      </w:r>
      <w:r>
        <w:rPr>
          <w:rFonts w:ascii="Arial" w:cs="Arial" w:eastAsia="Arial" w:hAnsi="Arial"/>
          <w:sz w:val="18"/>
          <w:szCs w:val="18"/>
          <w:color w:val="auto"/>
        </w:rPr>
        <w:t>A summary of sales of our worldwide lottery printers for the years ended December 31, 2018 and 2017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ind w:left="640"/>
              <w:spacing w:after="0"/>
              <w:rPr>
                <w:sz w:val="20"/>
                <w:szCs w:val="20"/>
                <w:color w:val="auto"/>
              </w:rPr>
            </w:pPr>
            <w:r>
              <w:rPr>
                <w:rFonts w:ascii="Arial" w:cs="Arial" w:eastAsia="Arial" w:hAnsi="Arial"/>
                <w:sz w:val="18"/>
                <w:szCs w:val="18"/>
                <w:color w:val="auto"/>
              </w:rPr>
              <w:t>Change</w:t>
            </w:r>
          </w:p>
        </w:tc>
        <w:tc>
          <w:tcPr>
            <w:tcW w:w="980" w:type="dxa"/>
            <w:vAlign w:val="bottom"/>
            <w:tcBorders>
              <w:bottom w:val="single" w:sz="8" w:color="auto"/>
            </w:tcBorders>
          </w:tcPr>
          <w:p>
            <w:pPr>
              <w:spacing w:after="0"/>
              <w:rPr>
                <w:sz w:val="18"/>
                <w:szCs w:val="18"/>
                <w:color w:val="auto"/>
              </w:rPr>
            </w:pPr>
          </w:p>
        </w:tc>
      </w:tr>
      <w:tr>
        <w:trPr>
          <w:trHeight w:val="209"/>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2018</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2017</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3,046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98.5%</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8,626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88.0%</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(5,580)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(64.7%)</w:t>
            </w: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1,179</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(1,132)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(96.0%)</w:t>
            </w:r>
          </w:p>
        </w:tc>
      </w:tr>
      <w:tr>
        <w:trPr>
          <w:trHeight w:val="203"/>
        </w:trPr>
        <w:tc>
          <w:tcPr>
            <w:tcW w:w="320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3,093</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9,805</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(6,712)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(68.5%)</w:t>
            </w:r>
          </w:p>
        </w:tc>
      </w:tr>
      <w:tr>
        <w:trPr>
          <w:trHeight w:val="20"/>
        </w:trPr>
        <w:tc>
          <w:tcPr>
            <w:tcW w:w="3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sales to IGT are directly dependent on the timing and number of new and upgraded lottery terminal installations that IGT performs, and as a result, may fluctuate significantly quarter-to-quarter and year-to-year. However, our lottery market sales are not indicative of IGT’s overall business or revenue.</w:t>
      </w:r>
    </w:p>
    <w:p>
      <w:pPr>
        <w:spacing w:after="0" w:line="8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decrease in international lottery sales in 2018 compared to 2017 was primarily due to a sale of lottery printers to IGT for the Canadian lottery in 2017 and no comparable sale occurring in 2018.</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 xml:space="preserve">Printrex: </w:t>
      </w:r>
      <w:r>
        <w:rPr>
          <w:rFonts w:ascii="Arial" w:cs="Arial" w:eastAsia="Arial" w:hAnsi="Arial"/>
          <w:sz w:val="18"/>
          <w:szCs w:val="18"/>
          <w:color w:val="auto"/>
        </w:rPr>
        <w:t>A summary of sales of our worldwide Printrex printers for the years ended December 31, 2018 and 2017 is as follows (in thousands, except</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3"/>
          </w:tcPr>
          <w:p>
            <w:pPr>
              <w:jc w:val="center"/>
              <w:ind w:left="70"/>
              <w:spacing w:after="0"/>
              <w:rPr>
                <w:sz w:val="20"/>
                <w:szCs w:val="20"/>
                <w:color w:val="auto"/>
              </w:rPr>
            </w:pPr>
            <w:r>
              <w:rPr>
                <w:rFonts w:ascii="Arial" w:cs="Arial" w:eastAsia="Arial" w:hAnsi="Arial"/>
                <w:sz w:val="18"/>
                <w:szCs w:val="18"/>
                <w:color w:val="auto"/>
                <w:w w:val="88"/>
              </w:rPr>
              <w:t>Year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3"/>
          </w:tcPr>
          <w:p>
            <w:pPr>
              <w:jc w:val="center"/>
              <w:ind w:left="70"/>
              <w:spacing w:after="0"/>
              <w:rPr>
                <w:sz w:val="20"/>
                <w:szCs w:val="20"/>
                <w:color w:val="auto"/>
              </w:rPr>
            </w:pPr>
            <w:r>
              <w:rPr>
                <w:rFonts w:ascii="Arial" w:cs="Arial" w:eastAsia="Arial" w:hAnsi="Arial"/>
                <w:sz w:val="18"/>
                <w:szCs w:val="18"/>
                <w:color w:val="auto"/>
                <w:w w:val="88"/>
              </w:rPr>
              <w:t>Year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ind w:left="620"/>
              <w:spacing w:after="0"/>
              <w:rPr>
                <w:sz w:val="20"/>
                <w:szCs w:val="20"/>
                <w:color w:val="auto"/>
              </w:rPr>
            </w:pPr>
            <w:r>
              <w:rPr>
                <w:rFonts w:ascii="Arial" w:cs="Arial" w:eastAsia="Arial" w:hAnsi="Arial"/>
                <w:sz w:val="18"/>
                <w:szCs w:val="18"/>
                <w:color w:val="auto"/>
              </w:rPr>
              <w:t>Change</w:t>
            </w:r>
          </w:p>
        </w:tc>
        <w:tc>
          <w:tcPr>
            <w:tcW w:w="920" w:type="dxa"/>
            <w:vAlign w:val="bottom"/>
            <w:tcBorders>
              <w:bottom w:val="single" w:sz="8" w:color="auto"/>
            </w:tcBorders>
          </w:tcPr>
          <w:p>
            <w:pPr>
              <w:spacing w:after="0"/>
              <w:rPr>
                <w:sz w:val="18"/>
                <w:szCs w:val="18"/>
                <w:color w:val="auto"/>
              </w:rPr>
            </w:pPr>
          </w:p>
        </w:tc>
      </w:tr>
      <w:tr>
        <w:trPr>
          <w:trHeight w:val="210"/>
        </w:trPr>
        <w:tc>
          <w:tcPr>
            <w:tcW w:w="32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3"/>
            <w:shd w:val="clear" w:color="auto" w:fill="CCEEFF"/>
          </w:tcPr>
          <w:p>
            <w:pPr>
              <w:jc w:val="center"/>
              <w:ind w:left="90"/>
              <w:spacing w:after="0" w:line="202" w:lineRule="exact"/>
              <w:rPr>
                <w:sz w:val="20"/>
                <w:szCs w:val="20"/>
                <w:color w:val="auto"/>
              </w:rPr>
            </w:pPr>
            <w:r>
              <w:rPr>
                <w:rFonts w:ascii="Arial" w:cs="Arial" w:eastAsia="Arial" w:hAnsi="Arial"/>
                <w:sz w:val="18"/>
                <w:szCs w:val="18"/>
                <w:color w:val="auto"/>
                <w:w w:val="89"/>
              </w:rPr>
              <w:t>December 31, 2018</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3"/>
            <w:shd w:val="clear" w:color="auto" w:fill="CCEEFF"/>
          </w:tcPr>
          <w:p>
            <w:pPr>
              <w:jc w:val="center"/>
              <w:ind w:left="90"/>
              <w:spacing w:after="0" w:line="202" w:lineRule="exact"/>
              <w:rPr>
                <w:sz w:val="20"/>
                <w:szCs w:val="20"/>
                <w:color w:val="auto"/>
              </w:rPr>
            </w:pPr>
            <w:r>
              <w:rPr>
                <w:rFonts w:ascii="Arial" w:cs="Arial" w:eastAsia="Arial" w:hAnsi="Arial"/>
                <w:sz w:val="18"/>
                <w:szCs w:val="18"/>
                <w:color w:val="auto"/>
                <w:w w:val="89"/>
              </w:rPr>
              <w:t>December 31, 2017</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w:t>
            </w: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1,028</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79.3%</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849</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80.7%</w:t>
            </w:r>
          </w:p>
        </w:tc>
        <w:tc>
          <w:tcPr>
            <w:tcW w:w="10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21.1%</w:t>
            </w:r>
          </w:p>
        </w:tc>
      </w:tr>
      <w:tr>
        <w:trPr>
          <w:trHeight w:val="210"/>
        </w:trPr>
        <w:tc>
          <w:tcPr>
            <w:tcW w:w="32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32.5%</w:t>
            </w:r>
          </w:p>
        </w:tc>
      </w:tr>
      <w:tr>
        <w:trPr>
          <w:trHeight w:val="203"/>
        </w:trPr>
        <w:tc>
          <w:tcPr>
            <w:tcW w:w="324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1,297</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1,052</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10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23.3%</w:t>
            </w:r>
          </w:p>
        </w:tc>
      </w:tr>
      <w:tr>
        <w:trPr>
          <w:trHeight w:val="20"/>
        </w:trPr>
        <w:tc>
          <w:tcPr>
            <w:tcW w:w="3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increase in Printrex sales in 2018 compared to 2017 resulted from a 57% increase in domestic and international sales of our oil and gas printers due to a continued recovery in the oil and gas market. This increase was partially offset by 87% lower sales of domestic and international medical and mobile printers in 2018 compared to 2017.</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TSG: </w:t>
      </w:r>
      <w:r>
        <w:rPr>
          <w:rFonts w:ascii="Arial" w:cs="Arial" w:eastAsia="Arial" w:hAnsi="Arial"/>
          <w:sz w:val="18"/>
          <w:szCs w:val="18"/>
          <w:color w:val="auto"/>
        </w:rPr>
        <w:t>A summary of sales in our worldwide TSG market for the years ended December 31, 2018 and 2017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Change</w:t>
            </w:r>
          </w:p>
        </w:tc>
        <w:tc>
          <w:tcPr>
            <w:tcW w:w="980" w:type="dxa"/>
            <w:vAlign w:val="bottom"/>
            <w:tcBorders>
              <w:bottom w:val="single" w:sz="8" w:color="auto"/>
            </w:tcBorders>
          </w:tcPr>
          <w:p>
            <w:pPr>
              <w:spacing w:after="0"/>
              <w:rPr>
                <w:sz w:val="18"/>
                <w:szCs w:val="18"/>
                <w:color w:val="auto"/>
              </w:rPr>
            </w:pP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2018</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2017</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10,164</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90.4%</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13,553</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96.3%</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(3,389)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1,081</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108.3%</w:t>
            </w:r>
          </w:p>
        </w:tc>
      </w:tr>
      <w:tr>
        <w:trPr>
          <w:trHeight w:val="203"/>
        </w:trPr>
        <w:tc>
          <w:tcPr>
            <w:tcW w:w="320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11,245</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14,072</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(2,827)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(20.1%)</w:t>
            </w:r>
          </w:p>
        </w:tc>
      </w:tr>
      <w:tr>
        <w:trPr>
          <w:trHeight w:val="20"/>
        </w:trPr>
        <w:tc>
          <w:tcPr>
            <w:tcW w:w="3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decrease in domestic revenue from TSG in 2018 compared to 2017 was due primarily to lower sales of replacement parts, non-Printrex consumable products and service revenue. Replacement part sales decreased 36% due to lower sales of lottery printer spare parts to IGT. Non-Printrex consumables sales declined 10% due to lower sales of our legacy HP inkjet cartridges used in our banking printers, as we exited the banking market at the end of 2018. Service revenue declined 14% in 2018 compared to 2017 due to paper testing sales that occurred in 2017 but did not repeat in 2018.</w:t>
      </w:r>
    </w:p>
    <w:p>
      <w:pPr>
        <w:spacing w:after="0" w:line="11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Internationally, TSG revenue increased primarily due to a 134% increase in sales of replacement parts and accessories in 2018 compared to 2017, as sales of replacement parts and accessories to international casino and gaming customers increased upon the transition away from using our previous exclusive worldwide distributor and using our new direct sales team to sell to end user casino and gaming customers.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information for the years ended December 31, 2018 and 2017 is summarized below (in thousands, except percentages):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ind w:left="480"/>
              <w:spacing w:after="0"/>
              <w:rPr>
                <w:sz w:val="20"/>
                <w:szCs w:val="20"/>
                <w:color w:val="auto"/>
              </w:rPr>
            </w:pPr>
            <w:r>
              <w:rPr>
                <w:rFonts w:ascii="Arial" w:cs="Arial" w:eastAsia="Arial" w:hAnsi="Arial"/>
                <w:sz w:val="18"/>
                <w:szCs w:val="18"/>
                <w:color w:val="auto"/>
              </w:rPr>
              <w:t>December 31,</w:t>
            </w:r>
          </w:p>
        </w:tc>
        <w:tc>
          <w:tcPr>
            <w:tcW w:w="1260" w:type="dxa"/>
            <w:vAlign w:val="bottom"/>
          </w:tcPr>
          <w:p>
            <w:pPr>
              <w:ind w:left="280"/>
              <w:spacing w:after="0"/>
              <w:rPr>
                <w:sz w:val="20"/>
                <w:szCs w:val="20"/>
                <w:color w:val="auto"/>
              </w:rPr>
            </w:pPr>
            <w:r>
              <w:rPr>
                <w:rFonts w:ascii="Arial" w:cs="Arial" w:eastAsia="Arial" w:hAnsi="Arial"/>
                <w:sz w:val="18"/>
                <w:szCs w:val="18"/>
                <w:color w:val="auto"/>
              </w:rPr>
              <w:t>Percent</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2"/>
                <w:szCs w:val="12"/>
                <w:color w:val="auto"/>
              </w:rPr>
            </w:pPr>
          </w:p>
        </w:tc>
        <w:tc>
          <w:tcPr>
            <w:tcW w:w="1260" w:type="dxa"/>
            <w:vAlign w:val="bottom"/>
            <w:vMerge w:val="restart"/>
          </w:tcPr>
          <w:p>
            <w:pPr>
              <w:ind w:left="28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2018</w:t>
            </w: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26,743</w:t>
            </w: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26,662</w:t>
            </w:r>
          </w:p>
        </w:tc>
        <w:tc>
          <w:tcPr>
            <w:tcW w:w="2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Gross profit increased $81 thousand, or less than 1%, and gross margin increased 170 basis points due primarily to a more favorable sales mix in 2018 compared to 2017. The increased gross margin reflected a favorable shift in sales mix towards higher-value, technology driven solutions, as well as lower sales volume of lottery and POS printers, which carry lower margins than our other products.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Operating Expenses - Engineering, Design and Product Development.  </w:t>
      </w:r>
      <w:r>
        <w:rPr>
          <w:rFonts w:ascii="Arial" w:cs="Arial" w:eastAsia="Arial" w:hAnsi="Arial"/>
          <w:sz w:val="16"/>
          <w:szCs w:val="16"/>
          <w:color w:val="auto"/>
        </w:rPr>
        <w:t>Engineering, design and product development information for the years ended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2017 is summarized below (in thousands, except percentages):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ind w:left="480"/>
              <w:spacing w:after="0"/>
              <w:rPr>
                <w:sz w:val="20"/>
                <w:szCs w:val="20"/>
                <w:color w:val="auto"/>
              </w:rPr>
            </w:pPr>
            <w:r>
              <w:rPr>
                <w:rFonts w:ascii="Arial" w:cs="Arial" w:eastAsia="Arial" w:hAnsi="Arial"/>
                <w:sz w:val="18"/>
                <w:szCs w:val="18"/>
                <w:color w:val="auto"/>
              </w:rPr>
              <w:t>December 31,</w:t>
            </w:r>
          </w:p>
        </w:tc>
        <w:tc>
          <w:tcPr>
            <w:tcW w:w="1260" w:type="dxa"/>
            <w:vAlign w:val="bottom"/>
          </w:tcPr>
          <w:p>
            <w:pPr>
              <w:ind w:left="280"/>
              <w:spacing w:after="0"/>
              <w:rPr>
                <w:sz w:val="20"/>
                <w:szCs w:val="20"/>
                <w:color w:val="auto"/>
              </w:rPr>
            </w:pPr>
            <w:r>
              <w:rPr>
                <w:rFonts w:ascii="Arial" w:cs="Arial" w:eastAsia="Arial" w:hAnsi="Arial"/>
                <w:sz w:val="18"/>
                <w:szCs w:val="18"/>
                <w:color w:val="auto"/>
              </w:rPr>
              <w:t>Percent</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2"/>
                <w:szCs w:val="12"/>
                <w:color w:val="auto"/>
              </w:rPr>
            </w:pPr>
          </w:p>
        </w:tc>
        <w:tc>
          <w:tcPr>
            <w:tcW w:w="1260" w:type="dxa"/>
            <w:vAlign w:val="bottom"/>
            <w:vMerge w:val="restart"/>
          </w:tcPr>
          <w:p>
            <w:pPr>
              <w:ind w:left="28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2018</w:t>
            </w: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480"/>
              <w:spacing w:after="0" w:line="202" w:lineRule="exact"/>
              <w:rPr>
                <w:sz w:val="20"/>
                <w:szCs w:val="20"/>
                <w:color w:val="auto"/>
              </w:rPr>
            </w:pPr>
            <w:r>
              <w:rPr>
                <w:rFonts w:ascii="Arial" w:cs="Arial" w:eastAsia="Arial" w:hAnsi="Arial"/>
                <w:sz w:val="18"/>
                <w:szCs w:val="18"/>
                <w:color w:val="auto"/>
                <w:w w:val="84"/>
              </w:rPr>
              <w:t>4,576</w:t>
            </w: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4,303</w:t>
            </w:r>
          </w:p>
        </w:tc>
        <w:tc>
          <w:tcPr>
            <w:tcW w:w="2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Engineering, design and product development expenses increased $273 thousand, or 6%, in 2018 compared to 2017 due primarily to the hiring of additional engineering staff and increased expenses related to product development for the food service technology and casino and gaming markets.</w:t>
      </w:r>
    </w:p>
    <w:p>
      <w:pPr>
        <w:spacing w:after="0" w:line="10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Operating Expenses - Selling and Marketing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and marketing information for the years ended December 31, 2018 and 2017 is summarized below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thousands, except percentages):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ind w:left="480"/>
              <w:spacing w:after="0"/>
              <w:rPr>
                <w:sz w:val="20"/>
                <w:szCs w:val="20"/>
                <w:color w:val="auto"/>
              </w:rPr>
            </w:pPr>
            <w:r>
              <w:rPr>
                <w:rFonts w:ascii="Arial" w:cs="Arial" w:eastAsia="Arial" w:hAnsi="Arial"/>
                <w:sz w:val="18"/>
                <w:szCs w:val="18"/>
                <w:color w:val="auto"/>
              </w:rPr>
              <w:t>December 31,</w:t>
            </w:r>
          </w:p>
        </w:tc>
        <w:tc>
          <w:tcPr>
            <w:tcW w:w="1320" w:type="dxa"/>
            <w:vAlign w:val="bottom"/>
          </w:tcPr>
          <w:p>
            <w:pPr>
              <w:ind w:left="280"/>
              <w:spacing w:after="0"/>
              <w:rPr>
                <w:sz w:val="20"/>
                <w:szCs w:val="20"/>
                <w:color w:val="auto"/>
              </w:rPr>
            </w:pPr>
            <w:r>
              <w:rPr>
                <w:rFonts w:ascii="Arial" w:cs="Arial" w:eastAsia="Arial" w:hAnsi="Arial"/>
                <w:sz w:val="18"/>
                <w:szCs w:val="18"/>
                <w:color w:val="auto"/>
              </w:rPr>
              <w:t>Percent</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2"/>
                <w:szCs w:val="12"/>
                <w:color w:val="auto"/>
              </w:rPr>
            </w:pPr>
          </w:p>
        </w:tc>
        <w:tc>
          <w:tcPr>
            <w:tcW w:w="1320" w:type="dxa"/>
            <w:vAlign w:val="bottom"/>
            <w:vMerge w:val="restart"/>
          </w:tcPr>
          <w:p>
            <w:pPr>
              <w:ind w:left="28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09"/>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2018</w:t>
            </w: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480"/>
              <w:spacing w:after="0" w:line="202" w:lineRule="exact"/>
              <w:rPr>
                <w:sz w:val="20"/>
                <w:szCs w:val="20"/>
                <w:color w:val="auto"/>
              </w:rPr>
            </w:pPr>
            <w:r>
              <w:rPr>
                <w:rFonts w:ascii="Arial" w:cs="Arial" w:eastAsia="Arial" w:hAnsi="Arial"/>
                <w:sz w:val="18"/>
                <w:szCs w:val="18"/>
                <w:color w:val="auto"/>
                <w:w w:val="84"/>
              </w:rPr>
              <w:t>7,203</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7,561</w:t>
            </w:r>
          </w:p>
        </w:tc>
        <w:tc>
          <w:tcPr>
            <w:tcW w:w="220" w:type="dxa"/>
            <w:vAlign w:val="bottom"/>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Selling and marketing expenses decreased $358 thousand, or 5%, in 2018 compared to 2017 primarily due to the retirement of our EVP, Sales and Marketing in December 2017, whose position was replaced by an existing employee of TransAct, as well as the elimination of sales commission expense to our former international casino and gaming distributor, Suzo-Happ. These decreases were partially offset by the hiring of additional sales staff to replace our former exclusive worldwide distributor with a direct selling team for our casino and gaming sales in Europe.</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Operating Expenses - General and Administrative. </w:t>
      </w:r>
      <w:r>
        <w:rPr>
          <w:rFonts w:ascii="Arial" w:cs="Arial" w:eastAsia="Arial" w:hAnsi="Arial"/>
          <w:sz w:val="18"/>
          <w:szCs w:val="18"/>
          <w:color w:val="auto"/>
        </w:rPr>
        <w:t>General and administrative information for the years ended December 31, 2018 and 2017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summarized below (in thousands, except percentages):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ind w:left="480"/>
              <w:spacing w:after="0"/>
              <w:rPr>
                <w:sz w:val="20"/>
                <w:szCs w:val="20"/>
                <w:color w:val="auto"/>
              </w:rPr>
            </w:pPr>
            <w:r>
              <w:rPr>
                <w:rFonts w:ascii="Arial" w:cs="Arial" w:eastAsia="Arial" w:hAnsi="Arial"/>
                <w:sz w:val="18"/>
                <w:szCs w:val="18"/>
                <w:color w:val="auto"/>
              </w:rPr>
              <w:t>December 31,</w:t>
            </w:r>
          </w:p>
        </w:tc>
        <w:tc>
          <w:tcPr>
            <w:tcW w:w="1260" w:type="dxa"/>
            <w:vAlign w:val="bottom"/>
          </w:tcPr>
          <w:p>
            <w:pPr>
              <w:ind w:left="280"/>
              <w:spacing w:after="0"/>
              <w:rPr>
                <w:sz w:val="20"/>
                <w:szCs w:val="20"/>
                <w:color w:val="auto"/>
              </w:rPr>
            </w:pPr>
            <w:r>
              <w:rPr>
                <w:rFonts w:ascii="Arial" w:cs="Arial" w:eastAsia="Arial" w:hAnsi="Arial"/>
                <w:sz w:val="18"/>
                <w:szCs w:val="18"/>
                <w:color w:val="auto"/>
              </w:rPr>
              <w:t>Percent</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2"/>
                <w:szCs w:val="12"/>
                <w:color w:val="auto"/>
              </w:rPr>
            </w:pPr>
          </w:p>
        </w:tc>
        <w:tc>
          <w:tcPr>
            <w:tcW w:w="1260" w:type="dxa"/>
            <w:vAlign w:val="bottom"/>
            <w:vMerge w:val="restart"/>
          </w:tcPr>
          <w:p>
            <w:pPr>
              <w:ind w:left="28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2018</w:t>
            </w: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480"/>
              <w:spacing w:after="0" w:line="202" w:lineRule="exact"/>
              <w:rPr>
                <w:sz w:val="20"/>
                <w:szCs w:val="20"/>
                <w:color w:val="auto"/>
              </w:rPr>
            </w:pPr>
            <w:r>
              <w:rPr>
                <w:rFonts w:ascii="Arial" w:cs="Arial" w:eastAsia="Arial" w:hAnsi="Arial"/>
                <w:sz w:val="18"/>
                <w:szCs w:val="18"/>
                <w:color w:val="auto"/>
                <w:w w:val="84"/>
              </w:rPr>
              <w:t>8,205</w:t>
            </w: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7,984</w:t>
            </w:r>
          </w:p>
        </w:tc>
        <w:tc>
          <w:tcPr>
            <w:tcW w:w="2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General and administrative expenses increased $221 thousand, or 3%, in 2018 compared to 2017 due primarily to increased legal expenses and increased administrative expenses related to the expansion of our food service technology sales staff and transitioning to a direct selling model for the casino and gaming market in Europe. These increases were partially offset by lower incentive compensation expense in 2018 compared to 2017.</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Operating Income (Loss). </w:t>
      </w:r>
      <w:r>
        <w:rPr>
          <w:rFonts w:ascii="Arial" w:cs="Arial" w:eastAsia="Arial" w:hAnsi="Arial"/>
          <w:sz w:val="18"/>
          <w:szCs w:val="18"/>
          <w:color w:val="auto"/>
        </w:rPr>
        <w:t>Operating income information for the years ended December 31, 2018 and 2017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ind w:left="480"/>
              <w:spacing w:after="0"/>
              <w:rPr>
                <w:sz w:val="20"/>
                <w:szCs w:val="20"/>
                <w:color w:val="auto"/>
              </w:rPr>
            </w:pPr>
            <w:r>
              <w:rPr>
                <w:rFonts w:ascii="Arial" w:cs="Arial" w:eastAsia="Arial" w:hAnsi="Arial"/>
                <w:sz w:val="18"/>
                <w:szCs w:val="18"/>
                <w:color w:val="auto"/>
              </w:rPr>
              <w:t>December 31,</w:t>
            </w:r>
          </w:p>
        </w:tc>
        <w:tc>
          <w:tcPr>
            <w:tcW w:w="1320" w:type="dxa"/>
            <w:vAlign w:val="bottom"/>
          </w:tcPr>
          <w:p>
            <w:pPr>
              <w:ind w:left="280"/>
              <w:spacing w:after="0"/>
              <w:rPr>
                <w:sz w:val="20"/>
                <w:szCs w:val="20"/>
                <w:color w:val="auto"/>
              </w:rPr>
            </w:pPr>
            <w:r>
              <w:rPr>
                <w:rFonts w:ascii="Arial" w:cs="Arial" w:eastAsia="Arial" w:hAnsi="Arial"/>
                <w:sz w:val="18"/>
                <w:szCs w:val="18"/>
                <w:color w:val="auto"/>
              </w:rPr>
              <w:t>Percent</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2"/>
                <w:szCs w:val="12"/>
                <w:color w:val="auto"/>
              </w:rPr>
            </w:pPr>
          </w:p>
        </w:tc>
        <w:tc>
          <w:tcPr>
            <w:tcW w:w="1320" w:type="dxa"/>
            <w:vAlign w:val="bottom"/>
            <w:vMerge w:val="restart"/>
          </w:tcPr>
          <w:p>
            <w:pPr>
              <w:ind w:left="28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120" w:type="dxa"/>
            <w:vAlign w:val="bottom"/>
          </w:tcPr>
          <w:p>
            <w:pPr>
              <w:spacing w:after="0"/>
              <w:rPr>
                <w:sz w:val="12"/>
                <w:szCs w:val="12"/>
                <w:color w:val="auto"/>
              </w:rPr>
            </w:pPr>
          </w:p>
        </w:tc>
        <w:tc>
          <w:tcPr>
            <w:tcW w:w="1260" w:type="dxa"/>
            <w:vAlign w:val="bottom"/>
          </w:tcPr>
          <w:p>
            <w:pPr>
              <w:jc w:val="center"/>
              <w:ind w:right="92"/>
              <w:spacing w:after="0" w:line="149" w:lineRule="exact"/>
              <w:rPr>
                <w:sz w:val="20"/>
                <w:szCs w:val="20"/>
                <w:color w:val="auto"/>
              </w:rPr>
            </w:pPr>
            <w:r>
              <w:rPr>
                <w:rFonts w:ascii="Arial" w:cs="Arial" w:eastAsia="Arial" w:hAnsi="Arial"/>
                <w:sz w:val="17"/>
                <w:szCs w:val="17"/>
                <w:color w:val="auto"/>
                <w:w w:val="92"/>
              </w:rPr>
              <w:t>Total Sales –</w:t>
            </w:r>
          </w:p>
        </w:tc>
        <w:tc>
          <w:tcPr>
            <w:tcW w:w="0" w:type="dxa"/>
            <w:vAlign w:val="bottom"/>
          </w:tcPr>
          <w:p>
            <w:pPr>
              <w:spacing w:after="0"/>
              <w:rPr>
                <w:sz w:val="1"/>
                <w:szCs w:val="1"/>
                <w:color w:val="auto"/>
              </w:rPr>
            </w:pPr>
          </w:p>
        </w:tc>
      </w:tr>
      <w:tr>
        <w:trPr>
          <w:trHeight w:val="210"/>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2018</w:t>
            </w: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480"/>
              <w:spacing w:after="0" w:line="202" w:lineRule="exact"/>
              <w:rPr>
                <w:sz w:val="20"/>
                <w:szCs w:val="20"/>
                <w:color w:val="auto"/>
              </w:rPr>
            </w:pPr>
            <w:r>
              <w:rPr>
                <w:rFonts w:ascii="Arial" w:cs="Arial" w:eastAsia="Arial" w:hAnsi="Arial"/>
                <w:sz w:val="18"/>
                <w:szCs w:val="18"/>
                <w:color w:val="auto"/>
                <w:w w:val="84"/>
              </w:rPr>
              <w:t>6,759</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6,814</w:t>
            </w:r>
          </w:p>
        </w:tc>
        <w:tc>
          <w:tcPr>
            <w:tcW w:w="220" w:type="dxa"/>
            <w:vAlign w:val="bottom"/>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Our operating income decreased by $55 thousand, or 1%. Despite a sales decline of 3% our operating margin improved, increasing 30 basis points to 12.4% in 2018 compared to 12.1% in 2017, largely due to a 170 basis point increase in gross margin somewhat offset by a 1% increase in operating expenses.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We recorded net interest expense of $27 thousand in 2018 compared to $33 thousand in 2017.</w:t>
      </w:r>
    </w:p>
    <w:p>
      <w:pPr>
        <w:spacing w:after="0" w:line="14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recorded other expense of $266 thousand in 2018 compared to $9 thousand in 2017. The additional expense was due to higher foreign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exchange losses recorded by our U.K. subsidiary in 2018 compared to 2017.</w:t>
      </w:r>
    </w:p>
    <w:p>
      <w:pPr>
        <w:spacing w:after="0" w:line="118" w:lineRule="exact"/>
        <w:rPr>
          <w:sz w:val="20"/>
          <w:szCs w:val="20"/>
          <w:color w:val="auto"/>
        </w:rPr>
      </w:pPr>
    </w:p>
    <w:p>
      <w:pPr>
        <w:jc w:val="both"/>
        <w:spacing w:after="0" w:line="245"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recorded an income tax provision during the year ended December 31, 2018 of $1.0 million at an effective tax rate of 16.1%,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an income tax provision during the year ended December 31, 2017 of $3.6 million at an effective tax rate of 52.6%. The effective tax rate in 2018 was lower than the effective tax rate in 2017 due to the enactment of the Tax Reform Act that was signed on December 22, 2017. Additionally, the effective tax rate in 2017 was unusually high due to the initial impact of the Tax Reform Act as we recognized a provisional $1.3 million charge to income tax expense for the year ended December 31, 2017 as a result of revaluing our net deferred tax assets using the new U.S. corporate tax rate of 21%.</w:t>
      </w:r>
    </w:p>
    <w:p>
      <w:pPr>
        <w:spacing w:after="0" w:line="11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We reported net income during 2018 of $5.4 million, or $0.70 per diluted share, compared to $3.2 million, or $0.42 per diluted share,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w:t>
      </w:r>
    </w:p>
    <w:p>
      <w:pPr>
        <w:sectPr>
          <w:pgSz w:w="11900" w:h="16838" w:orient="portrait"/>
          <w:cols w:equalWidth="0" w:num="1">
            <w:col w:w="11240"/>
          </w:cols>
          <w:pgMar w:left="320" w:top="111" w:right="339" w:bottom="144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Liquidity and Capital Resources</w:t>
      </w:r>
    </w:p>
    <w:p>
      <w:pPr>
        <w:jc w:val="both"/>
        <w:spacing w:after="0" w:line="218"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Significant factors affecting the management of liquidity are cash flows from operating activities, capital expenditures, access to bank lines of credit and our ability to attract long-term capital with satisfactory terms.</w:t>
      </w:r>
    </w:p>
    <w:p>
      <w:pPr>
        <w:spacing w:after="0" w:line="12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Internal cash generation together with currently available cash and cash equivalents, available borrowing facilities and an ability to access credit lines, if needed, are expected to be sufficient to fund operations, capital expenditures, and any increase in working capital that would be required to accommodate a higher level of business activity. We may actively seek to expand by acquisition as well as through the growth of our current business. While a significant acquisition may require additional debt and/or equity financing, although no assurances can be given, we believe that we would be able to obtain additional financing based on our available collateral and historical earnings performance.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jc w:val="both"/>
        <w:spacing w:after="0" w:line="214" w:lineRule="auto"/>
        <w:rPr>
          <w:sz w:val="20"/>
          <w:szCs w:val="20"/>
          <w:color w:val="auto"/>
        </w:rPr>
      </w:pPr>
      <w:r>
        <w:rPr>
          <w:rFonts w:ascii="Arial" w:cs="Arial" w:eastAsia="Arial" w:hAnsi="Arial"/>
          <w:sz w:val="18"/>
          <w:szCs w:val="18"/>
          <w:color w:val="auto"/>
        </w:rPr>
        <w:t>During 2019 our cash balance decreased $0.5 million, or 10%, from December 31, 2018 and we returned cash to shareholders of $2.7 million in the form of cash dividends paid to common shareholders. Additionally, we issued a note receivable of $1 million to a third party in 2019. Even after funding these items and our capital expenditures, we had $4.2 million in cash and cash equivalents as of December 31, 2019, of which $0.9 million was held by our UK subsidiary, and no debt outstanding.</w:t>
      </w:r>
    </w:p>
    <w:p>
      <w:pPr>
        <w:spacing w:after="0" w:line="123" w:lineRule="exact"/>
        <w:rPr>
          <w:sz w:val="20"/>
          <w:szCs w:val="20"/>
          <w:color w:val="auto"/>
        </w:rPr>
      </w:pPr>
    </w:p>
    <w:p>
      <w:pPr>
        <w:jc w:val="both"/>
        <w:spacing w:after="0" w:line="220"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following significant factors primarily affected our cash provided by operating activities of $4.8 million in 2019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$5.1 million in 2018. During 2019:</w:t>
      </w:r>
    </w:p>
    <w:p>
      <w:pPr>
        <w:spacing w:after="0" w:line="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reported a net income of $0.5 million.</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recorded depreciation and amortization of $1.4 million and share-based compensation expense of $0.7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Accounts receivable decreased $1.6 million, or 20%, primarily due to strong collections on receivables during the fourth quarter of 2019.</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Inventories decreased $0.8 million, or 6%, primarily due to the utilization of inventory on hand to fulfill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Prepaid income taxes decreased $0.6 million, or 71%, primarily due to an income tax refund received in the fourth quarter of 2019.</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current and long-term assets increased $0.3 million, or 47%, due primarily to an advanced payment of royalty fees to a technology partner for food service technology.</w:t>
      </w: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Accounts payable decreased $0.5 million, or 15%, primarily due to the utilization of inventory on hand to fulfill sales requiring a lower level of inventory purchases during the second half of 2019.</w:t>
      </w:r>
    </w:p>
    <w:p>
      <w:pPr>
        <w:ind w:left="660" w:right="20" w:hanging="328"/>
        <w:spacing w:after="0" w:line="26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Accrued liabilities and other liabilities increased $0.4 million, or 11%, due primarily to an increase in deferred revenue related to our food service technology service contracts and software subscriptions.</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During 2018:</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reported a net income of $5.4 million.</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recorded depreciation and amortization of $1.0 million and share-based compensation expense of $0.6 million.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Accounts receivable decreased $2.7 million, or 25%, primarily due to the collection of past due receivables from 2017 sales made to our former international casino and gaming distributor.</w:t>
      </w:r>
    </w:p>
    <w:p>
      <w:pPr>
        <w:ind w:left="660" w:right="2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Inventories increased $4.0 million, or 46%, primarily due to the buildup of inventory on hand to support future anticipated sales in the casino and gaming market and food service technology market.</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Accounts payable decreased $0.3 million, or 9%, primarily due to the timing of inventory purchases in 2017 compared to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Accrued liabilities and other liabilities decreased $0.2 million, or 5%, due primarily to a decrease in our accrued incentive compensation.</w:t>
      </w:r>
    </w:p>
    <w:p>
      <w:pPr>
        <w:spacing w:after="0" w:line="168" w:lineRule="exact"/>
        <w:rPr>
          <w:sz w:val="20"/>
          <w:szCs w:val="20"/>
          <w:color w:val="auto"/>
        </w:rPr>
      </w:pPr>
    </w:p>
    <w:p>
      <w:pPr>
        <w:jc w:val="both"/>
        <w:spacing w:after="0" w:line="214"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Our capital expenditures, including capitalized software costs, were $1.4 million and $1.5 million in 2019 and 2018,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in 2019 were primarily for new product tooling equipment, and, to a lesser extent, computer and networking equipment. Expenditures in 2018 were primarily for computer and networking equipment and furniture and fixtures purchases related to investments made in our UK facility to support the build-out of our internal sales infrastructure to sell directly to slot machine manufacturers and end-user casino and gaming customers. To a lesser extent, expenditures in 2018 included computer and networking equipment for our U.S. operations and leasehold improvements made at our Las Vegas facility.</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Capital expenditures and additions to capitalized software for 2020 are expected to be approximately $1.1 million, primarily for new product tooling, new computer software and equipment purchases and leasehold improvements to support our food service technology market.</w:t>
      </w:r>
    </w:p>
    <w:p>
      <w:pPr>
        <w:spacing w:after="0" w:line="121" w:lineRule="exact"/>
        <w:rPr>
          <w:sz w:val="20"/>
          <w:szCs w:val="20"/>
          <w:color w:val="auto"/>
        </w:rPr>
      </w:pPr>
    </w:p>
    <w:p>
      <w:pPr>
        <w:jc w:val="both"/>
        <w:spacing w:after="0" w:line="216"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We used $2.9 million of cash from financing activities during 2019 to pay dividends of $2.7 million and $0.2 million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relinquishment of shares to pay for withholding taxes on stock issued from our stock compensation plan. During 2018, we used $4.5 million of cash to pay dividends of $2.7 million to common shareholders, purchase $2 million of common stock for treasury and $0.3 million related to the relinquishment of shares to pay for withholding taxes on stock issued from our stock compensation plan, partially offset by proceeds from stock option exercises of $0.4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Resource Sufficiency</w:t>
      </w:r>
    </w:p>
    <w:p>
      <w:pPr>
        <w:jc w:val="both"/>
        <w:spacing w:after="0" w:line="218" w:lineRule="auto"/>
        <w:rPr>
          <w:sz w:val="20"/>
          <w:szCs w:val="20"/>
          <w:color w:val="auto"/>
        </w:rPr>
      </w:pPr>
      <w:r>
        <w:rPr>
          <w:rFonts w:ascii="Arial" w:cs="Arial" w:eastAsia="Arial" w:hAnsi="Arial"/>
          <w:sz w:val="18"/>
          <w:szCs w:val="18"/>
          <w:color w:val="auto"/>
        </w:rPr>
        <w:t>We believe that our cash and cash equivalents on hand, cash flows generated from operating activities and access to our credit facility will provide sufficient resources to meet our working capital needs, finance our capital expenditures, support planned investments for our food service technology market and meet our liquidity requirements through at least the next twelve months.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and Borrowings</w:t>
      </w:r>
    </w:p>
    <w:p>
      <w:pPr>
        <w:jc w:val="both"/>
        <w:spacing w:after="0" w:line="212" w:lineRule="auto"/>
        <w:rPr>
          <w:sz w:val="20"/>
          <w:szCs w:val="20"/>
          <w:color w:val="auto"/>
        </w:rPr>
      </w:pPr>
      <w:r>
        <w:rPr>
          <w:rFonts w:ascii="Arial" w:cs="Arial" w:eastAsia="Arial" w:hAnsi="Arial"/>
          <w:sz w:val="18"/>
          <w:szCs w:val="18"/>
          <w:color w:val="auto"/>
        </w:rPr>
        <w:t>During 2019 we maintained a credit facility (the “TD Bank Credit Facility”) with TD Bank N.A. (“TD Bank) which provided for a $20 million revolving credit line. On November 21, 2017, we signed an amendment to the TD Bank Credit Facility through November 28, 2022. Borrowings under the revolving credit line bear a floating rate of interest at the prime rate minus one percent and are secured by a lien on all our assets. We also pay a fee of 0.125% on unused borrowings under the revolving credit line. The amendment increased the amount of revolving credit loans we may use to fund future cash dividend payments or treasury share buybacks to $12.5 million from $10 million.</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27" w:name="page28"/>
    <w:bookmarkEnd w:id="27"/>
    <w:p>
      <w:pPr>
        <w:jc w:val="both"/>
        <w:spacing w:after="0" w:line="216" w:lineRule="auto"/>
        <w:rPr>
          <w:sz w:val="20"/>
          <w:szCs w:val="20"/>
          <w:color w:val="auto"/>
        </w:rPr>
      </w:pPr>
      <w:r>
        <w:rPr>
          <w:rFonts w:ascii="Arial" w:cs="Arial" w:eastAsia="Arial" w:hAnsi="Arial"/>
          <w:sz w:val="18"/>
          <w:szCs w:val="18"/>
          <w:color w:val="auto"/>
        </w:rPr>
        <w:t>The TD Bank Credit Facility imposes certain quarterly financial covenants on us and restricts, among other things, our ability to incur additional indebtedness and the creation of other liens. On November 6, 2019, we amended our TD Credit Facility to change the definition of interest expense to exclude fees paid on unused borrowings under the revolving credit line which is used to calculate total debt service in the operating cash flow to total debt service. Additionally, the amendment limited our maximum loan amount to $1 million. We were in compliance with all financial covenants of the TD Bank Credit Facility at December 31, 2019.</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Financial Covenant</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Requirement/Restriction</w:t>
            </w:r>
          </w:p>
        </w:tc>
        <w:tc>
          <w:tcPr>
            <w:tcW w:w="3700" w:type="dxa"/>
            <w:vAlign w:val="bottom"/>
          </w:tcPr>
          <w:p>
            <w:pPr>
              <w:jc w:val="center"/>
              <w:spacing w:after="0"/>
              <w:rPr>
                <w:sz w:val="20"/>
                <w:szCs w:val="20"/>
                <w:color w:val="auto"/>
              </w:rPr>
            </w:pPr>
            <w:r>
              <w:rPr>
                <w:rFonts w:ascii="Arial" w:cs="Arial" w:eastAsia="Arial" w:hAnsi="Arial"/>
                <w:sz w:val="18"/>
                <w:szCs w:val="18"/>
                <w:color w:val="auto"/>
                <w:w w:val="90"/>
              </w:rPr>
              <w:t>Calculation at December 31, 2019</w:t>
            </w:r>
          </w:p>
        </w:tc>
      </w:tr>
      <w:tr>
        <w:trPr>
          <w:trHeight w:val="148"/>
        </w:trPr>
        <w:tc>
          <w:tcPr>
            <w:tcW w:w="37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7"/>
                <w:szCs w:val="17"/>
                <w:color w:val="auto"/>
                <w:w w:val="96"/>
              </w:rPr>
              <w:t>Operating cash flow / Total debt service</w:t>
            </w:r>
          </w:p>
        </w:tc>
        <w:tc>
          <w:tcPr>
            <w:tcW w:w="120" w:type="dxa"/>
            <w:vAlign w:val="bottom"/>
          </w:tcPr>
          <w:p>
            <w:pPr>
              <w:spacing w:after="0"/>
              <w:rPr>
                <w:sz w:val="12"/>
                <w:szCs w:val="12"/>
                <w:color w:val="auto"/>
              </w:rPr>
            </w:pPr>
          </w:p>
        </w:tc>
        <w:tc>
          <w:tcPr>
            <w:tcW w:w="36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7"/>
                <w:szCs w:val="17"/>
                <w:color w:val="auto"/>
              </w:rPr>
              <w:t>Minimum of 1.25 times</w:t>
            </w:r>
          </w:p>
        </w:tc>
        <w:tc>
          <w:tcPr>
            <w:tcW w:w="100" w:type="dxa"/>
            <w:vAlign w:val="bottom"/>
          </w:tcPr>
          <w:p>
            <w:pPr>
              <w:spacing w:after="0"/>
              <w:rPr>
                <w:sz w:val="12"/>
                <w:szCs w:val="12"/>
                <w:color w:val="auto"/>
              </w:rPr>
            </w:pPr>
          </w:p>
        </w:tc>
        <w:tc>
          <w:tcPr>
            <w:tcW w:w="37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7"/>
                <w:szCs w:val="17"/>
                <w:color w:val="auto"/>
              </w:rPr>
              <w:t>0</w:t>
            </w:r>
          </w:p>
        </w:tc>
      </w:tr>
      <w:tr>
        <w:trPr>
          <w:trHeight w:val="230"/>
        </w:trPr>
        <w:tc>
          <w:tcPr>
            <w:tcW w:w="38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Funded debt / EBITDA</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Maximum of 3.0 times</w:t>
            </w:r>
          </w:p>
        </w:tc>
        <w:tc>
          <w:tcPr>
            <w:tcW w:w="3700" w:type="dxa"/>
            <w:vAlign w:val="bottom"/>
          </w:tcPr>
          <w:p>
            <w:pPr>
              <w:jc w:val="center"/>
              <w:spacing w:after="0"/>
              <w:rPr>
                <w:sz w:val="20"/>
                <w:szCs w:val="20"/>
                <w:color w:val="auto"/>
              </w:rPr>
            </w:pPr>
            <w:r>
              <w:rPr>
                <w:rFonts w:ascii="Arial" w:cs="Arial" w:eastAsia="Arial" w:hAnsi="Arial"/>
                <w:sz w:val="18"/>
                <w:szCs w:val="18"/>
                <w:color w:val="auto"/>
                <w:w w:val="92"/>
              </w:rPr>
              <w:t>0 times</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had no outstanding borrowings under the TD Bank Credit facility.</w:t>
      </w:r>
    </w:p>
    <w:p>
      <w:pPr>
        <w:spacing w:after="0" w:line="144"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On March 13, 2020 we terminated our TD Bank Credit Facility and signed a $10 million credit facility (the “Siena Credit Facility”) with Siena Lending Group LLC. The Siena Credit Facility replaced our TD Bank Credit Facility. The Siena Credit Facility provides for a $10 million revolving credit line expiring on March 13, 2023. Borrowings under the Siena Credit Facility bear a floating rate of interest equal to the greatest of (i) the prime rate plus 1.75%, (ii) the federal funds rate plus 2.25%, and (iii) 6.50%. We incurred a closing fee of $63 thousand payable 50% on the closing date and 50% on the first anniversary of the closing date. We will also pay a fee of 0.50% on unused borrowings under the facility. Borrowings under the facility are secured by a lien on substantially all the assets of the Company. The Siena Credit Facility imposes certain financial covenants on the Company and borrowings are subject to a borrowing base based on (i) 85% of eligible accounts receivable plus the lesser of (a) $5,000,000 and (b) 50% of eligible raw material and 60% of finished good inventory.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Dividend Payments</w:t>
      </w:r>
    </w:p>
    <w:p>
      <w:pPr>
        <w:jc w:val="both"/>
        <w:spacing w:after="0" w:line="210" w:lineRule="auto"/>
        <w:rPr>
          <w:sz w:val="20"/>
          <w:szCs w:val="20"/>
          <w:color w:val="auto"/>
        </w:rPr>
      </w:pPr>
      <w:r>
        <w:rPr>
          <w:rFonts w:ascii="Arial" w:cs="Arial" w:eastAsia="Arial" w:hAnsi="Arial"/>
          <w:sz w:val="18"/>
          <w:szCs w:val="18"/>
          <w:color w:val="auto"/>
        </w:rPr>
        <w:t>In 2012, our Board of Directors initiated a quarterly cash dividend program which is subject to the Board’s approval each quarter. Our Board of Directors declared an increase to the quarterly cash dividend from $0.06 to $0.07 per share in May 2013, from $0.07 to $0.08 per share in May 2014, and from $0.08 to $0.09 per share in May 2017. Dividends declared and paid on our common stock totaled $2.7 million or $0.36 per in both 2019 and 2018. On January 23, 2020, our Board of Directors announced the cessation of our quarterly cash dividend on the Company’s common stock to accelerate the investment in sales and marketing, continued product development and infrastructure of the BOHA! ecosystem. The final dividend payment was made in December 2019.</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jc w:val="both"/>
        <w:spacing w:after="0" w:line="223" w:lineRule="auto"/>
        <w:rPr>
          <w:sz w:val="20"/>
          <w:szCs w:val="20"/>
          <w:color w:val="auto"/>
        </w:rPr>
      </w:pPr>
      <w:r>
        <w:rPr>
          <w:rFonts w:ascii="Arial" w:cs="Arial" w:eastAsia="Arial" w:hAnsi="Arial"/>
          <w:sz w:val="17"/>
          <w:szCs w:val="17"/>
          <w:color w:val="auto"/>
        </w:rPr>
        <w:t>Prior to its expiration on December 31, 2019, we maintained a stock repurchase program (the "2018 Stock Repurchase Program") whereby we were authorized to repurchase up to $5 million of our outstanding shares of common stock from time to time in the open market at prevailing market prices based on market conditions, share price and other factors. We use the cost method to account for treasury stock purchases, under which the price paid for the stock is charged to the treasury stock account. Repurchases of our common stock are accounted for as of the settlement date. During 2019 we did not repurchase any shares of our common stock. From the start of the 2018 Stock Repurchase Program on March 1, 2018 through December 31, 2018, we repurchased 156,410 shares of our common stock for approximately $2.0 million at an average price per share of $12.79.</w:t>
      </w:r>
    </w:p>
    <w:p>
      <w:pPr>
        <w:spacing w:after="0" w:line="12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 2017, under a prior repurchase program that was in place from February 25, 2016 through December 31, 2017, we purchased 36,465 shares of our common stock for $0.4 million at an average price of $9.84 per share. From January 1, 2005 through December 31, 2019, we repurchased a total of 4,044,842 shares of common stock for $32.1 million, at an average price of $7.94 per share.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jc w:val="both"/>
        <w:ind w:right="20"/>
        <w:spacing w:after="0" w:line="214" w:lineRule="auto"/>
        <w:rPr>
          <w:sz w:val="20"/>
          <w:szCs w:val="20"/>
          <w:color w:val="auto"/>
        </w:rPr>
      </w:pPr>
      <w:r>
        <w:rPr>
          <w:rFonts w:ascii="Arial" w:cs="Arial" w:eastAsia="Arial" w:hAnsi="Arial"/>
          <w:sz w:val="18"/>
          <w:szCs w:val="18"/>
          <w:color w:val="auto"/>
        </w:rPr>
        <w:t>Shareholders’ equity decreased $1.6 million, or 6%, to $25.9 million at December 31, 2019 from $27.6 million at December 31, 2018. The decrease was due to the payment of $2.7 million in dividends during 2019 and $0.2 million related to the relinquishment of stock awards to pay for withholding taxes on stock awards. These decreases were partially offset by net income of $0.5 million, as well as share-based compensation expense related to stock awards of $0.7 million.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jc w:val="both"/>
        <w:spacing w:after="0" w:line="218" w:lineRule="auto"/>
        <w:rPr>
          <w:sz w:val="20"/>
          <w:szCs w:val="20"/>
          <w:color w:val="auto"/>
        </w:rPr>
      </w:pPr>
      <w:r>
        <w:rPr>
          <w:rFonts w:ascii="Arial" w:cs="Arial" w:eastAsia="Arial" w:hAnsi="Arial"/>
          <w:sz w:val="18"/>
          <w:szCs w:val="18"/>
          <w:color w:val="auto"/>
        </w:rPr>
        <w:t>As of December 31, 2019, we had no off-balance sheet arrangements that have had or that we expect would be reasonably likely to have a future material effect on our financial condition, changes in financial condition, revenues or expenses, results of operations, liquidity, capital expenditures or capital resources.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rPr>
          <w:sz w:val="20"/>
          <w:szCs w:val="20"/>
          <w:color w:val="auto"/>
        </w:rPr>
      </w:pPr>
      <w:r>
        <w:rPr>
          <w:rFonts w:ascii="Arial" w:cs="Arial" w:eastAsia="Arial" w:hAnsi="Arial"/>
          <w:sz w:val="18"/>
          <w:szCs w:val="18"/>
          <w:color w:val="auto"/>
        </w:rPr>
        <w:t>Our contractual obligations as of December 31, 2019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8"/>
          </w:tcPr>
          <w:p>
            <w:pPr>
              <w:jc w:val="right"/>
              <w:ind w:right="30"/>
              <w:spacing w:after="0"/>
              <w:rPr>
                <w:sz w:val="20"/>
                <w:szCs w:val="20"/>
                <w:color w:val="auto"/>
              </w:rPr>
            </w:pPr>
            <w:r>
              <w:rPr>
                <w:rFonts w:ascii="Arial" w:cs="Arial" w:eastAsia="Arial" w:hAnsi="Arial"/>
                <w:sz w:val="18"/>
                <w:szCs w:val="18"/>
                <w:color w:val="auto"/>
              </w:rPr>
              <w:t>Payments due by period</w:t>
            </w: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62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2"/>
                <w:szCs w:val="12"/>
                <w:color w:val="auto"/>
              </w:rPr>
            </w:pPr>
          </w:p>
        </w:tc>
        <w:tc>
          <w:tcPr>
            <w:tcW w:w="1140" w:type="dxa"/>
            <w:vAlign w:val="bottom"/>
            <w:gridSpan w:val="3"/>
            <w:vMerge w:val="restart"/>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2"/>
                <w:szCs w:val="12"/>
                <w:color w:val="auto"/>
              </w:rPr>
            </w:pPr>
          </w:p>
        </w:tc>
        <w:tc>
          <w:tcPr>
            <w:tcW w:w="1220" w:type="dxa"/>
            <w:vAlign w:val="bottom"/>
            <w:gridSpan w:val="3"/>
          </w:tcPr>
          <w:p>
            <w:pPr>
              <w:jc w:val="center"/>
              <w:ind w:right="400"/>
              <w:spacing w:after="0" w:line="149" w:lineRule="exact"/>
              <w:rPr>
                <w:sz w:val="20"/>
                <w:szCs w:val="20"/>
                <w:color w:val="auto"/>
              </w:rPr>
            </w:pPr>
            <w:r>
              <w:rPr>
                <w:rFonts w:ascii="Arial" w:cs="Arial" w:eastAsia="Arial" w:hAnsi="Arial"/>
                <w:sz w:val="17"/>
                <w:szCs w:val="17"/>
                <w:color w:val="auto"/>
                <w:w w:val="94"/>
              </w:rPr>
              <w:t>Less than</w:t>
            </w:r>
          </w:p>
        </w:tc>
        <w:tc>
          <w:tcPr>
            <w:tcW w:w="160" w:type="dxa"/>
            <w:vAlign w:val="bottom"/>
          </w:tcPr>
          <w:p>
            <w:pPr>
              <w:spacing w:after="0"/>
              <w:rPr>
                <w:sz w:val="12"/>
                <w:szCs w:val="12"/>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8"/>
                <w:szCs w:val="18"/>
                <w:color w:val="auto"/>
              </w:rPr>
              <w:t>1-3 years</w:t>
            </w:r>
          </w:p>
        </w:tc>
        <w:tc>
          <w:tcPr>
            <w:tcW w:w="160" w:type="dxa"/>
            <w:vAlign w:val="bottom"/>
          </w:tcPr>
          <w:p>
            <w:pPr>
              <w:spacing w:after="0"/>
              <w:rPr>
                <w:sz w:val="12"/>
                <w:szCs w:val="12"/>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8"/>
                <w:szCs w:val="18"/>
                <w:color w:val="auto"/>
              </w:rPr>
              <w:t>3-5 years</w:t>
            </w:r>
          </w:p>
        </w:tc>
        <w:tc>
          <w:tcPr>
            <w:tcW w:w="140" w:type="dxa"/>
            <w:vAlign w:val="bottom"/>
          </w:tcPr>
          <w:p>
            <w:pPr>
              <w:spacing w:after="0"/>
              <w:rPr>
                <w:sz w:val="12"/>
                <w:szCs w:val="12"/>
                <w:color w:val="auto"/>
              </w:rPr>
            </w:pPr>
          </w:p>
        </w:tc>
        <w:tc>
          <w:tcPr>
            <w:tcW w:w="1080" w:type="dxa"/>
            <w:vAlign w:val="bottom"/>
          </w:tcPr>
          <w:p>
            <w:pPr>
              <w:jc w:val="right"/>
              <w:ind w:right="191"/>
              <w:spacing w:after="0" w:line="149" w:lineRule="exact"/>
              <w:rPr>
                <w:sz w:val="20"/>
                <w:szCs w:val="20"/>
                <w:color w:val="auto"/>
              </w:rPr>
            </w:pPr>
            <w:r>
              <w:rPr>
                <w:rFonts w:ascii="Arial" w:cs="Arial" w:eastAsia="Arial" w:hAnsi="Arial"/>
                <w:sz w:val="17"/>
                <w:szCs w:val="17"/>
                <w:color w:val="auto"/>
              </w:rPr>
              <w:t>More than</w:t>
            </w:r>
          </w:p>
        </w:tc>
        <w:tc>
          <w:tcPr>
            <w:tcW w:w="0" w:type="dxa"/>
            <w:vAlign w:val="bottom"/>
          </w:tcPr>
          <w:p>
            <w:pPr>
              <w:spacing w:after="0"/>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center"/>
              <w:ind w:right="400"/>
              <w:spacing w:after="0" w:line="202" w:lineRule="exact"/>
              <w:rPr>
                <w:sz w:val="20"/>
                <w:szCs w:val="20"/>
                <w:color w:val="auto"/>
              </w:rPr>
            </w:pPr>
            <w:r>
              <w:rPr>
                <w:rFonts w:ascii="Arial" w:cs="Arial" w:eastAsia="Arial" w:hAnsi="Arial"/>
                <w:sz w:val="18"/>
                <w:szCs w:val="18"/>
                <w:color w:val="auto"/>
                <w:w w:val="91"/>
              </w:rPr>
              <w:t>1 year</w:t>
            </w:r>
          </w:p>
        </w:tc>
        <w:tc>
          <w:tcPr>
            <w:tcW w:w="16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11"/>
              <w:spacing w:after="0" w:line="202" w:lineRule="exact"/>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obligations</w:t>
            </w:r>
          </w:p>
        </w:tc>
        <w:tc>
          <w:tcPr>
            <w:tcW w:w="240" w:type="dxa"/>
            <w:vAlign w:val="bottom"/>
            <w:tcBorders>
              <w:top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3,344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1,042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1,145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0"/>
        </w:trPr>
        <w:tc>
          <w:tcPr>
            <w:tcW w:w="4620" w:type="dxa"/>
            <w:vAlign w:val="bottom"/>
          </w:tcPr>
          <w:p>
            <w:pPr>
              <w:spacing w:after="0" w:line="202" w:lineRule="exact"/>
              <w:rPr>
                <w:sz w:val="20"/>
                <w:szCs w:val="20"/>
                <w:color w:val="auto"/>
              </w:rPr>
            </w:pPr>
            <w:r>
              <w:rPr>
                <w:rFonts w:ascii="Arial" w:cs="Arial" w:eastAsia="Arial" w:hAnsi="Arial"/>
                <w:sz w:val="18"/>
                <w:szCs w:val="18"/>
                <w:color w:val="auto"/>
              </w:rPr>
              <w:t>Purchase obligations</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9,056</w:t>
            </w:r>
          </w:p>
        </w:tc>
        <w:tc>
          <w:tcPr>
            <w:tcW w:w="120" w:type="dxa"/>
            <w:vAlign w:val="bottom"/>
          </w:tcPr>
          <w:p>
            <w:pPr>
              <w:spacing w:after="0"/>
              <w:rPr>
                <w:sz w:val="18"/>
                <w:szCs w:val="18"/>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9,056</w:t>
            </w:r>
          </w:p>
        </w:tc>
        <w:tc>
          <w:tcPr>
            <w:tcW w:w="1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12,400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10,098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Purchase obligations are for purchases made in the normal course of business to meet operational requirements, primarily of fully assembled printers, terminals and component part inventory.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jc w:val="both"/>
        <w:spacing w:after="0" w:line="223" w:lineRule="auto"/>
        <w:rPr>
          <w:sz w:val="20"/>
          <w:szCs w:val="20"/>
          <w:color w:val="auto"/>
        </w:rPr>
      </w:pPr>
      <w:r>
        <w:rPr>
          <w:rFonts w:ascii="Arial" w:cs="Arial" w:eastAsia="Arial" w:hAnsi="Arial"/>
          <w:sz w:val="17"/>
          <w:szCs w:val="17"/>
          <w:color w:val="auto"/>
        </w:rPr>
        <w:t>We believe that our business has not been affected to a significant degree by inflationary trends during the past three years. However, inflation is still a factor in the worldwide economy and may increase the cost of purchasing products from our contract manufacturers in Asia, as well as the cost of certain raw materials, component parts and labor used in the production of our products. It also may increase our operating expenses, manufacturing overhead expenses and the cost to acquire or replace fixed assets. We have generally been able to maintain or improve our profit margins through productivity and efficiency improvements, cost reduction programs and to a lesser extent, price increases, and we expect to be able to do the same during 2020. As such, we do not believe that inflation will have a significant impact on our business during 2020.</w:t>
      </w:r>
    </w:p>
    <w:p>
      <w:pPr>
        <w:sectPr>
          <w:pgSz w:w="11900" w:h="16838" w:orient="portrait"/>
          <w:cols w:equalWidth="0" w:num="1">
            <w:col w:w="11240"/>
          </w:cols>
          <w:pgMar w:left="320" w:top="111" w:right="339" w:bottom="1440" w:gutter="0" w:footer="0" w:header="0"/>
        </w:sect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jc w:val="both"/>
        <w:spacing w:after="0" w:line="214" w:lineRule="auto"/>
        <w:rPr>
          <w:sz w:val="20"/>
          <w:szCs w:val="20"/>
          <w:color w:val="auto"/>
        </w:rPr>
      </w:pPr>
      <w:r>
        <w:rPr>
          <w:rFonts w:ascii="Arial" w:cs="Arial" w:eastAsia="Arial" w:hAnsi="Arial"/>
          <w:sz w:val="18"/>
          <w:szCs w:val="18"/>
          <w:color w:val="auto"/>
        </w:rPr>
        <w:t>Our exposure to market risk for changes in interest rates relates primarily to the investment of our available cash and cash equivalents. In accordance with our investment policy, we strive to achieve above market rates of return in exchange for accepting a prudent amount of incremental risk, which includes the risk of interest rate movements. Risk tolerance is constrained by an overriding objective to preserve capital. An increase or decrease of 10% in effective interest rates would not have a material effect on our results of operations or cash flows.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4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i w:val="1"/>
          <w:iCs w:val="1"/>
          <w:color w:val="auto"/>
        </w:rPr>
        <w:t xml:space="preserve">Transaction Exposure – </w:t>
      </w:r>
      <w:r>
        <w:rPr>
          <w:rFonts w:ascii="Arial" w:cs="Arial" w:eastAsia="Arial" w:hAnsi="Arial"/>
          <w:sz w:val="18"/>
          <w:szCs w:val="18"/>
          <w:color w:val="auto"/>
        </w:rPr>
        <w:t>We transact business in foreign currencies and have international revenue, as well as costs denominated in foreign currencies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are the Euro and Pound Sterling. As a result, we are exposed to the risk of fluctuations in foreign currency exchange rates. Accordingly, changes in exchange rates, and in particular a strengthening of the U.S. dollar, would negatively affect our revenue and other operating results as expressed in U.S. dollars.</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Beginning in 2018, we have experienced increased fluctuations in our net loss as a result of transaction gains or losses related to revaluation and ultimately settling certain asset and liability balances that are denominated in currencies other than the functional currency of our UK subsidiary, which is Pound Sterling. Net realized and unrealized foreign currency gains were $35 thousand in 2019 and net realized and unrealized losses were $267 thousand and $11 thousand in 2018 and 2017, respectively.</w:t>
      </w:r>
    </w:p>
    <w:p>
      <w:pPr>
        <w:spacing w:after="0" w:line="12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The change in foreign currency gains and losses is primarily a result of increased sales recognized by our U.K. subsidiary upon the adoption of a direct selling model in Europe in 2018. We do not use derivative financial instruments to manage foreign currency exchange risk exposure. As a result, both positive and negative currency fluctuations against the U.S. dollar may affect our results of operations. Based on our foreign currency exposures from monetary assets and liabilities, we estimate that a 10% change in exchange rates against the U.S. dollar would have resulted in a gain or loss of approximately $280 thousand as of December 31, 2019.</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i w:val="1"/>
          <w:iCs w:val="1"/>
          <w:color w:val="auto"/>
        </w:rPr>
        <w:t xml:space="preserve">Translation Exposure – </w:t>
      </w:r>
      <w:r>
        <w:rPr>
          <w:rFonts w:ascii="Arial" w:cs="Arial" w:eastAsia="Arial" w:hAnsi="Arial"/>
          <w:sz w:val="18"/>
          <w:szCs w:val="18"/>
          <w:color w:val="auto"/>
        </w:rPr>
        <w:t>We are also exposed to foreign exchange rate fluctuations as we translate the financial statements of our UK subsidiary into U.S.</w:t>
      </w:r>
      <w:r>
        <w:rPr>
          <w:rFonts w:ascii="Arial" w:cs="Arial" w:eastAsia="Arial" w:hAnsi="Arial"/>
          <w:sz w:val="18"/>
          <w:szCs w:val="18"/>
          <w:i w:val="1"/>
          <w:iCs w:val="1"/>
          <w:color w:val="auto"/>
        </w:rPr>
        <w:t xml:space="preserve"> </w:t>
      </w:r>
      <w:r>
        <w:rPr>
          <w:rFonts w:ascii="Arial" w:cs="Arial" w:eastAsia="Arial" w:hAnsi="Arial"/>
          <w:sz w:val="18"/>
          <w:szCs w:val="18"/>
          <w:color w:val="auto"/>
        </w:rPr>
        <w:t>dollars in consolidation. If there is a change in foreign currency exchange rates, the translating adjustments resulting from the conversion of our U.K. subsidiary into U.S. dollars would result in a gain or loss recorded as a component of accumulated other comprehensive loss which is part of stockholders’ equity.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jc w:val="both"/>
        <w:spacing w:after="0" w:line="226" w:lineRule="auto"/>
        <w:rPr>
          <w:sz w:val="20"/>
          <w:szCs w:val="20"/>
          <w:color w:val="auto"/>
        </w:rPr>
      </w:pPr>
      <w:r>
        <w:rPr>
          <w:rFonts w:ascii="Arial" w:cs="Arial" w:eastAsia="Arial" w:hAnsi="Arial"/>
          <w:sz w:val="18"/>
          <w:szCs w:val="18"/>
          <w:color w:val="auto"/>
        </w:rPr>
        <w:t>The financial statements of the Company are annexed to this Annual Report as pages F-3 through F-21. The “Report of Independent Registered Public Accounting Firm” is annexed to this Annual Report as of page F-2. An index to such materials appears on page F-1.</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rPr>
          <w:sz w:val="20"/>
          <w:szCs w:val="20"/>
          <w:color w:val="auto"/>
        </w:rPr>
      </w:pPr>
      <w:r>
        <w:rPr>
          <w:rFonts w:ascii="Arial" w:cs="Arial" w:eastAsia="Arial" w:hAnsi="Arial"/>
          <w:sz w:val="18"/>
          <w:szCs w:val="18"/>
          <w:color w:val="auto"/>
        </w:rPr>
        <w:t>None.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jc w:val="both"/>
        <w:spacing w:after="0" w:line="237" w:lineRule="auto"/>
        <w:rPr>
          <w:sz w:val="20"/>
          <w:szCs w:val="20"/>
          <w:color w:val="auto"/>
        </w:rPr>
      </w:pPr>
      <w:r>
        <w:rPr>
          <w:rFonts w:ascii="Arial" w:cs="Arial" w:eastAsia="Arial" w:hAnsi="Arial"/>
          <w:sz w:val="16"/>
          <w:szCs w:val="16"/>
          <w:color w:val="auto"/>
        </w:rPr>
        <w:t>Our management, with the participation of our Chief Executive Officer (“CEO”) and Chief Financial Officer (“CFO”), evaluated the effectiveness of our disclosure controls and procedures, as defined in Rule 13a-15(e) under the Exchange Act as of December 31, 2019. In the Amendment to our Annual Report on Form 10-K for the year ended December 31, 2018, filed with the SEC on November 21, 2019, we disclosed that management, including our CEO and CFO, concluded that our disclosure controls and procedures were not effective as of December 31, 2018, due to material weaknesses in our internal control over financial reporting as described below. As of December 31, 2019, these material weaknesses were not fully remediated and our disclosure controls and procedures were not effective as of December 31, 2019. Management has begun remediation efforts, which are described below.</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Notwithstanding these material weaknesses, our management, including our CEO and CFO, has concluded that our consolidated financial statements, included in this Form 10-K, fairly present, in all material respects, our financial condition, results of operations and cash flows for the periods presented in conformity with generally accepted accounting principles, and that they can still be relied upon.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jc w:val="both"/>
        <w:spacing w:after="0" w:line="22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w:t>
      </w:r>
    </w:p>
    <w:p>
      <w:pPr>
        <w:ind w:left="220" w:hanging="212"/>
        <w:spacing w:after="0" w:line="231" w:lineRule="auto"/>
        <w:tabs>
          <w:tab w:leader="none" w:pos="2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jc w:val="both"/>
        <w:ind w:firstLine="8"/>
        <w:spacing w:after="0" w:line="214" w:lineRule="auto"/>
        <w:tabs>
          <w:tab w:leader="none" w:pos="286"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jc w:val="both"/>
        <w:spacing w:after="0" w:line="216" w:lineRule="auto"/>
        <w:rPr>
          <w:sz w:val="20"/>
          <w:szCs w:val="20"/>
          <w:color w:val="auto"/>
        </w:rPr>
      </w:pPr>
      <w:r>
        <w:rPr>
          <w:rFonts w:ascii="Arial" w:cs="Arial" w:eastAsia="Arial" w:hAnsi="Arial"/>
          <w:sz w:val="18"/>
          <w:szCs w:val="18"/>
          <w:color w:val="auto"/>
        </w:rPr>
        <w:t xml:space="preserve">Our management assessed our internal control over financial reporting as of December 31, 2019. Our management based its assessment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(“2013 COSO”). In the opinion of management, TransAct did not maintain effective internal control over financial reporting as of December 31, 2019 solely because of the material weaknesses in internal control over financial reporting described below that existed as of December 31, 2018 and were not remediated as of December 31, 2019.</w:t>
      </w:r>
    </w:p>
    <w:p>
      <w:pPr>
        <w:spacing w:after="0" w:line="162"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color w:val="auto"/>
        </w:rPr>
        <w:t>A material weakness is defined in Rule 12b-2 under the Exchange Act as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identified the following control deficiencies that constituted material weaknesses in our internal control over financial reporting as of December 31, 2019 and 2018.</w:t>
      </w:r>
    </w:p>
    <w:p>
      <w:pPr>
        <w:spacing w:after="0" w:line="162" w:lineRule="exact"/>
        <w:rPr>
          <w:sz w:val="20"/>
          <w:szCs w:val="20"/>
          <w:color w:val="auto"/>
        </w:rPr>
      </w:pPr>
    </w:p>
    <w:p>
      <w:pPr>
        <w:jc w:val="both"/>
        <w:ind w:left="660"/>
        <w:spacing w:after="0" w:line="231" w:lineRule="auto"/>
        <w:rPr>
          <w:sz w:val="20"/>
          <w:szCs w:val="20"/>
          <w:color w:val="auto"/>
        </w:rPr>
      </w:pPr>
      <w:r>
        <w:rPr>
          <w:rFonts w:ascii="Arial" w:cs="Arial" w:eastAsia="Arial" w:hAnsi="Arial"/>
          <w:sz w:val="18"/>
          <w:szCs w:val="18"/>
          <w:color w:val="auto"/>
        </w:rPr>
        <w:t>We did not design and maintain effective controls over user access within the Company’s ERP system, Oracle, to ensure appropriate segregation of duties and to adequately restrict user access to appropriate personnel. Specifically, the provisioning and user recertification controls are not designed to ensure users maintain proper segregation of duties and therefore could have inappropriate access rights. (the “Access Control Weakness”).</w:t>
      </w:r>
    </w:p>
    <w:p>
      <w:pPr>
        <w:spacing w:after="0" w:line="391" w:lineRule="exact"/>
        <w:rPr>
          <w:sz w:val="20"/>
          <w:szCs w:val="20"/>
          <w:color w:val="auto"/>
        </w:rPr>
      </w:pPr>
    </w:p>
    <w:p>
      <w:pPr>
        <w:jc w:val="both"/>
        <w:ind w:left="660" w:right="20"/>
        <w:spacing w:after="0" w:line="246" w:lineRule="auto"/>
        <w:rPr>
          <w:sz w:val="20"/>
          <w:szCs w:val="20"/>
          <w:color w:val="auto"/>
        </w:rPr>
      </w:pPr>
      <w:r>
        <w:rPr>
          <w:rFonts w:ascii="Arial" w:cs="Arial" w:eastAsia="Arial" w:hAnsi="Arial"/>
          <w:sz w:val="18"/>
          <w:szCs w:val="18"/>
          <w:color w:val="auto"/>
        </w:rPr>
        <w:t>We did not design and maintain effective controls over the completeness and accuracy of information included in key spreadsheets supporting our accounting records (the “Spreadsheet Control Weakness”).</w:t>
      </w:r>
    </w:p>
    <w:p>
      <w:pPr>
        <w:spacing w:after="0" w:line="386" w:lineRule="exact"/>
        <w:rPr>
          <w:sz w:val="20"/>
          <w:szCs w:val="20"/>
          <w:color w:val="auto"/>
        </w:rPr>
      </w:pPr>
    </w:p>
    <w:p>
      <w:pPr>
        <w:jc w:val="both"/>
        <w:ind w:right="20"/>
        <w:spacing w:after="0" w:line="237" w:lineRule="auto"/>
        <w:rPr>
          <w:sz w:val="20"/>
          <w:szCs w:val="20"/>
          <w:color w:val="auto"/>
        </w:rPr>
      </w:pPr>
      <w:r>
        <w:rPr>
          <w:rFonts w:ascii="Arial" w:cs="Arial" w:eastAsia="Arial" w:hAnsi="Arial"/>
          <w:sz w:val="17"/>
          <w:szCs w:val="17"/>
          <w:color w:val="auto"/>
        </w:rPr>
        <w:t>The control deficiencies constituted material weaknesses but did not result in a material misstatement of our annual or interim consolidated financial statements. However, if these material weaknesses are not remediated, a material misstatement of account balances or disclosures may not be prevented, and may go undetected, which could result in a material misstatement of future annual or interim consolidated financial statements.</w:t>
      </w:r>
    </w:p>
    <w:p>
      <w:pPr>
        <w:spacing w:after="0" w:line="163" w:lineRule="exact"/>
        <w:rPr>
          <w:sz w:val="20"/>
          <w:szCs w:val="20"/>
          <w:color w:val="auto"/>
        </w:rPr>
      </w:pPr>
    </w:p>
    <w:p>
      <w:pPr>
        <w:jc w:val="both"/>
        <w:ind w:right="20"/>
        <w:spacing w:after="0" w:line="258" w:lineRule="auto"/>
        <w:rPr>
          <w:sz w:val="20"/>
          <w:szCs w:val="20"/>
          <w:color w:val="auto"/>
        </w:rPr>
      </w:pPr>
      <w:r>
        <w:rPr>
          <w:rFonts w:ascii="Arial" w:cs="Arial" w:eastAsia="Arial" w:hAnsi="Arial"/>
          <w:sz w:val="17"/>
          <w:szCs w:val="17"/>
          <w:color w:val="auto"/>
        </w:rPr>
        <w:t>The effectiveness of the Company’s internal control over financial reporting as of December 31, 2019 has been audited by PricewaterhouseCoopers LLP, an independent registered public accounting firm, as stated in their report which appears on pages F-2 through F-3 of this Form 10-K.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w:t>
      </w:r>
    </w:p>
    <w:p>
      <w:pPr>
        <w:jc w:val="both"/>
        <w:spacing w:after="0" w:line="226" w:lineRule="auto"/>
        <w:rPr>
          <w:sz w:val="20"/>
          <w:szCs w:val="20"/>
          <w:color w:val="auto"/>
        </w:rPr>
      </w:pPr>
      <w:r>
        <w:rPr>
          <w:rFonts w:ascii="Arial" w:cs="Arial" w:eastAsia="Arial" w:hAnsi="Arial"/>
          <w:sz w:val="18"/>
          <w:szCs w:val="18"/>
          <w:color w:val="auto"/>
        </w:rPr>
        <w:t>During 2019, we commenced developing and implementing a plan to enhance the design and operating effectiveness of our internal control over financial reporting, which includes taking the following steps to remediate the identified control deficiencies and material weaknesses:</w:t>
      </w:r>
    </w:p>
    <w:p>
      <w:pPr>
        <w:spacing w:after="0" w:line="161" w:lineRule="exact"/>
        <w:rPr>
          <w:sz w:val="20"/>
          <w:szCs w:val="20"/>
          <w:color w:val="auto"/>
        </w:rPr>
      </w:pPr>
    </w:p>
    <w:p>
      <w:pPr>
        <w:jc w:val="both"/>
        <w:ind w:left="660"/>
        <w:spacing w:after="0" w:line="241" w:lineRule="auto"/>
        <w:rPr>
          <w:sz w:val="20"/>
          <w:szCs w:val="20"/>
          <w:color w:val="auto"/>
        </w:rPr>
      </w:pPr>
      <w:r>
        <w:rPr>
          <w:rFonts w:ascii="Arial" w:cs="Arial" w:eastAsia="Arial" w:hAnsi="Arial"/>
          <w:sz w:val="16"/>
          <w:szCs w:val="16"/>
          <w:color w:val="auto"/>
        </w:rPr>
        <w:t>To address the Access Control Weakness, we are utilizing the services of an Oracle consulting firm to assist us in analyzing and reviewing Oracle access for all users. During the first quarter of 2020, we completed the analysis and have developed an action plan to modify the designated Oracle responsibilities for each employee with respect to whom a conflict was identified to remove any Oracle transactional responsibilities that we believe are conflicting and, in some instances, we will reassign those responsibilities to a different employee to ensure proper segregation of duties. We have begun the design and testing of the new Oracle responsibilities created. In addition, we plan to enhance and implement provisioning and user certification controls to ensure we maintain the appropriate segregation of duties within Oracle following the analysis.</w:t>
      </w:r>
    </w:p>
    <w:p>
      <w:pPr>
        <w:spacing w:after="0" w:line="376" w:lineRule="exact"/>
        <w:rPr>
          <w:sz w:val="20"/>
          <w:szCs w:val="20"/>
          <w:color w:val="auto"/>
        </w:rPr>
      </w:pPr>
    </w:p>
    <w:p>
      <w:pPr>
        <w:jc w:val="both"/>
        <w:ind w:left="660"/>
        <w:spacing w:after="0" w:line="210" w:lineRule="auto"/>
        <w:rPr>
          <w:sz w:val="20"/>
          <w:szCs w:val="20"/>
          <w:color w:val="auto"/>
        </w:rPr>
      </w:pPr>
      <w:r>
        <w:rPr>
          <w:rFonts w:ascii="Arial" w:cs="Arial" w:eastAsia="Arial" w:hAnsi="Arial"/>
          <w:sz w:val="18"/>
          <w:szCs w:val="18"/>
          <w:color w:val="auto"/>
        </w:rPr>
        <w:t>To address the Spreadsheet Control Weakness, for each key spreadsheet using Oracle data, we plan to evaluate and determine (1) if a standard Oracle report exists containing the same information as the spreadsheet, and if so, we would utilize the standard Oracle report (without modification) instead of the spreadsheet to support our accounting records and (2) if a standard Oracle report cannot be used, we will implement a new key control whereby an employee performs a formal validation that the information from Oracle is completely and accurately transferred (automatically or manually) to a spreadsheet by verifying totals and other information on a test basis. For all other key spreadsheets, we plan to design and implement a new key control to validate completeness and accuracy of information supporting our accounting records. During the first quarter of 2020, we began the process of evaluating each key spreadsheet based on the above criteria, and for several key spreadsheets, we implemented a new key control to validate the completeness and accuracy of the information contained within and supporting each such spreadsheet.</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We believe these steps will address the material weaknesses described above.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6" w:lineRule="auto"/>
        <w:rPr>
          <w:sz w:val="20"/>
          <w:szCs w:val="20"/>
          <w:color w:val="auto"/>
        </w:rPr>
      </w:pPr>
      <w:r>
        <w:rPr>
          <w:rFonts w:ascii="Arial" w:cs="Arial" w:eastAsia="Arial" w:hAnsi="Arial"/>
          <w:sz w:val="18"/>
          <w:szCs w:val="18"/>
          <w:color w:val="auto"/>
        </w:rPr>
        <w:t>There has been no change in our internal control over financial reporting that occurred during the quarter ended December 31, 2019 that has materially affected, or is reasonably likely to materially affect, our internal control over financial reporting.</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rPr>
          <w:sz w:val="20"/>
          <w:szCs w:val="20"/>
          <w:color w:val="auto"/>
        </w:rPr>
      </w:pPr>
      <w:r>
        <w:rPr>
          <w:rFonts w:ascii="Arial" w:cs="Arial" w:eastAsia="Arial" w:hAnsi="Arial"/>
          <w:sz w:val="18"/>
          <w:szCs w:val="18"/>
          <w:color w:val="auto"/>
        </w:rPr>
        <w:t>Not applicable.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III</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jc w:val="both"/>
        <w:spacing w:after="0" w:line="223" w:lineRule="auto"/>
        <w:rPr>
          <w:sz w:val="20"/>
          <w:szCs w:val="20"/>
          <w:color w:val="auto"/>
        </w:rPr>
      </w:pPr>
      <w:r>
        <w:rPr>
          <w:rFonts w:ascii="Arial" w:cs="Arial" w:eastAsia="Arial" w:hAnsi="Arial"/>
          <w:sz w:val="17"/>
          <w:szCs w:val="17"/>
          <w:color w:val="auto"/>
        </w:rPr>
        <w:t>Set forth in Item 1 of this Form 10-K is certain information regarding our executive officers. The remaining information in response to this item will be contained in our Proxy Statement for our 2020 Annual Meeting of Stockholders (the “Proxy Statement”) under the headings, “Delinquent Section 16(a) Reportings,” “Corporate Governance,” “Proposal 1: Election of Directors,” “Audit Committee Report,” “Executive Compensation – Compensation Committee Report,” “Compensation Committee Interlocks and Insider Participation,” “Stockholder Proposals for 2020 Annual Meeting,” “Procedures for Submitted Director Nominations and Recommendations” and “Stockholder Communications with the Board of Directors Policy,” which will be filed within 120 days after the end of the year covered by this Form 10-K and is incorporated herein by reference.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jc w:val="both"/>
        <w:spacing w:after="0" w:line="242" w:lineRule="auto"/>
        <w:rPr>
          <w:sz w:val="20"/>
          <w:szCs w:val="20"/>
          <w:color w:val="auto"/>
        </w:rPr>
      </w:pPr>
      <w:r>
        <w:rPr>
          <w:rFonts w:ascii="Arial" w:cs="Arial" w:eastAsia="Arial" w:hAnsi="Arial"/>
          <w:sz w:val="16"/>
          <w:szCs w:val="16"/>
          <w:color w:val="auto"/>
        </w:rPr>
        <w:t>We maintain a Code of Business Conduct that includes our code of ethics that is applicable to all employees, including our Chief Executive Officer, Chief Financial Officer and Controller. Our Code of Business Conduct, which requires continued observance of high ethical standards, such as honesty, integrity and compliance with the law in the conduct of our business, is available for public access on our Internet website at https://transacttech.gcs-web.com/corporate-governance. Any person may request a copy of our Code of Business Conduct free of charge by calling (203) 859-6800.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jc w:val="both"/>
        <w:ind w:right="20"/>
        <w:spacing w:after="0" w:line="226" w:lineRule="auto"/>
        <w:rPr>
          <w:sz w:val="20"/>
          <w:szCs w:val="20"/>
          <w:color w:val="auto"/>
        </w:rPr>
      </w:pPr>
      <w:r>
        <w:rPr>
          <w:rFonts w:ascii="Arial" w:cs="Arial" w:eastAsia="Arial" w:hAnsi="Arial"/>
          <w:sz w:val="18"/>
          <w:szCs w:val="18"/>
          <w:color w:val="auto"/>
        </w:rPr>
        <w:t>The information in response to this item will be contained in the Proxy Statement under the heading “Executive Compensation,” and is incorporated herein by reference.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jc w:val="both"/>
        <w:spacing w:after="0" w:line="268" w:lineRule="auto"/>
        <w:rPr>
          <w:sz w:val="20"/>
          <w:szCs w:val="20"/>
          <w:color w:val="auto"/>
        </w:rPr>
      </w:pPr>
      <w:r>
        <w:rPr>
          <w:rFonts w:ascii="Arial" w:cs="Arial" w:eastAsia="Arial" w:hAnsi="Arial"/>
          <w:sz w:val="16"/>
          <w:szCs w:val="16"/>
          <w:color w:val="auto"/>
        </w:rPr>
        <w:t>Set forth below is certain information regarding our equity compensation plans. The remaining information in response to this item will be contained in the Proxy Statement under the heading, “Security Ownership of Certain Beneficial Owners and Management,” and is incorporated herein by reference.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rPr>
          <w:sz w:val="20"/>
          <w:szCs w:val="20"/>
          <w:color w:val="auto"/>
        </w:rPr>
      </w:pPr>
      <w:r>
        <w:rPr>
          <w:rFonts w:ascii="Arial" w:cs="Arial" w:eastAsia="Arial" w:hAnsi="Arial"/>
          <w:sz w:val="18"/>
          <w:szCs w:val="18"/>
          <w:color w:val="auto"/>
        </w:rPr>
        <w:t>Information regarding our equity compensation plans as of December 31, 2019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0"/>
              </w:rPr>
              <w:t>(a)</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3"/>
            <w:vMerge w:val="restart"/>
          </w:tcPr>
          <w:p>
            <w:pPr>
              <w:jc w:val="center"/>
              <w:ind w:right="460"/>
              <w:spacing w:after="0"/>
              <w:rPr>
                <w:sz w:val="20"/>
                <w:szCs w:val="20"/>
                <w:color w:val="auto"/>
              </w:rPr>
            </w:pPr>
            <w:r>
              <w:rPr>
                <w:rFonts w:ascii="Arial" w:cs="Arial" w:eastAsia="Arial" w:hAnsi="Arial"/>
                <w:sz w:val="18"/>
                <w:szCs w:val="18"/>
                <w:color w:val="auto"/>
                <w:w w:val="90"/>
              </w:rPr>
              <w:t>(b)</w:t>
            </w:r>
          </w:p>
        </w:tc>
        <w:tc>
          <w:tcPr>
            <w:tcW w:w="1940" w:type="dxa"/>
            <w:vAlign w:val="bottom"/>
          </w:tcPr>
          <w:p>
            <w:pPr>
              <w:jc w:val="center"/>
              <w:spacing w:after="0" w:line="176" w:lineRule="exact"/>
              <w:rPr>
                <w:sz w:val="20"/>
                <w:szCs w:val="20"/>
                <w:color w:val="auto"/>
              </w:rPr>
            </w:pPr>
            <w:r>
              <w:rPr>
                <w:rFonts w:ascii="Arial" w:cs="Arial" w:eastAsia="Arial" w:hAnsi="Arial"/>
                <w:sz w:val="18"/>
                <w:szCs w:val="18"/>
                <w:color w:val="auto"/>
                <w:w w:val="90"/>
              </w:rPr>
              <w:t>Number of securities</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3"/>
            <w:vMerge w:val="continue"/>
          </w:tcPr>
          <w:p>
            <w:pPr>
              <w:spacing w:after="0"/>
              <w:rPr>
                <w:sz w:val="15"/>
                <w:szCs w:val="15"/>
                <w:color w:val="auto"/>
              </w:rPr>
            </w:pPr>
          </w:p>
        </w:tc>
        <w:tc>
          <w:tcPr>
            <w:tcW w:w="1940" w:type="dxa"/>
            <w:vAlign w:val="bottom"/>
          </w:tcPr>
          <w:p>
            <w:pPr>
              <w:jc w:val="center"/>
              <w:spacing w:after="0" w:line="176" w:lineRule="exact"/>
              <w:rPr>
                <w:sz w:val="20"/>
                <w:szCs w:val="20"/>
                <w:color w:val="auto"/>
              </w:rPr>
            </w:pPr>
            <w:r>
              <w:rPr>
                <w:rFonts w:ascii="Arial" w:cs="Arial" w:eastAsia="Arial" w:hAnsi="Arial"/>
                <w:sz w:val="18"/>
                <w:szCs w:val="18"/>
                <w:color w:val="auto"/>
                <w:w w:val="92"/>
              </w:rPr>
              <w:t>remaining available for</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3"/>
          </w:tcPr>
          <w:p>
            <w:pPr>
              <w:jc w:val="center"/>
              <w:ind w:right="460"/>
              <w:spacing w:after="0" w:line="176" w:lineRule="exact"/>
              <w:rPr>
                <w:sz w:val="20"/>
                <w:szCs w:val="20"/>
                <w:color w:val="auto"/>
              </w:rPr>
            </w:pPr>
            <w:r>
              <w:rPr>
                <w:rFonts w:ascii="Arial" w:cs="Arial" w:eastAsia="Arial" w:hAnsi="Arial"/>
                <w:sz w:val="18"/>
                <w:szCs w:val="18"/>
                <w:color w:val="auto"/>
                <w:w w:val="89"/>
              </w:rPr>
              <w:t>Weighted-average</w:t>
            </w:r>
          </w:p>
        </w:tc>
        <w:tc>
          <w:tcPr>
            <w:tcW w:w="1940" w:type="dxa"/>
            <w:vAlign w:val="bottom"/>
          </w:tcPr>
          <w:p>
            <w:pPr>
              <w:jc w:val="center"/>
              <w:spacing w:after="0" w:line="176" w:lineRule="exact"/>
              <w:rPr>
                <w:sz w:val="20"/>
                <w:szCs w:val="20"/>
                <w:color w:val="auto"/>
              </w:rPr>
            </w:pPr>
            <w:r>
              <w:rPr>
                <w:rFonts w:ascii="Arial" w:cs="Arial" w:eastAsia="Arial" w:hAnsi="Arial"/>
                <w:sz w:val="18"/>
                <w:szCs w:val="18"/>
                <w:color w:val="auto"/>
                <w:w w:val="88"/>
              </w:rPr>
              <w:t>future issuance under</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9"/>
              </w:rPr>
              <w:t>securities to be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3"/>
          </w:tcPr>
          <w:p>
            <w:pPr>
              <w:jc w:val="center"/>
              <w:ind w:right="460"/>
              <w:spacing w:after="0" w:line="176" w:lineRule="exact"/>
              <w:rPr>
                <w:sz w:val="20"/>
                <w:szCs w:val="20"/>
                <w:color w:val="auto"/>
              </w:rPr>
            </w:pPr>
            <w:r>
              <w:rPr>
                <w:rFonts w:ascii="Arial" w:cs="Arial" w:eastAsia="Arial" w:hAnsi="Arial"/>
                <w:sz w:val="18"/>
                <w:szCs w:val="18"/>
                <w:color w:val="auto"/>
                <w:w w:val="91"/>
              </w:rPr>
              <w:t>exercise price of</w:t>
            </w:r>
          </w:p>
        </w:tc>
        <w:tc>
          <w:tcPr>
            <w:tcW w:w="1940" w:type="dxa"/>
            <w:vAlign w:val="bottom"/>
          </w:tcPr>
          <w:p>
            <w:pPr>
              <w:jc w:val="center"/>
              <w:spacing w:after="0" w:line="176" w:lineRule="exact"/>
              <w:rPr>
                <w:sz w:val="20"/>
                <w:szCs w:val="20"/>
                <w:color w:val="auto"/>
              </w:rPr>
            </w:pPr>
            <w:r>
              <w:rPr>
                <w:rFonts w:ascii="Arial" w:cs="Arial" w:eastAsia="Arial" w:hAnsi="Arial"/>
                <w:sz w:val="18"/>
                <w:szCs w:val="18"/>
                <w:color w:val="auto"/>
                <w:w w:val="90"/>
              </w:rPr>
              <w:t>equity compensation</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7"/>
              </w:rPr>
              <w:t>issued upon exercise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3"/>
          </w:tcPr>
          <w:p>
            <w:pPr>
              <w:jc w:val="center"/>
              <w:ind w:right="460"/>
              <w:spacing w:after="0" w:line="176" w:lineRule="exact"/>
              <w:rPr>
                <w:sz w:val="20"/>
                <w:szCs w:val="20"/>
                <w:color w:val="auto"/>
              </w:rPr>
            </w:pPr>
            <w:r>
              <w:rPr>
                <w:rFonts w:ascii="Arial" w:cs="Arial" w:eastAsia="Arial" w:hAnsi="Arial"/>
                <w:sz w:val="18"/>
                <w:szCs w:val="18"/>
                <w:color w:val="auto"/>
                <w:w w:val="90"/>
              </w:rPr>
              <w:t>outstanding</w:t>
            </w:r>
          </w:p>
        </w:tc>
        <w:tc>
          <w:tcPr>
            <w:tcW w:w="1940" w:type="dxa"/>
            <w:vAlign w:val="bottom"/>
          </w:tcPr>
          <w:p>
            <w:pPr>
              <w:jc w:val="center"/>
              <w:spacing w:after="0" w:line="176" w:lineRule="exact"/>
              <w:rPr>
                <w:sz w:val="20"/>
                <w:szCs w:val="20"/>
                <w:color w:val="auto"/>
              </w:rPr>
            </w:pPr>
            <w:r>
              <w:rPr>
                <w:rFonts w:ascii="Arial" w:cs="Arial" w:eastAsia="Arial" w:hAnsi="Arial"/>
                <w:sz w:val="18"/>
                <w:szCs w:val="18"/>
                <w:color w:val="auto"/>
                <w:w w:val="88"/>
              </w:rPr>
              <w:t>plans</w:t>
            </w:r>
          </w:p>
        </w:tc>
        <w:tc>
          <w:tcPr>
            <w:tcW w:w="0" w:type="dxa"/>
            <w:vAlign w:val="bottom"/>
          </w:tcPr>
          <w:p>
            <w:pPr>
              <w:spacing w:after="0"/>
              <w:rPr>
                <w:sz w:val="1"/>
                <w:szCs w:val="1"/>
                <w:color w:val="auto"/>
              </w:rPr>
            </w:pPr>
          </w:p>
        </w:tc>
      </w:tr>
      <w:tr>
        <w:trPr>
          <w:trHeight w:val="175"/>
        </w:trPr>
        <w:tc>
          <w:tcPr>
            <w:tcW w:w="4500" w:type="dxa"/>
            <w:vAlign w:val="bottom"/>
            <w:vMerge w:val="restart"/>
          </w:tcPr>
          <w:p>
            <w:pPr>
              <w:ind w:left="1760"/>
              <w:spacing w:after="0"/>
              <w:rPr>
                <w:sz w:val="20"/>
                <w:szCs w:val="20"/>
                <w:color w:val="auto"/>
              </w:rPr>
            </w:pPr>
            <w:r>
              <w:rPr>
                <w:rFonts w:ascii="Arial" w:cs="Arial" w:eastAsia="Arial" w:hAnsi="Arial"/>
                <w:sz w:val="18"/>
                <w:szCs w:val="18"/>
                <w:color w:val="auto"/>
              </w:rPr>
              <w:t>Plan category</w:t>
            </w:r>
          </w:p>
        </w:tc>
        <w:tc>
          <w:tcPr>
            <w:tcW w:w="120" w:type="dxa"/>
            <w:vAlign w:val="bottom"/>
          </w:tcPr>
          <w:p>
            <w:pPr>
              <w:spacing w:after="0"/>
              <w:rPr>
                <w:sz w:val="15"/>
                <w:szCs w:val="15"/>
                <w:color w:val="auto"/>
              </w:rPr>
            </w:pPr>
          </w:p>
        </w:tc>
        <w:tc>
          <w:tcPr>
            <w:tcW w:w="22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of outstanding options,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3"/>
          </w:tcPr>
          <w:p>
            <w:pPr>
              <w:jc w:val="center"/>
              <w:ind w:right="460"/>
              <w:spacing w:after="0" w:line="176" w:lineRule="exact"/>
              <w:rPr>
                <w:sz w:val="20"/>
                <w:szCs w:val="20"/>
                <w:color w:val="auto"/>
              </w:rPr>
            </w:pPr>
            <w:r>
              <w:rPr>
                <w:rFonts w:ascii="Arial" w:cs="Arial" w:eastAsia="Arial" w:hAnsi="Arial"/>
                <w:sz w:val="18"/>
                <w:szCs w:val="18"/>
                <w:color w:val="auto"/>
                <w:w w:val="90"/>
              </w:rPr>
              <w:t>options, warrants</w:t>
            </w:r>
          </w:p>
        </w:tc>
        <w:tc>
          <w:tcPr>
            <w:tcW w:w="1940" w:type="dxa"/>
            <w:vAlign w:val="bottom"/>
          </w:tcPr>
          <w:p>
            <w:pPr>
              <w:jc w:val="center"/>
              <w:spacing w:after="0" w:line="176" w:lineRule="exact"/>
              <w:rPr>
                <w:sz w:val="20"/>
                <w:szCs w:val="20"/>
                <w:color w:val="auto"/>
              </w:rPr>
            </w:pPr>
            <w:r>
              <w:rPr>
                <w:rFonts w:ascii="Arial" w:cs="Arial" w:eastAsia="Arial" w:hAnsi="Arial"/>
                <w:sz w:val="18"/>
                <w:szCs w:val="18"/>
                <w:color w:val="auto"/>
                <w:w w:val="91"/>
              </w:rPr>
              <w:t>(excluding securities</w:t>
            </w:r>
          </w:p>
        </w:tc>
        <w:tc>
          <w:tcPr>
            <w:tcW w:w="0" w:type="dxa"/>
            <w:vAlign w:val="bottom"/>
          </w:tcPr>
          <w:p>
            <w:pPr>
              <w:spacing w:after="0"/>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0"/>
              </w:rPr>
              <w:t>warrants and rights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3"/>
          </w:tcPr>
          <w:p>
            <w:pPr>
              <w:jc w:val="center"/>
              <w:ind w:right="460"/>
              <w:spacing w:after="0" w:line="202" w:lineRule="exact"/>
              <w:rPr>
                <w:sz w:val="20"/>
                <w:szCs w:val="20"/>
                <w:color w:val="auto"/>
              </w:rPr>
            </w:pPr>
            <w:r>
              <w:rPr>
                <w:rFonts w:ascii="Arial" w:cs="Arial" w:eastAsia="Arial" w:hAnsi="Arial"/>
                <w:sz w:val="18"/>
                <w:szCs w:val="18"/>
                <w:color w:val="auto"/>
                <w:w w:val="91"/>
              </w:rPr>
              <w:t>and rights</w:t>
            </w:r>
          </w:p>
        </w:tc>
        <w:tc>
          <w:tcPr>
            <w:tcW w:w="1940" w:type="dxa"/>
            <w:vAlign w:val="bottom"/>
          </w:tcPr>
          <w:p>
            <w:pPr>
              <w:jc w:val="center"/>
              <w:spacing w:after="0" w:line="202" w:lineRule="exact"/>
              <w:rPr>
                <w:sz w:val="20"/>
                <w:szCs w:val="20"/>
                <w:color w:val="auto"/>
              </w:rPr>
            </w:pPr>
            <w:r>
              <w:rPr>
                <w:rFonts w:ascii="Arial" w:cs="Arial" w:eastAsia="Arial" w:hAnsi="Arial"/>
                <w:sz w:val="18"/>
                <w:szCs w:val="18"/>
                <w:color w:val="auto"/>
                <w:w w:val="92"/>
              </w:rPr>
              <w:t>reflected in column (a)</w:t>
            </w:r>
          </w:p>
        </w:tc>
        <w:tc>
          <w:tcPr>
            <w:tcW w:w="0" w:type="dxa"/>
            <w:vAlign w:val="bottom"/>
          </w:tcPr>
          <w:p>
            <w:pPr>
              <w:spacing w:after="0"/>
              <w:rPr>
                <w:sz w:val="1"/>
                <w:szCs w:val="1"/>
                <w:color w:val="auto"/>
              </w:rPr>
            </w:pPr>
          </w:p>
        </w:tc>
      </w:tr>
      <w:tr>
        <w:trPr>
          <w:trHeight w:val="203"/>
        </w:trPr>
        <w:tc>
          <w:tcPr>
            <w:tcW w:w="450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w w:val="98"/>
              </w:rPr>
              <w:t>Equity compensation plans approved by security holders:</w:t>
            </w:r>
          </w:p>
        </w:tc>
        <w:tc>
          <w:tcPr>
            <w:tcW w:w="120" w:type="dxa"/>
            <w:vAlign w:val="bottom"/>
          </w:tcPr>
          <w:p>
            <w:pPr>
              <w:spacing w:after="0"/>
              <w:rPr>
                <w:sz w:val="17"/>
                <w:szCs w:val="17"/>
                <w:color w:val="auto"/>
              </w:rPr>
            </w:pPr>
          </w:p>
        </w:tc>
        <w:tc>
          <w:tcPr>
            <w:tcW w:w="2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2005 Equity Incentive Plan</w:t>
            </w:r>
          </w:p>
        </w:tc>
        <w:tc>
          <w:tcPr>
            <w:tcW w:w="236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363,500</w:t>
            </w:r>
          </w:p>
        </w:tc>
        <w:tc>
          <w:tcPr>
            <w:tcW w:w="3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9.18</w:t>
            </w:r>
          </w:p>
        </w:tc>
        <w:tc>
          <w:tcPr>
            <w:tcW w:w="12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2014 Equity Incentive Plan</w:t>
            </w:r>
          </w:p>
        </w:tc>
        <w:tc>
          <w:tcPr>
            <w:tcW w:w="23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869,543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8.29</w:t>
            </w:r>
          </w:p>
        </w:tc>
        <w:tc>
          <w:tcPr>
            <w:tcW w:w="120" w:type="dxa"/>
            <w:vAlign w:val="bottom"/>
          </w:tcPr>
          <w:p>
            <w:pPr>
              <w:spacing w:after="0"/>
              <w:rPr>
                <w:sz w:val="18"/>
                <w:szCs w:val="18"/>
                <w:color w:val="auto"/>
              </w:rPr>
            </w:pPr>
          </w:p>
        </w:tc>
        <w:tc>
          <w:tcPr>
            <w:tcW w:w="1940" w:type="dxa"/>
            <w:vAlign w:val="bottom"/>
          </w:tcPr>
          <w:p>
            <w:pPr>
              <w:jc w:val="right"/>
              <w:spacing w:after="0" w:line="202" w:lineRule="exact"/>
              <w:rPr>
                <w:sz w:val="20"/>
                <w:szCs w:val="20"/>
                <w:color w:val="auto"/>
              </w:rPr>
            </w:pPr>
            <w:r>
              <w:rPr>
                <w:rFonts w:ascii="Arial" w:cs="Arial" w:eastAsia="Arial" w:hAnsi="Arial"/>
                <w:sz w:val="18"/>
                <w:szCs w:val="18"/>
                <w:color w:val="auto"/>
              </w:rPr>
              <w:t>332,541</w:t>
            </w:r>
          </w:p>
        </w:tc>
        <w:tc>
          <w:tcPr>
            <w:tcW w:w="0" w:type="dxa"/>
            <w:vAlign w:val="bottom"/>
          </w:tcPr>
          <w:p>
            <w:pPr>
              <w:spacing w:after="0"/>
              <w:rPr>
                <w:sz w:val="1"/>
                <w:szCs w:val="1"/>
                <w:color w:val="auto"/>
              </w:rPr>
            </w:pPr>
          </w:p>
        </w:tc>
      </w:tr>
      <w:tr>
        <w:trPr>
          <w:trHeight w:val="210"/>
        </w:trPr>
        <w:tc>
          <w:tcPr>
            <w:tcW w:w="45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18"/>
                <w:szCs w:val="18"/>
                <w:color w:val="auto"/>
              </w:rPr>
            </w:pPr>
          </w:p>
        </w:tc>
        <w:tc>
          <w:tcPr>
            <w:tcW w:w="2240" w:type="dxa"/>
            <w:vAlign w:val="bottom"/>
            <w:tcBorders>
              <w:top w:val="single" w:sz="8" w:color="auto"/>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1,233,043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8.56</w:t>
            </w:r>
          </w:p>
        </w:tc>
        <w:tc>
          <w:tcPr>
            <w:tcW w:w="12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332,541</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In May 2014, our stockholders approved the adoption of the 2014 Equity Incentive Plan. In May 2017, our stockholders approved an amendment to the 2014 Equity Incentive Plan to increase the number of shares of common stock which may be subject to awards granted under the plan from 600,000 to its current level of 1,400,000. The Company also maintains the 2005 Equity Incentive Plan; however no new awards will be available for future issuance under this plan. Both plans generally provide for award in the form of: (i) incentive stock options, (ii) non-qualified stock options, (iii) restricted stock, (iv) restricted stock units (which may include performance-based vesting), (v) stock appreciation rights or (vi) limited stock appreciation rights. The Company does not have any equity plans that have not been approved by its stockholders.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jc w:val="both"/>
        <w:spacing w:after="0" w:line="226" w:lineRule="auto"/>
        <w:rPr>
          <w:sz w:val="20"/>
          <w:szCs w:val="20"/>
          <w:color w:val="auto"/>
        </w:rPr>
      </w:pPr>
      <w:r>
        <w:rPr>
          <w:rFonts w:ascii="Arial" w:cs="Arial" w:eastAsia="Arial" w:hAnsi="Arial"/>
          <w:sz w:val="18"/>
          <w:szCs w:val="18"/>
          <w:color w:val="auto"/>
        </w:rPr>
        <w:t>The information in response to this item will be contained in the Proxy Statement under the headings “Certain Relationships and Related Transactions” and is incorporated herein by reference.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jc w:val="both"/>
        <w:spacing w:after="0" w:line="218" w:lineRule="auto"/>
        <w:rPr>
          <w:sz w:val="20"/>
          <w:szCs w:val="20"/>
          <w:color w:val="auto"/>
        </w:rPr>
      </w:pPr>
      <w:r>
        <w:rPr>
          <w:rFonts w:ascii="Arial" w:cs="Arial" w:eastAsia="Arial" w:hAnsi="Arial"/>
          <w:sz w:val="18"/>
          <w:szCs w:val="18"/>
          <w:color w:val="auto"/>
        </w:rPr>
        <w:t>The information in response to this item will be contained in the Proxy Statement under the headings, “Policy Regarding Pre-Approval of Services Provided by the Independent Registered Public Accounting Firm” and “Independent Registered Public Accounting Firm’s Services and Fee’s” and is incorporated herein by reference.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jc w:val="center"/>
        <w:ind w:right="-199"/>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The following documents are filed as part of this Form 10-K:</w:t>
      </w:r>
    </w:p>
    <w:p>
      <w:pPr>
        <w:spacing w:after="0" w:line="14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Report of Independent Registered Public Accounting Firm</w:t>
      </w:r>
    </w:p>
    <w:p>
      <w:pPr>
        <w:ind w:left="180"/>
        <w:spacing w:after="0" w:line="203" w:lineRule="auto"/>
        <w:rPr>
          <w:sz w:val="20"/>
          <w:szCs w:val="20"/>
          <w:color w:val="auto"/>
        </w:rPr>
      </w:pPr>
      <w:r>
        <w:rPr>
          <w:rFonts w:ascii="Arial" w:cs="Arial" w:eastAsia="Arial" w:hAnsi="Arial"/>
          <w:sz w:val="18"/>
          <w:szCs w:val="18"/>
          <w:color w:val="auto"/>
        </w:rPr>
        <w:t>Consolidated Balance Sheets as of December 31, 2019 and 2018</w:t>
      </w:r>
    </w:p>
    <w:p>
      <w:pPr>
        <w:ind w:left="180"/>
        <w:spacing w:after="0" w:line="203" w:lineRule="auto"/>
        <w:rPr>
          <w:sz w:val="20"/>
          <w:szCs w:val="20"/>
          <w:color w:val="auto"/>
        </w:rPr>
      </w:pPr>
      <w:r>
        <w:rPr>
          <w:rFonts w:ascii="Arial" w:cs="Arial" w:eastAsia="Arial" w:hAnsi="Arial"/>
          <w:sz w:val="18"/>
          <w:szCs w:val="18"/>
          <w:color w:val="auto"/>
        </w:rPr>
        <w:t>Consolidated Statements of Income for the years ended December 31, 2019, 2018, and 2017</w:t>
      </w:r>
    </w:p>
    <w:p>
      <w:pPr>
        <w:ind w:left="180"/>
        <w:spacing w:after="0" w:line="204" w:lineRule="auto"/>
        <w:rPr>
          <w:sz w:val="20"/>
          <w:szCs w:val="20"/>
          <w:color w:val="auto"/>
        </w:rPr>
      </w:pPr>
      <w:r>
        <w:rPr>
          <w:rFonts w:ascii="Arial" w:cs="Arial" w:eastAsia="Arial" w:hAnsi="Arial"/>
          <w:sz w:val="18"/>
          <w:szCs w:val="18"/>
          <w:color w:val="auto"/>
        </w:rPr>
        <w:t>Consolidated Statements of Comprehensive Income for the years ended December 31, 2019, 2018 and 2017</w:t>
      </w:r>
    </w:p>
    <w:p>
      <w:pPr>
        <w:ind w:left="180"/>
        <w:spacing w:after="0" w:line="203" w:lineRule="auto"/>
        <w:rPr>
          <w:sz w:val="20"/>
          <w:szCs w:val="20"/>
          <w:color w:val="auto"/>
        </w:rPr>
      </w:pPr>
      <w:r>
        <w:rPr>
          <w:rFonts w:ascii="Arial" w:cs="Arial" w:eastAsia="Arial" w:hAnsi="Arial"/>
          <w:sz w:val="18"/>
          <w:szCs w:val="18"/>
          <w:color w:val="auto"/>
        </w:rPr>
        <w:t>Consolidated Statements of Changes in Shareholders' Equity for the years ended December 31, 2019, 2018 and 2017</w:t>
      </w:r>
    </w:p>
    <w:p>
      <w:pPr>
        <w:ind w:left="180"/>
        <w:spacing w:after="0" w:line="204" w:lineRule="auto"/>
        <w:rPr>
          <w:sz w:val="20"/>
          <w:szCs w:val="20"/>
          <w:color w:val="auto"/>
        </w:rPr>
      </w:pPr>
      <w:r>
        <w:rPr>
          <w:rFonts w:ascii="Arial" w:cs="Arial" w:eastAsia="Arial" w:hAnsi="Arial"/>
          <w:sz w:val="18"/>
          <w:szCs w:val="18"/>
          <w:color w:val="auto"/>
        </w:rPr>
        <w:t>Consolidated Statements of Cash Flows for the years ended December 31, 2019, 2018 and 2017</w:t>
      </w:r>
    </w:p>
    <w:p>
      <w:pPr>
        <w:ind w:left="180"/>
        <w:spacing w:after="0"/>
        <w:rPr>
          <w:sz w:val="20"/>
          <w:szCs w:val="20"/>
          <w:color w:val="auto"/>
        </w:rPr>
      </w:pPr>
      <w:r>
        <w:rPr>
          <w:rFonts w:ascii="Arial" w:cs="Arial" w:eastAsia="Arial" w:hAnsi="Arial"/>
          <w:sz w:val="18"/>
          <w:szCs w:val="18"/>
          <w:color w:val="auto"/>
        </w:rPr>
        <w:t>Notes to Consolidated Financial Statements</w:t>
      </w:r>
    </w:p>
    <w:p>
      <w:pPr>
        <w:spacing w:after="0" w:line="12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Schedules.</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All schedules are omitted because they are either inapplicable or not required, or because the information required therein is included in the Consolidated Financial Statements and Notes thereto.</w:t>
      </w:r>
    </w:p>
    <w:p>
      <w:pPr>
        <w:spacing w:after="0" w:line="292"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08" w:right="5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3.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tcPr>
          <w:p>
            <w:pPr>
              <w:ind w:left="4280"/>
              <w:spacing w:after="0"/>
              <w:rPr>
                <w:sz w:val="20"/>
                <w:szCs w:val="20"/>
                <w:color w:val="auto"/>
              </w:rPr>
            </w:pPr>
            <w:r>
              <w:rPr>
                <w:rFonts w:ascii="Arial" w:cs="Arial" w:eastAsia="Arial" w:hAnsi="Arial"/>
                <w:sz w:val="18"/>
                <w:szCs w:val="18"/>
                <w:b w:val="1"/>
                <w:bCs w:val="1"/>
                <w:color w:val="auto"/>
              </w:rPr>
              <w:t>Exhibits Index</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60" w:type="dxa"/>
            <w:vAlign w:val="bottom"/>
          </w:tcPr>
          <w:p>
            <w:pPr>
              <w:spacing w:after="0"/>
              <w:rPr>
                <w:sz w:val="18"/>
                <w:szCs w:val="18"/>
                <w:color w:val="auto"/>
              </w:rPr>
            </w:pPr>
          </w:p>
        </w:tc>
      </w:tr>
      <w:tr>
        <w:trPr>
          <w:trHeight w:val="176"/>
        </w:trPr>
        <w:tc>
          <w:tcPr>
            <w:tcW w:w="780" w:type="dxa"/>
            <w:vAlign w:val="bottom"/>
            <w:gridSpan w:val="6"/>
            <w:shd w:val="clear" w:color="auto" w:fill="CCEEFF"/>
          </w:tcPr>
          <w:p>
            <w:pPr>
              <w:spacing w:after="0" w:line="176" w:lineRule="exact"/>
              <w:rPr>
                <w:rFonts w:ascii="Arial" w:cs="Arial" w:eastAsia="Arial" w:hAnsi="Arial"/>
                <w:sz w:val="18"/>
                <w:szCs w:val="18"/>
                <w:color w:val="0000EE"/>
              </w:rPr>
            </w:pPr>
            <w:hyperlink r:id="rId39">
              <w:r>
                <w:rPr>
                  <w:rFonts w:ascii="Arial" w:cs="Arial" w:eastAsia="Arial" w:hAnsi="Arial"/>
                  <w:sz w:val="18"/>
                  <w:szCs w:val="18"/>
                  <w:color w:val="0000EE"/>
                </w:rPr>
                <w:t>3.</w:t>
              </w:r>
              <w:r>
                <w:rPr>
                  <w:rFonts w:ascii="Arial" w:cs="Arial" w:eastAsia="Arial" w:hAnsi="Arial"/>
                  <w:sz w:val="18"/>
                  <w:szCs w:val="18"/>
                  <w:u w:val="single" w:color="auto"/>
                  <w:color w:val="0000EE"/>
                </w:rPr>
                <w:t>1(a)</w:t>
              </w:r>
            </w:hyperlink>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7"/>
              </w:rPr>
              <w:t>Certificate of Incorporation of TransAct Technologies Incorporated (conformed copy) (incorporated by reference to Exhibit 3(i) of the</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Company’s Quarterly Report on Form 10-Q (SEC File No. 000-21121) filed with the SEC on August 9, 2019).</w:t>
            </w:r>
          </w:p>
        </w:tc>
      </w:tr>
      <w:tr>
        <w:trPr>
          <w:trHeight w:val="175"/>
        </w:trPr>
        <w:tc>
          <w:tcPr>
            <w:tcW w:w="780" w:type="dxa"/>
            <w:vAlign w:val="bottom"/>
            <w:gridSpan w:val="6"/>
          </w:tcPr>
          <w:p>
            <w:pPr>
              <w:spacing w:after="0" w:line="176" w:lineRule="exact"/>
              <w:rPr>
                <w:rFonts w:ascii="Arial" w:cs="Arial" w:eastAsia="Arial" w:hAnsi="Arial"/>
                <w:sz w:val="18"/>
                <w:szCs w:val="18"/>
                <w:color w:val="0000EE"/>
              </w:rPr>
            </w:pPr>
            <w:hyperlink r:id="rId40">
              <w:r>
                <w:rPr>
                  <w:rFonts w:ascii="Arial" w:cs="Arial" w:eastAsia="Arial" w:hAnsi="Arial"/>
                  <w:sz w:val="18"/>
                  <w:szCs w:val="18"/>
                  <w:color w:val="0000EE"/>
                </w:rPr>
                <w:t>3.</w:t>
              </w:r>
              <w:r>
                <w:rPr>
                  <w:rFonts w:ascii="Arial" w:cs="Arial" w:eastAsia="Arial" w:hAnsi="Arial"/>
                  <w:sz w:val="18"/>
                  <w:szCs w:val="18"/>
                  <w:u w:val="single" w:color="auto"/>
                  <w:color w:val="0000EE"/>
                </w:rPr>
                <w:t>1(b)</w:t>
              </w:r>
            </w:hyperlink>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4"/>
              </w:rPr>
              <w:t>Certificate of Designation, Series A Preferred Stock, filed with the Secretary of State of Delaware on December 2, 1997 (incorporated by</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3"/>
              </w:rPr>
              <w:t>reference to Exhibit C of the Company’s Current Report on Form 8-K (SEC File No. 000-21121) filed with the SEC on February 18, 1999).</w:t>
            </w:r>
          </w:p>
        </w:tc>
      </w:tr>
      <w:tr>
        <w:trPr>
          <w:trHeight w:val="176"/>
        </w:trPr>
        <w:tc>
          <w:tcPr>
            <w:tcW w:w="780" w:type="dxa"/>
            <w:vAlign w:val="bottom"/>
            <w:gridSpan w:val="6"/>
            <w:shd w:val="clear" w:color="auto" w:fill="CCEEFF"/>
          </w:tcPr>
          <w:p>
            <w:pPr>
              <w:spacing w:after="0" w:line="176" w:lineRule="exact"/>
              <w:rPr>
                <w:rFonts w:ascii="Arial" w:cs="Arial" w:eastAsia="Arial" w:hAnsi="Arial"/>
                <w:sz w:val="18"/>
                <w:szCs w:val="18"/>
                <w:color w:val="0000EE"/>
              </w:rPr>
            </w:pPr>
            <w:hyperlink r:id="rId41">
              <w:r>
                <w:rPr>
                  <w:rFonts w:ascii="Arial" w:cs="Arial" w:eastAsia="Arial" w:hAnsi="Arial"/>
                  <w:sz w:val="18"/>
                  <w:szCs w:val="18"/>
                  <w:color w:val="0000EE"/>
                </w:rPr>
                <w:t>3.</w:t>
              </w:r>
              <w:r>
                <w:rPr>
                  <w:rFonts w:ascii="Arial" w:cs="Arial" w:eastAsia="Arial" w:hAnsi="Arial"/>
                  <w:sz w:val="18"/>
                  <w:szCs w:val="18"/>
                  <w:u w:val="single" w:color="auto"/>
                  <w:color w:val="0000EE"/>
                </w:rPr>
                <w:t>1(c)</w:t>
              </w:r>
            </w:hyperlink>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Certificate of Designation, Series B Preferred Stock, filed with the Secretary of State of Delaware on April 6, 2000 (incorporated by reference</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 Exhibit 3.1(c) of the Company’s Quarterly Report on Form 10-Q (SEC File No. 000-21121) filed with the SEC on May 8, 2000).</w:t>
            </w:r>
          </w:p>
        </w:tc>
      </w:tr>
      <w:tr>
        <w:trPr>
          <w:trHeight w:val="176"/>
        </w:trPr>
        <w:tc>
          <w:tcPr>
            <w:tcW w:w="320" w:type="dxa"/>
            <w:vAlign w:val="bottom"/>
            <w:gridSpan w:val="2"/>
          </w:tcPr>
          <w:p>
            <w:pPr>
              <w:spacing w:after="0" w:line="176" w:lineRule="exact"/>
              <w:rPr>
                <w:rFonts w:ascii="Arial" w:cs="Arial" w:eastAsia="Arial" w:hAnsi="Arial"/>
                <w:sz w:val="18"/>
                <w:szCs w:val="18"/>
                <w:color w:val="0000EE"/>
              </w:rPr>
            </w:pPr>
            <w:hyperlink r:id="rId42">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4"/>
              </w:rPr>
              <w:t>Amended and Restated By-laws of the Company (incorporated by reference to Exhibit 3.1 of the Company’s Current Report on Form 8-K</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(SEC File No. 000-21121) filed with the SEC on August 2, 2019).</w:t>
            </w: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43">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2"/>
              </w:rPr>
              <w:t>Specimen Common Stock Certificate (incorporated by reference to Exhibit 4.1 of the Company’s Registration Statement on Form S-1/A (No.</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333-06895) filed with the SEC on August 1, 1996).</w:t>
            </w:r>
          </w:p>
        </w:tc>
      </w:tr>
      <w:tr>
        <w:trPr>
          <w:trHeight w:val="176"/>
        </w:trPr>
        <w:tc>
          <w:tcPr>
            <w:tcW w:w="320" w:type="dxa"/>
            <w:vAlign w:val="bottom"/>
            <w:gridSpan w:val="2"/>
          </w:tcPr>
          <w:p>
            <w:pPr>
              <w:spacing w:after="0" w:line="176" w:lineRule="exact"/>
              <w:rPr>
                <w:rFonts w:ascii="Arial" w:cs="Arial" w:eastAsia="Arial" w:hAnsi="Arial"/>
                <w:sz w:val="18"/>
                <w:szCs w:val="18"/>
                <w:color w:val="0000EE"/>
              </w:rPr>
            </w:pPr>
            <w:hyperlink r:id="rId44">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2"/>
              </w:rPr>
              <w:t>Description of Securities (incorporated by reference to Exhibit 4.2 of the Company's Annual Report on Form 10-K (SEC File No. 000-21121)</w:t>
            </w:r>
          </w:p>
        </w:tc>
      </w:tr>
      <w:tr>
        <w:trPr>
          <w:trHeight w:val="236"/>
        </w:trPr>
        <w:tc>
          <w:tcPr>
            <w:tcW w:w="2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filed with the SEC on March 16, 2020.</w:t>
            </w:r>
          </w:p>
        </w:tc>
      </w:tr>
      <w:tr>
        <w:trPr>
          <w:trHeight w:val="176"/>
        </w:trPr>
        <w:tc>
          <w:tcPr>
            <w:tcW w:w="780" w:type="dxa"/>
            <w:vAlign w:val="bottom"/>
            <w:gridSpan w:val="6"/>
            <w:shd w:val="clear" w:color="auto" w:fill="CCEEFF"/>
          </w:tcPr>
          <w:p>
            <w:pPr>
              <w:spacing w:after="0" w:line="176" w:lineRule="exact"/>
              <w:rPr>
                <w:rFonts w:ascii="Arial" w:cs="Arial" w:eastAsia="Arial" w:hAnsi="Arial"/>
                <w:sz w:val="18"/>
                <w:szCs w:val="18"/>
                <w:color w:val="0000EE"/>
              </w:rPr>
            </w:pPr>
            <w:hyperlink r:id="rId45">
              <w:r>
                <w:rPr>
                  <w:rFonts w:ascii="Arial" w:cs="Arial" w:eastAsia="Arial" w:hAnsi="Arial"/>
                  <w:sz w:val="18"/>
                  <w:szCs w:val="18"/>
                  <w:color w:val="0000EE"/>
                </w:rPr>
                <w:t>10.</w:t>
              </w:r>
              <w:r>
                <w:rPr>
                  <w:rFonts w:ascii="Arial" w:cs="Arial" w:eastAsia="Arial" w:hAnsi="Arial"/>
                  <w:sz w:val="18"/>
                  <w:szCs w:val="18"/>
                  <w:u w:val="single" w:color="auto"/>
                  <w:color w:val="0000EE"/>
                </w:rPr>
                <w:t>1</w:t>
              </w:r>
            </w:hyperlink>
            <w:r>
              <w:rPr>
                <w:rFonts w:ascii="Arial" w:cs="Arial" w:eastAsia="Arial" w:hAnsi="Arial"/>
                <w:sz w:val="18"/>
                <w:szCs w:val="18"/>
                <w:color w:val="000000"/>
              </w:rPr>
              <w:t>(x)</w:t>
            </w:r>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5"/>
              </w:rPr>
              <w:t>2005 Equity Incentive Plan (incorporated by reference to Exhibit 99.1 of the Company’s Current Report on Form 8-K (SEC File No. 000-</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21121) filed with the SEC on June 1, 2005).</w:t>
            </w:r>
          </w:p>
        </w:tc>
      </w:tr>
      <w:tr>
        <w:trPr>
          <w:trHeight w:val="175"/>
        </w:trPr>
        <w:tc>
          <w:tcPr>
            <w:tcW w:w="780" w:type="dxa"/>
            <w:vAlign w:val="bottom"/>
            <w:gridSpan w:val="6"/>
          </w:tcPr>
          <w:p>
            <w:pPr>
              <w:spacing w:after="0" w:line="176" w:lineRule="exact"/>
              <w:rPr>
                <w:rFonts w:ascii="Arial" w:cs="Arial" w:eastAsia="Arial" w:hAnsi="Arial"/>
                <w:sz w:val="18"/>
                <w:szCs w:val="18"/>
                <w:color w:val="0000EE"/>
              </w:rPr>
            </w:pPr>
            <w:hyperlink r:id="rId46">
              <w:r>
                <w:rPr>
                  <w:rFonts w:ascii="Arial" w:cs="Arial" w:eastAsia="Arial" w:hAnsi="Arial"/>
                  <w:sz w:val="18"/>
                  <w:szCs w:val="18"/>
                  <w:color w:val="0000EE"/>
                </w:rPr>
                <w:t>10.</w:t>
              </w:r>
              <w:r>
                <w:rPr>
                  <w:rFonts w:ascii="Arial" w:cs="Arial" w:eastAsia="Arial" w:hAnsi="Arial"/>
                  <w:sz w:val="18"/>
                  <w:szCs w:val="18"/>
                  <w:u w:val="single" w:color="auto"/>
                  <w:color w:val="0000EE"/>
                </w:rPr>
                <w:t>2</w:t>
              </w:r>
            </w:hyperlink>
            <w:r>
              <w:rPr>
                <w:rFonts w:ascii="Arial" w:cs="Arial" w:eastAsia="Arial" w:hAnsi="Arial"/>
                <w:sz w:val="18"/>
                <w:szCs w:val="18"/>
                <w:color w:val="000000"/>
              </w:rPr>
              <w:t>(x)</w:t>
            </w: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5"/>
              </w:rPr>
              <w:t>2014 Equity Incentive Plan (incorporated by reference to Exhibit 10.1 of the Company’s Current Report on Form 8-K (SEC File No. 000-</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21121) filed with the SEC on May 19, 2014).</w:t>
            </w:r>
          </w:p>
        </w:tc>
      </w:tr>
      <w:tr>
        <w:trPr>
          <w:trHeight w:val="176"/>
        </w:trPr>
        <w:tc>
          <w:tcPr>
            <w:tcW w:w="780" w:type="dxa"/>
            <w:vAlign w:val="bottom"/>
            <w:gridSpan w:val="6"/>
            <w:shd w:val="clear" w:color="auto" w:fill="CCEEFF"/>
          </w:tcPr>
          <w:p>
            <w:pPr>
              <w:spacing w:after="0" w:line="176" w:lineRule="exact"/>
              <w:rPr>
                <w:rFonts w:ascii="Arial" w:cs="Arial" w:eastAsia="Arial" w:hAnsi="Arial"/>
                <w:sz w:val="18"/>
                <w:szCs w:val="18"/>
                <w:color w:val="0000EE"/>
              </w:rPr>
            </w:pPr>
            <w:hyperlink r:id="rId47">
              <w:r>
                <w:rPr>
                  <w:rFonts w:ascii="Arial" w:cs="Arial" w:eastAsia="Arial" w:hAnsi="Arial"/>
                  <w:sz w:val="18"/>
                  <w:szCs w:val="18"/>
                  <w:color w:val="0000EE"/>
                </w:rPr>
                <w:t>10.</w:t>
              </w:r>
              <w:r>
                <w:rPr>
                  <w:rFonts w:ascii="Arial" w:cs="Arial" w:eastAsia="Arial" w:hAnsi="Arial"/>
                  <w:sz w:val="18"/>
                  <w:szCs w:val="18"/>
                  <w:u w:val="single" w:color="auto"/>
                  <w:color w:val="0000EE"/>
                </w:rPr>
                <w:t>3</w:t>
              </w:r>
            </w:hyperlink>
            <w:r>
              <w:rPr>
                <w:rFonts w:ascii="Arial" w:cs="Arial" w:eastAsia="Arial" w:hAnsi="Arial"/>
                <w:sz w:val="18"/>
                <w:szCs w:val="18"/>
                <w:color w:val="000000"/>
              </w:rPr>
              <w:t>(x)</w:t>
            </w:r>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5"/>
              </w:rPr>
              <w:t>Amendment to 2014 Equity Incentive Plan approved by Shareholders on May 22, 2017 (incorporated by reference to Exhibit 10.1 of the</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Company’s Quarterly Report on Form 10-Q (SEC File No. 000-21121) filed with the SEC on August 9, 2017).</w:t>
            </w:r>
          </w:p>
        </w:tc>
      </w:tr>
      <w:tr>
        <w:trPr>
          <w:trHeight w:val="176"/>
        </w:trPr>
        <w:tc>
          <w:tcPr>
            <w:tcW w:w="780" w:type="dxa"/>
            <w:vAlign w:val="bottom"/>
            <w:gridSpan w:val="6"/>
          </w:tcPr>
          <w:p>
            <w:pPr>
              <w:spacing w:after="0" w:line="176" w:lineRule="exact"/>
              <w:rPr>
                <w:rFonts w:ascii="Arial" w:cs="Arial" w:eastAsia="Arial" w:hAnsi="Arial"/>
                <w:sz w:val="18"/>
                <w:szCs w:val="18"/>
                <w:color w:val="0000EE"/>
              </w:rPr>
            </w:pPr>
            <w:hyperlink r:id="rId48">
              <w:r>
                <w:rPr>
                  <w:rFonts w:ascii="Arial" w:cs="Arial" w:eastAsia="Arial" w:hAnsi="Arial"/>
                  <w:sz w:val="18"/>
                  <w:szCs w:val="18"/>
                  <w:color w:val="0000EE"/>
                </w:rPr>
                <w:t>10.</w:t>
              </w:r>
              <w:r>
                <w:rPr>
                  <w:rFonts w:ascii="Arial" w:cs="Arial" w:eastAsia="Arial" w:hAnsi="Arial"/>
                  <w:sz w:val="18"/>
                  <w:szCs w:val="18"/>
                  <w:u w:val="single" w:color="auto"/>
                  <w:color w:val="0000EE"/>
                </w:rPr>
                <w:t>4</w:t>
              </w:r>
            </w:hyperlink>
            <w:r>
              <w:rPr>
                <w:rFonts w:ascii="Arial" w:cs="Arial" w:eastAsia="Arial" w:hAnsi="Arial"/>
                <w:sz w:val="18"/>
                <w:szCs w:val="18"/>
                <w:color w:val="000000"/>
              </w:rPr>
              <w:t>(x)</w:t>
            </w: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6"/>
              </w:rPr>
              <w:t>2014 Equity Incentive Plan Time-based Restricted Stock Unit Agreement (incorporated by reference to Exhibit 10.2 of the Company's</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Quarterly Report on Form 10-Q (SEC File No. 000-21121) filed with the SEC on May 6, 2016).</w:t>
            </w:r>
          </w:p>
        </w:tc>
      </w:tr>
      <w:tr>
        <w:trPr>
          <w:trHeight w:val="175"/>
        </w:trPr>
        <w:tc>
          <w:tcPr>
            <w:tcW w:w="780" w:type="dxa"/>
            <w:vAlign w:val="bottom"/>
            <w:gridSpan w:val="6"/>
            <w:shd w:val="clear" w:color="auto" w:fill="CCEEFF"/>
          </w:tcPr>
          <w:p>
            <w:pPr>
              <w:spacing w:after="0" w:line="176" w:lineRule="exact"/>
              <w:rPr>
                <w:rFonts w:ascii="Arial" w:cs="Arial" w:eastAsia="Arial" w:hAnsi="Arial"/>
                <w:sz w:val="18"/>
                <w:szCs w:val="18"/>
                <w:color w:val="0000EE"/>
              </w:rPr>
            </w:pPr>
            <w:hyperlink r:id="rId49">
              <w:r>
                <w:rPr>
                  <w:rFonts w:ascii="Arial" w:cs="Arial" w:eastAsia="Arial" w:hAnsi="Arial"/>
                  <w:sz w:val="18"/>
                  <w:szCs w:val="18"/>
                  <w:color w:val="0000EE"/>
                </w:rPr>
                <w:t>10.</w:t>
              </w:r>
              <w:r>
                <w:rPr>
                  <w:rFonts w:ascii="Arial" w:cs="Arial" w:eastAsia="Arial" w:hAnsi="Arial"/>
                  <w:sz w:val="18"/>
                  <w:szCs w:val="18"/>
                  <w:u w:val="single" w:color="auto"/>
                  <w:color w:val="0000EE"/>
                </w:rPr>
                <w:t>5</w:t>
              </w:r>
            </w:hyperlink>
            <w:r>
              <w:rPr>
                <w:rFonts w:ascii="Arial" w:cs="Arial" w:eastAsia="Arial" w:hAnsi="Arial"/>
                <w:sz w:val="18"/>
                <w:szCs w:val="18"/>
                <w:color w:val="000000"/>
              </w:rPr>
              <w:t>(x)</w:t>
            </w:r>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2014 Equity Incentive Plan Performance-based Restricted Stock Unit Agreement (incorporated by reference to Exhibit 10.1 of the Company's</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Quarterly Report on Form 10-Q (SEC File No. 000-211121) filed with the SEC on August 8, 2016).</w:t>
            </w:r>
          </w:p>
        </w:tc>
      </w:tr>
      <w:tr>
        <w:trPr>
          <w:trHeight w:val="176"/>
        </w:trPr>
        <w:tc>
          <w:tcPr>
            <w:tcW w:w="780" w:type="dxa"/>
            <w:vAlign w:val="bottom"/>
            <w:gridSpan w:val="6"/>
          </w:tcPr>
          <w:p>
            <w:pPr>
              <w:spacing w:after="0" w:line="176" w:lineRule="exact"/>
              <w:rPr>
                <w:rFonts w:ascii="Arial" w:cs="Arial" w:eastAsia="Arial" w:hAnsi="Arial"/>
                <w:sz w:val="18"/>
                <w:szCs w:val="18"/>
                <w:color w:val="0000EE"/>
              </w:rPr>
            </w:pPr>
            <w:hyperlink r:id="rId43">
              <w:r>
                <w:rPr>
                  <w:rFonts w:ascii="Arial" w:cs="Arial" w:eastAsia="Arial" w:hAnsi="Arial"/>
                  <w:sz w:val="18"/>
                  <w:szCs w:val="18"/>
                  <w:color w:val="0000EE"/>
                </w:rPr>
                <w:t>10.</w:t>
              </w:r>
              <w:r>
                <w:rPr>
                  <w:rFonts w:ascii="Arial" w:cs="Arial" w:eastAsia="Arial" w:hAnsi="Arial"/>
                  <w:sz w:val="18"/>
                  <w:szCs w:val="18"/>
                  <w:u w:val="single" w:color="auto"/>
                  <w:color w:val="0000EE"/>
                </w:rPr>
                <w:t>6</w:t>
              </w:r>
            </w:hyperlink>
            <w:r>
              <w:rPr>
                <w:rFonts w:ascii="Arial" w:cs="Arial" w:eastAsia="Arial" w:hAnsi="Arial"/>
                <w:sz w:val="18"/>
                <w:szCs w:val="18"/>
                <w:color w:val="000000"/>
              </w:rPr>
              <w:t>(x)</w:t>
            </w: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1"/>
              </w:rPr>
              <w:t>Employment Agreement, dated July 31, 1996, by and between TransAct and Bart C. Shuldman (incorporated by reference to Exhibit 10.20 of</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the Company’s Registration Statement on Form S-1/A (No. 333-06895) filed with the SEC on August 1, 1996).</w:t>
            </w:r>
          </w:p>
        </w:tc>
      </w:tr>
      <w:tr>
        <w:trPr>
          <w:trHeight w:val="175"/>
        </w:trPr>
        <w:tc>
          <w:tcPr>
            <w:tcW w:w="780" w:type="dxa"/>
            <w:vAlign w:val="bottom"/>
            <w:gridSpan w:val="6"/>
            <w:shd w:val="clear" w:color="auto" w:fill="CCEEFF"/>
          </w:tcPr>
          <w:p>
            <w:pPr>
              <w:spacing w:after="0" w:line="176" w:lineRule="exact"/>
              <w:rPr>
                <w:rFonts w:ascii="Arial" w:cs="Arial" w:eastAsia="Arial" w:hAnsi="Arial"/>
                <w:sz w:val="18"/>
                <w:szCs w:val="18"/>
                <w:color w:val="0000EE"/>
              </w:rPr>
            </w:pPr>
            <w:hyperlink r:id="rId50">
              <w:r>
                <w:rPr>
                  <w:rFonts w:ascii="Arial" w:cs="Arial" w:eastAsia="Arial" w:hAnsi="Arial"/>
                  <w:sz w:val="18"/>
                  <w:szCs w:val="18"/>
                  <w:color w:val="0000EE"/>
                </w:rPr>
                <w:t>10.</w:t>
              </w:r>
              <w:r>
                <w:rPr>
                  <w:rFonts w:ascii="Arial" w:cs="Arial" w:eastAsia="Arial" w:hAnsi="Arial"/>
                  <w:sz w:val="18"/>
                  <w:szCs w:val="18"/>
                  <w:u w:val="single" w:color="auto"/>
                  <w:color w:val="0000EE"/>
                </w:rPr>
                <w:t>7</w:t>
              </w:r>
            </w:hyperlink>
            <w:r>
              <w:rPr>
                <w:rFonts w:ascii="Arial" w:cs="Arial" w:eastAsia="Arial" w:hAnsi="Arial"/>
                <w:sz w:val="18"/>
                <w:szCs w:val="18"/>
                <w:color w:val="000000"/>
              </w:rPr>
              <w:t>(x)</w:t>
            </w:r>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2"/>
              </w:rPr>
              <w:t>Severance Agreement by and between TransAct and Steven A. DeMartino, dated June 1, 2004 (incorporated by reference to Exhibit 10.8 of</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 Company’s Annual Report on Form 10-K (SEC File No. 000-21121) filed with the SEC on March 16, 2005).</w:t>
            </w:r>
          </w:p>
        </w:tc>
      </w:tr>
      <w:tr>
        <w:trPr>
          <w:trHeight w:val="175"/>
        </w:trPr>
        <w:tc>
          <w:tcPr>
            <w:tcW w:w="780" w:type="dxa"/>
            <w:vAlign w:val="bottom"/>
            <w:gridSpan w:val="6"/>
          </w:tcPr>
          <w:p>
            <w:pPr>
              <w:spacing w:after="0" w:line="176" w:lineRule="exact"/>
              <w:rPr>
                <w:rFonts w:ascii="Arial" w:cs="Arial" w:eastAsia="Arial" w:hAnsi="Arial"/>
                <w:sz w:val="18"/>
                <w:szCs w:val="18"/>
                <w:color w:val="0000EE"/>
              </w:rPr>
            </w:pPr>
            <w:hyperlink r:id="rId51">
              <w:r>
                <w:rPr>
                  <w:rFonts w:ascii="Arial" w:cs="Arial" w:eastAsia="Arial" w:hAnsi="Arial"/>
                  <w:sz w:val="18"/>
                  <w:szCs w:val="18"/>
                  <w:color w:val="0000EE"/>
                </w:rPr>
                <w:t>10.</w:t>
              </w:r>
              <w:r>
                <w:rPr>
                  <w:rFonts w:ascii="Arial" w:cs="Arial" w:eastAsia="Arial" w:hAnsi="Arial"/>
                  <w:sz w:val="18"/>
                  <w:szCs w:val="18"/>
                  <w:u w:val="single" w:color="auto"/>
                  <w:color w:val="0000EE"/>
                </w:rPr>
                <w:t>8</w:t>
              </w:r>
            </w:hyperlink>
            <w:r>
              <w:rPr>
                <w:rFonts w:ascii="Arial" w:cs="Arial" w:eastAsia="Arial" w:hAnsi="Arial"/>
                <w:sz w:val="18"/>
                <w:szCs w:val="18"/>
                <w:color w:val="000000"/>
              </w:rPr>
              <w:t>(x)</w:t>
            </w: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0"/>
              </w:rPr>
              <w:t>Severance Agreement by and between TransAct and Tracey S. Chernay, dated July 29, 2005 (incorporated by reference to Exhibit 10.9 of the</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Company’s Annual Report on Form 10-K (SEC File No. 000-21121) filed with the SEC on March 14, 2008).</w:t>
            </w:r>
          </w:p>
        </w:tc>
      </w:tr>
      <w:tr>
        <w:trPr>
          <w:trHeight w:val="175"/>
        </w:trPr>
        <w:tc>
          <w:tcPr>
            <w:tcW w:w="780" w:type="dxa"/>
            <w:vAlign w:val="bottom"/>
            <w:gridSpan w:val="6"/>
            <w:shd w:val="clear" w:color="auto" w:fill="CCEEFF"/>
          </w:tcPr>
          <w:p>
            <w:pPr>
              <w:spacing w:after="0" w:line="176" w:lineRule="exact"/>
              <w:rPr>
                <w:rFonts w:ascii="Arial" w:cs="Arial" w:eastAsia="Arial" w:hAnsi="Arial"/>
                <w:sz w:val="18"/>
                <w:szCs w:val="18"/>
                <w:color w:val="0000EE"/>
              </w:rPr>
            </w:pPr>
            <w:hyperlink r:id="rId52">
              <w:r>
                <w:rPr>
                  <w:rFonts w:ascii="Arial" w:cs="Arial" w:eastAsia="Arial" w:hAnsi="Arial"/>
                  <w:sz w:val="18"/>
                  <w:szCs w:val="18"/>
                  <w:color w:val="0000EE"/>
                </w:rPr>
                <w:t>10.</w:t>
              </w:r>
              <w:r>
                <w:rPr>
                  <w:rFonts w:ascii="Arial" w:cs="Arial" w:eastAsia="Arial" w:hAnsi="Arial"/>
                  <w:sz w:val="18"/>
                  <w:szCs w:val="18"/>
                  <w:u w:val="single" w:color="auto"/>
                  <w:color w:val="0000EE"/>
                </w:rPr>
                <w:t>9</w:t>
              </w:r>
            </w:hyperlink>
            <w:r>
              <w:rPr>
                <w:rFonts w:ascii="Arial" w:cs="Arial" w:eastAsia="Arial" w:hAnsi="Arial"/>
                <w:sz w:val="18"/>
                <w:szCs w:val="18"/>
                <w:color w:val="000000"/>
              </w:rPr>
              <w:t>(x)</w:t>
            </w:r>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7"/>
              </w:rPr>
              <w:t>Amendment to Employment Agreement, effective January 1, 2008, by and between TransAct and Bart C. Shuldman (incorporated by</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reference to Exhibit 10.10 of the Company’s Annual Report on Form 10-K (SEC File No. 000-21121) filed with the SEC on March 16, 2009).</w:t>
            </w:r>
          </w:p>
        </w:tc>
      </w:tr>
      <w:tr>
        <w:trPr>
          <w:trHeight w:val="175"/>
        </w:trPr>
        <w:tc>
          <w:tcPr>
            <w:tcW w:w="780" w:type="dxa"/>
            <w:vAlign w:val="bottom"/>
            <w:gridSpan w:val="6"/>
          </w:tcPr>
          <w:p>
            <w:pPr>
              <w:spacing w:after="0" w:line="176" w:lineRule="exact"/>
              <w:rPr>
                <w:rFonts w:ascii="Arial" w:cs="Arial" w:eastAsia="Arial" w:hAnsi="Arial"/>
                <w:sz w:val="18"/>
                <w:szCs w:val="18"/>
                <w:color w:val="0000EE"/>
              </w:rPr>
            </w:pPr>
            <w:hyperlink r:id="rId53">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r>
              <w:rPr>
                <w:rFonts w:ascii="Arial" w:cs="Arial" w:eastAsia="Arial" w:hAnsi="Arial"/>
                <w:sz w:val="18"/>
                <w:szCs w:val="18"/>
                <w:color w:val="000000"/>
              </w:rPr>
              <w:t>(x)</w:t>
            </w: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6"/>
              </w:rPr>
              <w:t>Amendment to Severance Agreement by and between TransAct and Steven A. DeMartino, effective January 1, 2008 (incorporated by</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2"/>
              </w:rPr>
              <w:t>reference to Exhibit 10.12 of the Company’s Annual Report on Form 10-K (SEC File No. 000-21121) filed with the SEC on March 16, 2009).</w:t>
            </w:r>
          </w:p>
        </w:tc>
      </w:tr>
      <w:tr>
        <w:trPr>
          <w:trHeight w:val="175"/>
        </w:trPr>
        <w:tc>
          <w:tcPr>
            <w:tcW w:w="780" w:type="dxa"/>
            <w:vAlign w:val="bottom"/>
            <w:gridSpan w:val="6"/>
            <w:shd w:val="clear" w:color="auto" w:fill="CCEEFF"/>
          </w:tcPr>
          <w:p>
            <w:pPr>
              <w:spacing w:after="0" w:line="176" w:lineRule="exact"/>
              <w:rPr>
                <w:rFonts w:ascii="Arial" w:cs="Arial" w:eastAsia="Arial" w:hAnsi="Arial"/>
                <w:sz w:val="18"/>
                <w:szCs w:val="18"/>
                <w:color w:val="0000EE"/>
              </w:rPr>
            </w:pPr>
            <w:hyperlink r:id="rId54">
              <w:r>
                <w:rPr>
                  <w:rFonts w:ascii="Arial" w:cs="Arial" w:eastAsia="Arial" w:hAnsi="Arial"/>
                  <w:sz w:val="18"/>
                  <w:szCs w:val="18"/>
                  <w:color w:val="0000EE"/>
                </w:rPr>
                <w:t>10.</w:t>
              </w:r>
              <w:r>
                <w:rPr>
                  <w:rFonts w:ascii="Arial" w:cs="Arial" w:eastAsia="Arial" w:hAnsi="Arial"/>
                  <w:sz w:val="18"/>
                  <w:szCs w:val="18"/>
                  <w:u w:val="single" w:color="auto"/>
                  <w:color w:val="0000EE"/>
                </w:rPr>
                <w:t>11</w:t>
              </w:r>
            </w:hyperlink>
            <w:r>
              <w:rPr>
                <w:rFonts w:ascii="Arial" w:cs="Arial" w:eastAsia="Arial" w:hAnsi="Arial"/>
                <w:sz w:val="18"/>
                <w:szCs w:val="18"/>
                <w:color w:val="000000"/>
              </w:rPr>
              <w:t>(x)</w:t>
            </w:r>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0"/>
              </w:rPr>
              <w:t>Amendment to Severance Agreement by and between TransAct and Tracey S. Chernay, effective January 1, 2008 (incorporated by reference</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to Exhibit 10.14 of the Company’s Annual Report on Form 10-K (SEC File No. 000-21121) filed with the SEC on March 16, 2009).</w:t>
            </w:r>
          </w:p>
        </w:tc>
      </w:tr>
      <w:tr>
        <w:trPr>
          <w:trHeight w:val="175"/>
        </w:trPr>
        <w:tc>
          <w:tcPr>
            <w:tcW w:w="420" w:type="dxa"/>
            <w:vAlign w:val="bottom"/>
            <w:tcBorders>
              <w:bottom w:val="single" w:sz="8" w:color="0000EE"/>
            </w:tcBorders>
            <w:gridSpan w:val="4"/>
          </w:tcPr>
          <w:p>
            <w:pPr>
              <w:spacing w:after="0" w:line="176" w:lineRule="exact"/>
              <w:rPr>
                <w:rFonts w:ascii="Arial" w:cs="Arial" w:eastAsia="Arial" w:hAnsi="Arial"/>
                <w:sz w:val="18"/>
                <w:szCs w:val="18"/>
                <w:color w:val="0000EE"/>
                <w:w w:val="88"/>
              </w:rPr>
            </w:pPr>
            <w:hyperlink r:id="rId5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12</w:t>
              </w:r>
            </w:hyperlink>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0"/>
              </w:rPr>
              <w:t>Lease Agreement by and between Bomax Properties and Ithaca, dated as of March 23, 1992 (incorporated by reference to Exhibit 10.14 of the</w:t>
            </w:r>
          </w:p>
        </w:tc>
      </w:tr>
      <w:tr>
        <w:trPr>
          <w:trHeight w:val="236"/>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Company’s Registration Statement on Form S-1 (No. 333-06895) filed with the SEC on June 26, 1996).</w:t>
            </w:r>
          </w:p>
        </w:tc>
      </w:tr>
      <w:tr>
        <w:trPr>
          <w:trHeight w:val="176"/>
        </w:trPr>
        <w:tc>
          <w:tcPr>
            <w:tcW w:w="4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8"/>
              </w:rPr>
            </w:pPr>
            <w:hyperlink r:id="rId5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13</w:t>
              </w:r>
            </w:hyperlink>
          </w:p>
        </w:tc>
        <w:tc>
          <w:tcPr>
            <w:tcW w:w="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460" w:type="dxa"/>
            <w:vAlign w:val="bottom"/>
            <w:tcBorders>
              <w:bottom w:val="single" w:sz="8" w:color="CCEEFF"/>
            </w:tcBorders>
            <w:shd w:val="clear" w:color="auto" w:fill="CCEEFF"/>
          </w:tcPr>
          <w:p>
            <w:pPr>
              <w:ind w:left="180"/>
              <w:spacing w:after="0" w:line="176" w:lineRule="exact"/>
              <w:rPr>
                <w:sz w:val="20"/>
                <w:szCs w:val="20"/>
                <w:color w:val="auto"/>
              </w:rPr>
            </w:pPr>
            <w:r>
              <w:rPr>
                <w:rFonts w:ascii="Arial" w:cs="Arial" w:eastAsia="Arial" w:hAnsi="Arial"/>
                <w:sz w:val="18"/>
                <w:szCs w:val="18"/>
                <w:color w:val="auto"/>
                <w:w w:val="89"/>
              </w:rPr>
              <w:t>Second Amendment to Lease Agreement by and between Bomax Properties and Ithaca, dated December 2, 1996 (incorporated by reference to</w:t>
            </w:r>
          </w:p>
        </w:tc>
      </w:tr>
      <w:tr>
        <w:trPr>
          <w:trHeight w:val="236"/>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Exhibit 10.27 of the Company’s Annual Report on Form 10-K (SEC File No. 000-21121) filed with the SEC on March 31, 1998).</w:t>
            </w:r>
          </w:p>
        </w:tc>
      </w:tr>
      <w:tr>
        <w:trPr>
          <w:trHeight w:val="175"/>
        </w:trPr>
        <w:tc>
          <w:tcPr>
            <w:tcW w:w="420" w:type="dxa"/>
            <w:vAlign w:val="bottom"/>
            <w:tcBorders>
              <w:bottom w:val="single" w:sz="8" w:color="0000EE"/>
            </w:tcBorders>
            <w:gridSpan w:val="4"/>
          </w:tcPr>
          <w:p>
            <w:pPr>
              <w:spacing w:after="0" w:line="176" w:lineRule="exact"/>
              <w:rPr>
                <w:rFonts w:ascii="Arial" w:cs="Arial" w:eastAsia="Arial" w:hAnsi="Arial"/>
                <w:sz w:val="18"/>
                <w:szCs w:val="18"/>
                <w:color w:val="0000EE"/>
                <w:w w:val="88"/>
              </w:rPr>
            </w:pPr>
            <w:hyperlink r:id="rId5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14</w:t>
              </w:r>
            </w:hyperlink>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8"/>
              </w:rPr>
              <w:t>Agreement regarding the Continuation and Renewal of Lease by and between Bomax Properties, LLC and TransAct, dated July 18,</w:t>
            </w:r>
          </w:p>
        </w:tc>
      </w:tr>
      <w:tr>
        <w:trPr>
          <w:trHeight w:val="222"/>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2"/>
              </w:rPr>
              <w:t>2001 (incorporated by reference to Exhibit 10.8 of the Company’s Annual Report on Form 10-K (SEC File No. 000-21121) filed with the SEC</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on March 29, 2002).</w:t>
            </w:r>
          </w:p>
        </w:tc>
      </w:tr>
      <w:tr>
        <w:trPr>
          <w:trHeight w:val="175"/>
        </w:trPr>
        <w:tc>
          <w:tcPr>
            <w:tcW w:w="4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8"/>
              </w:rPr>
            </w:pPr>
            <w:hyperlink r:id="rId5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15</w:t>
              </w:r>
            </w:hyperlink>
          </w:p>
        </w:tc>
        <w:tc>
          <w:tcPr>
            <w:tcW w:w="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460" w:type="dxa"/>
            <w:vAlign w:val="bottom"/>
            <w:tcBorders>
              <w:bottom w:val="single" w:sz="8" w:color="CCEEFF"/>
            </w:tcBorders>
            <w:shd w:val="clear" w:color="auto" w:fill="CCEEFF"/>
          </w:tcPr>
          <w:p>
            <w:pPr>
              <w:ind w:left="180"/>
              <w:spacing w:after="0" w:line="176" w:lineRule="exact"/>
              <w:rPr>
                <w:sz w:val="20"/>
                <w:szCs w:val="20"/>
                <w:color w:val="auto"/>
              </w:rPr>
            </w:pPr>
            <w:r>
              <w:rPr>
                <w:rFonts w:ascii="Arial" w:cs="Arial" w:eastAsia="Arial" w:hAnsi="Arial"/>
                <w:sz w:val="18"/>
                <w:szCs w:val="18"/>
                <w:color w:val="auto"/>
                <w:w w:val="94"/>
              </w:rPr>
              <w:t>Amendment No. 1 to Lease Agreement between Bomax Properties, LLC and TransAct (incorporated by reference to Exhibit 10.16 of the</w:t>
            </w:r>
          </w:p>
        </w:tc>
      </w:tr>
      <w:tr>
        <w:trPr>
          <w:trHeight w:val="237"/>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Company’s Quarterly Report on Form 10-Q (SEC File No. 000-21121) filed with the SEC on May 10, 2012).</w:t>
            </w:r>
          </w:p>
        </w:tc>
      </w:tr>
      <w:tr>
        <w:trPr>
          <w:trHeight w:val="175"/>
        </w:trPr>
        <w:tc>
          <w:tcPr>
            <w:tcW w:w="420" w:type="dxa"/>
            <w:vAlign w:val="bottom"/>
            <w:tcBorders>
              <w:bottom w:val="single" w:sz="8" w:color="0000EE"/>
            </w:tcBorders>
            <w:gridSpan w:val="4"/>
          </w:tcPr>
          <w:p>
            <w:pPr>
              <w:spacing w:after="0" w:line="176" w:lineRule="exact"/>
              <w:rPr>
                <w:rFonts w:ascii="Arial" w:cs="Arial" w:eastAsia="Arial" w:hAnsi="Arial"/>
                <w:sz w:val="18"/>
                <w:szCs w:val="18"/>
                <w:color w:val="0000EE"/>
                <w:w w:val="88"/>
              </w:rPr>
            </w:pPr>
            <w:hyperlink r:id="rId5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16</w:t>
              </w:r>
            </w:hyperlink>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1"/>
              </w:rPr>
              <w:t>Amendment No. 2 to Lease Agreement between Bomax Properties, LLC and TransAct, dated January 14, 2016 (incorporated by reference to</w:t>
            </w:r>
          </w:p>
        </w:tc>
      </w:tr>
      <w:tr>
        <w:trPr>
          <w:trHeight w:val="237"/>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Exhibit 10.13 of the Company’s Annual Report on Form 10-K (SEC File No. 000-21121) filed with the SEC on March 11, 2016).</w:t>
            </w:r>
          </w:p>
        </w:tc>
      </w:tr>
      <w:tr>
        <w:trPr>
          <w:trHeight w:val="175"/>
        </w:trPr>
        <w:tc>
          <w:tcPr>
            <w:tcW w:w="4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8"/>
              </w:rPr>
            </w:pPr>
            <w:hyperlink r:id="rId6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17</w:t>
              </w:r>
            </w:hyperlink>
          </w:p>
        </w:tc>
        <w:tc>
          <w:tcPr>
            <w:tcW w:w="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460" w:type="dxa"/>
            <w:vAlign w:val="bottom"/>
            <w:tcBorders>
              <w:bottom w:val="single" w:sz="8" w:color="CCEEFF"/>
            </w:tcBorders>
            <w:shd w:val="clear" w:color="auto" w:fill="CCEEFF"/>
          </w:tcPr>
          <w:p>
            <w:pPr>
              <w:ind w:left="180"/>
              <w:spacing w:after="0" w:line="176" w:lineRule="exact"/>
              <w:rPr>
                <w:sz w:val="20"/>
                <w:szCs w:val="20"/>
                <w:color w:val="auto"/>
              </w:rPr>
            </w:pPr>
            <w:r>
              <w:rPr>
                <w:rFonts w:ascii="Arial" w:cs="Arial" w:eastAsia="Arial" w:hAnsi="Arial"/>
                <w:sz w:val="18"/>
                <w:szCs w:val="18"/>
                <w:color w:val="auto"/>
                <w:w w:val="90"/>
              </w:rPr>
              <w:t>Amendment No. 3 to Lease Agreement between Bomax Properties, LLC and TransAct, dated February 28, 2020 (incorporated by reference to</w:t>
            </w:r>
          </w:p>
        </w:tc>
      </w:tr>
      <w:tr>
        <w:trPr>
          <w:trHeight w:val="236"/>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Exhibit 10.1 to the Company’s Current Report on Form 8-K (SEC File No. 000-21121) filed with the SEC on March 4, 2020).</w:t>
            </w:r>
          </w:p>
        </w:tc>
      </w:tr>
      <w:tr>
        <w:trPr>
          <w:trHeight w:val="176"/>
        </w:trPr>
        <w:tc>
          <w:tcPr>
            <w:tcW w:w="420" w:type="dxa"/>
            <w:vAlign w:val="bottom"/>
            <w:tcBorders>
              <w:bottom w:val="single" w:sz="8" w:color="0000EE"/>
            </w:tcBorders>
            <w:gridSpan w:val="4"/>
          </w:tcPr>
          <w:p>
            <w:pPr>
              <w:spacing w:after="0" w:line="176" w:lineRule="exact"/>
              <w:rPr>
                <w:rFonts w:ascii="Arial" w:cs="Arial" w:eastAsia="Arial" w:hAnsi="Arial"/>
                <w:sz w:val="18"/>
                <w:szCs w:val="18"/>
                <w:color w:val="0000EE"/>
                <w:w w:val="88"/>
              </w:rPr>
            </w:pPr>
            <w:hyperlink r:id="rId6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18</w:t>
              </w:r>
            </w:hyperlink>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3"/>
              </w:rPr>
              <w:t>Lease Agreement by and between Las Vegas Airport Properties LLC and TransAct dated December 2, 2004 (incorporated by reference to</w:t>
            </w:r>
          </w:p>
        </w:tc>
      </w:tr>
      <w:tr>
        <w:trPr>
          <w:trHeight w:val="236"/>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Exhibit 10.13 of the Company’s Annual Report on Form 10-K (SEC File No. 000-21121) filed with the SEC on March 16, 2005).</w:t>
            </w:r>
          </w:p>
        </w:tc>
      </w:tr>
      <w:tr>
        <w:trPr>
          <w:trHeight w:val="176"/>
        </w:trPr>
        <w:tc>
          <w:tcPr>
            <w:tcW w:w="4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8"/>
              </w:rPr>
            </w:pPr>
            <w:hyperlink r:id="rId6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19</w:t>
              </w:r>
            </w:hyperlink>
          </w:p>
        </w:tc>
        <w:tc>
          <w:tcPr>
            <w:tcW w:w="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460" w:type="dxa"/>
            <w:vAlign w:val="bottom"/>
            <w:tcBorders>
              <w:bottom w:val="single" w:sz="8" w:color="CCEEFF"/>
            </w:tcBorders>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First Amendment to Lease Agreement by and between Las Vegas Airport Properties LLC and TransAct dated August 31, 2009 (incorporated</w:t>
            </w:r>
          </w:p>
        </w:tc>
      </w:tr>
      <w:tr>
        <w:trPr>
          <w:trHeight w:val="222"/>
        </w:trPr>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by reference to Exhibit 10.19 of the Company’s Annual Report on Form 10-K (SEC File No. 000-21121) filed with the SEC on March 16,</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2010).</w:t>
            </w:r>
          </w:p>
        </w:tc>
      </w:tr>
      <w:tr>
        <w:trPr>
          <w:trHeight w:val="176"/>
        </w:trPr>
        <w:tc>
          <w:tcPr>
            <w:tcW w:w="420" w:type="dxa"/>
            <w:vAlign w:val="bottom"/>
            <w:tcBorders>
              <w:bottom w:val="single" w:sz="8" w:color="0000EE"/>
            </w:tcBorders>
            <w:gridSpan w:val="4"/>
          </w:tcPr>
          <w:p>
            <w:pPr>
              <w:spacing w:after="0" w:line="176" w:lineRule="exact"/>
              <w:rPr>
                <w:rFonts w:ascii="Arial" w:cs="Arial" w:eastAsia="Arial" w:hAnsi="Arial"/>
                <w:sz w:val="18"/>
                <w:szCs w:val="18"/>
                <w:color w:val="0000EE"/>
                <w:w w:val="88"/>
              </w:rPr>
            </w:pPr>
            <w:hyperlink r:id="rId6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20</w:t>
              </w:r>
            </w:hyperlink>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0"/>
              </w:rPr>
              <w:t>Second Amendment to Lease Agreement by and between The Realty Associates Fund IX LP and TransAct dated June 30, 2015 (incorporated</w:t>
            </w:r>
          </w:p>
        </w:tc>
      </w:tr>
      <w:tr>
        <w:trPr>
          <w:trHeight w:val="222"/>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4"/>
              </w:rPr>
              <w:t>by reference to Exhibit 10.2 of the Company’s Quarterly Report on Form 10-Q (SEC File No. 000-21121) filed with the SEC on August 7,</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2015).</w:t>
            </w:r>
          </w:p>
        </w:tc>
      </w:tr>
      <w:tr>
        <w:trPr>
          <w:trHeight w:val="176"/>
        </w:trPr>
        <w:tc>
          <w:tcPr>
            <w:tcW w:w="4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8"/>
              </w:rPr>
            </w:pPr>
            <w:hyperlink r:id="rId6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21</w:t>
              </w:r>
            </w:hyperlink>
          </w:p>
        </w:tc>
        <w:tc>
          <w:tcPr>
            <w:tcW w:w="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460" w:type="dxa"/>
            <w:vAlign w:val="bottom"/>
            <w:tcBorders>
              <w:bottom w:val="single" w:sz="8" w:color="CCEEFF"/>
            </w:tcBorders>
            <w:shd w:val="clear" w:color="auto" w:fill="CCEEFF"/>
          </w:tcPr>
          <w:p>
            <w:pPr>
              <w:ind w:left="180"/>
              <w:spacing w:after="0" w:line="176" w:lineRule="exact"/>
              <w:rPr>
                <w:sz w:val="20"/>
                <w:szCs w:val="20"/>
                <w:color w:val="auto"/>
              </w:rPr>
            </w:pPr>
            <w:r>
              <w:rPr>
                <w:rFonts w:ascii="Arial" w:cs="Arial" w:eastAsia="Arial" w:hAnsi="Arial"/>
                <w:sz w:val="18"/>
                <w:szCs w:val="18"/>
                <w:color w:val="auto"/>
                <w:w w:val="94"/>
              </w:rPr>
              <w:t>Lease Agreement by and between 2319 Hamden Center I, L.L.C. and TransAct dated November 27, 2006 (incorporated by reference to</w:t>
            </w:r>
          </w:p>
        </w:tc>
      </w:tr>
      <w:tr>
        <w:trPr>
          <w:trHeight w:val="236"/>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Exhibit 10.14 of the Company’s Annual Report on Form 10-K (SEC File No. 000-21121) filed with the SEC on March 15, 2007).</w:t>
            </w:r>
          </w:p>
        </w:tc>
      </w:tr>
      <w:tr>
        <w:trPr>
          <w:trHeight w:val="175"/>
        </w:trPr>
        <w:tc>
          <w:tcPr>
            <w:tcW w:w="420" w:type="dxa"/>
            <w:vAlign w:val="bottom"/>
            <w:tcBorders>
              <w:bottom w:val="single" w:sz="8" w:color="0000EE"/>
            </w:tcBorders>
            <w:gridSpan w:val="4"/>
          </w:tcPr>
          <w:p>
            <w:pPr>
              <w:spacing w:after="0" w:line="176" w:lineRule="exact"/>
              <w:rPr>
                <w:rFonts w:ascii="Arial" w:cs="Arial" w:eastAsia="Arial" w:hAnsi="Arial"/>
                <w:sz w:val="18"/>
                <w:szCs w:val="18"/>
                <w:color w:val="0000EE"/>
                <w:w w:val="88"/>
              </w:rPr>
            </w:pPr>
            <w:hyperlink r:id="rId6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22</w:t>
              </w:r>
            </w:hyperlink>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1"/>
              </w:rPr>
              <w:t>First Amendment to Lease by and between 2319 Hamden Center I, L.L.C. and TransAct dated January 3, 2017 (incorporated by reference to</w:t>
            </w:r>
          </w:p>
        </w:tc>
      </w:tr>
      <w:tr>
        <w:trPr>
          <w:trHeight w:val="222"/>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Exhibit 10.20 of the Company’s Annual Report on Form 10-K (SEC File No. 000-21121) filed with the SEC on March 16, 2017).</w:t>
            </w:r>
          </w:p>
        </w:tc>
      </w:tr>
      <w:tr>
        <w:trPr>
          <w:trHeight w:val="190"/>
        </w:trPr>
        <w:tc>
          <w:tcPr>
            <w:tcW w:w="420" w:type="dxa"/>
            <w:vAlign w:val="bottom"/>
            <w:tcBorders>
              <w:bottom w:val="single" w:sz="8" w:color="0000EE"/>
            </w:tcBorders>
            <w:gridSpan w:val="4"/>
          </w:tcPr>
          <w:p>
            <w:pPr>
              <w:spacing w:after="0" w:line="190" w:lineRule="exact"/>
              <w:rPr>
                <w:rFonts w:ascii="Arial" w:cs="Arial" w:eastAsia="Arial" w:hAnsi="Arial"/>
                <w:sz w:val="18"/>
                <w:szCs w:val="18"/>
                <w:color w:val="0000EE"/>
                <w:w w:val="88"/>
              </w:rPr>
            </w:pPr>
            <w:hyperlink r:id="rId6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23</w:t>
              </w:r>
            </w:hyperlink>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60" w:type="dxa"/>
            <w:vAlign w:val="bottom"/>
          </w:tcPr>
          <w:p>
            <w:pPr>
              <w:ind w:left="180"/>
              <w:spacing w:after="0" w:line="190" w:lineRule="exact"/>
              <w:rPr>
                <w:sz w:val="20"/>
                <w:szCs w:val="20"/>
                <w:color w:val="auto"/>
              </w:rPr>
            </w:pPr>
            <w:r>
              <w:rPr>
                <w:rFonts w:ascii="Arial" w:cs="Arial" w:eastAsia="Arial" w:hAnsi="Arial"/>
                <w:sz w:val="18"/>
                <w:szCs w:val="18"/>
                <w:color w:val="auto"/>
                <w:w w:val="94"/>
              </w:rPr>
              <w:t>Amended and Restated Revolving Credit and Security Agreement between TransAct and TD Banknorth, N.A. dated November 28, 2006</w:t>
            </w:r>
          </w:p>
        </w:tc>
      </w:tr>
      <w:tr>
        <w:trPr>
          <w:trHeight w:val="222"/>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1"/>
              </w:rPr>
              <w:t>(incorporated by reference filed with the Company's Annual Report on Form 10-K (SEC File No. 000-21121)for the year ended December 31,</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2006).</w:t>
            </w:r>
          </w:p>
        </w:tc>
      </w:tr>
      <w:tr>
        <w:trPr>
          <w:trHeight w:val="176"/>
        </w:trPr>
        <w:tc>
          <w:tcPr>
            <w:tcW w:w="4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8"/>
              </w:rPr>
            </w:pPr>
            <w:hyperlink r:id="rId6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24</w:t>
              </w:r>
            </w:hyperlink>
          </w:p>
        </w:tc>
        <w:tc>
          <w:tcPr>
            <w:tcW w:w="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460" w:type="dxa"/>
            <w:vAlign w:val="bottom"/>
            <w:tcBorders>
              <w:bottom w:val="single" w:sz="8" w:color="CCEEFF"/>
            </w:tcBorders>
            <w:shd w:val="clear" w:color="auto" w:fill="CCEEFF"/>
          </w:tcPr>
          <w:p>
            <w:pPr>
              <w:ind w:left="180"/>
              <w:spacing w:after="0" w:line="176" w:lineRule="exact"/>
              <w:rPr>
                <w:sz w:val="20"/>
                <w:szCs w:val="20"/>
                <w:color w:val="auto"/>
              </w:rPr>
            </w:pPr>
            <w:r>
              <w:rPr>
                <w:rFonts w:ascii="Arial" w:cs="Arial" w:eastAsia="Arial" w:hAnsi="Arial"/>
                <w:sz w:val="18"/>
                <w:szCs w:val="18"/>
                <w:color w:val="auto"/>
                <w:w w:val="92"/>
              </w:rPr>
              <w:t>First Amendment to Amended and Restated Revolving Credit and Security Agreement between TransAct and TD Banknorth, N.A. effective</w:t>
            </w:r>
          </w:p>
        </w:tc>
      </w:tr>
      <w:tr>
        <w:trPr>
          <w:trHeight w:val="222"/>
        </w:trPr>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September 30, 2007 (incorporated by reference to Exhibit 10.20 of the Company’s Quarterly Report on Form 10-Q (SEC File No. 000-21121)</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filed with the SEC on November 9, 2007).</w:t>
            </w:r>
          </w:p>
        </w:tc>
      </w:tr>
      <w:tr>
        <w:trPr>
          <w:trHeight w:val="176"/>
        </w:trPr>
        <w:tc>
          <w:tcPr>
            <w:tcW w:w="420" w:type="dxa"/>
            <w:vAlign w:val="bottom"/>
            <w:tcBorders>
              <w:bottom w:val="single" w:sz="8" w:color="0000EE"/>
            </w:tcBorders>
            <w:gridSpan w:val="4"/>
          </w:tcPr>
          <w:p>
            <w:pPr>
              <w:spacing w:after="0" w:line="176" w:lineRule="exact"/>
              <w:rPr>
                <w:rFonts w:ascii="Arial" w:cs="Arial" w:eastAsia="Arial" w:hAnsi="Arial"/>
                <w:sz w:val="18"/>
                <w:szCs w:val="18"/>
                <w:color w:val="0000EE"/>
                <w:w w:val="88"/>
              </w:rPr>
            </w:pPr>
            <w:hyperlink r:id="rId6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25</w:t>
              </w:r>
            </w:hyperlink>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4"/>
              </w:rPr>
              <w:t>Second Amendment to Amended and Restated Revolving Credit and Security Agreement between TransAct and TD Bank, N.A. effective</w:t>
            </w:r>
          </w:p>
        </w:tc>
      </w:tr>
      <w:tr>
        <w:trPr>
          <w:trHeight w:val="222"/>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3"/>
              </w:rPr>
              <w:t>November 22, 2011 (incorporated by reference to Exhibit 10.25 of the Company’s Annual Report on Form 10-K (SEC File No. 000-21121)</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filed with the SEC on March 12, 2012).</w:t>
            </w:r>
          </w:p>
        </w:tc>
      </w:tr>
      <w:tr>
        <w:trPr>
          <w:trHeight w:val="175"/>
        </w:trPr>
        <w:tc>
          <w:tcPr>
            <w:tcW w:w="4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8"/>
              </w:rPr>
            </w:pPr>
            <w:hyperlink r:id="rId6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26</w:t>
              </w:r>
            </w:hyperlink>
          </w:p>
        </w:tc>
        <w:tc>
          <w:tcPr>
            <w:tcW w:w="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460" w:type="dxa"/>
            <w:vAlign w:val="bottom"/>
            <w:tcBorders>
              <w:bottom w:val="single" w:sz="8" w:color="CCEEFF"/>
            </w:tcBorders>
            <w:shd w:val="clear" w:color="auto" w:fill="CCEEFF"/>
          </w:tcPr>
          <w:p>
            <w:pPr>
              <w:ind w:left="180"/>
              <w:spacing w:after="0" w:line="176" w:lineRule="exact"/>
              <w:rPr>
                <w:sz w:val="20"/>
                <w:szCs w:val="20"/>
                <w:color w:val="auto"/>
              </w:rPr>
            </w:pPr>
            <w:r>
              <w:rPr>
                <w:rFonts w:ascii="Arial" w:cs="Arial" w:eastAsia="Arial" w:hAnsi="Arial"/>
                <w:sz w:val="18"/>
                <w:szCs w:val="18"/>
                <w:color w:val="auto"/>
                <w:w w:val="97"/>
              </w:rPr>
              <w:t>Third Amendment to Amended and Restated Revolving Credit and Security Agreement effective September 7, 2012 (incorporated by</w:t>
            </w:r>
          </w:p>
        </w:tc>
      </w:tr>
      <w:tr>
        <w:trPr>
          <w:trHeight w:val="222"/>
        </w:trPr>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reference to Exhibit 10.26 of the Company’s Current Report on Form 8-K (SEC File No. 000-21121) filed with the SEC on September 11,</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2012).</w:t>
            </w:r>
          </w:p>
        </w:tc>
      </w:tr>
      <w:tr>
        <w:trPr>
          <w:trHeight w:val="176"/>
        </w:trPr>
        <w:tc>
          <w:tcPr>
            <w:tcW w:w="420" w:type="dxa"/>
            <w:vAlign w:val="bottom"/>
            <w:tcBorders>
              <w:bottom w:val="single" w:sz="8" w:color="0000EE"/>
            </w:tcBorders>
            <w:gridSpan w:val="4"/>
          </w:tcPr>
          <w:p>
            <w:pPr>
              <w:spacing w:after="0" w:line="176" w:lineRule="exact"/>
              <w:rPr>
                <w:rFonts w:ascii="Arial" w:cs="Arial" w:eastAsia="Arial" w:hAnsi="Arial"/>
                <w:sz w:val="18"/>
                <w:szCs w:val="18"/>
                <w:color w:val="0000EE"/>
                <w:w w:val="88"/>
              </w:rPr>
            </w:pPr>
            <w:hyperlink r:id="rId7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27</w:t>
              </w:r>
            </w:hyperlink>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5"/>
              </w:rPr>
              <w:t>Fourth Amendment to Amended and Restated Revolving Credit and Security Agreement effective November 26, 2014 (incorporated by</w:t>
            </w:r>
          </w:p>
        </w:tc>
      </w:tr>
    </w:tbl>
    <w:p>
      <w:pPr>
        <w:sectPr>
          <w:pgSz w:w="11900" w:h="16838" w:orient="portrait"/>
          <w:cols w:equalWidth="0" w:num="1">
            <w:col w:w="11240"/>
          </w:cols>
          <w:pgMar w:left="320" w:top="121" w:right="339" w:bottom="0" w:gutter="0" w:footer="0" w:header="0"/>
        </w:sectPr>
      </w:pPr>
    </w:p>
    <w:bookmarkStart w:id="33" w:name="page34"/>
    <w:bookmarkEnd w:id="33"/>
    <w:p>
      <w:pPr>
        <w:ind w:left="960"/>
        <w:spacing w:after="0"/>
        <w:rPr>
          <w:sz w:val="20"/>
          <w:szCs w:val="20"/>
          <w:color w:val="auto"/>
        </w:rPr>
      </w:pPr>
      <w:r>
        <w:rPr>
          <w:rFonts w:ascii="Arial" w:cs="Arial" w:eastAsia="Arial" w:hAnsi="Arial"/>
          <w:sz w:val="16"/>
          <w:szCs w:val="16"/>
          <w:color w:val="auto"/>
        </w:rPr>
        <w:t>reference to Exhibit 99.1 of the Company’s Current Report on Form 8-K (SEC File No. 000-21121) filed with the SEC on December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411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6" w:lineRule="exact"/>
        <w:rPr>
          <w:sz w:val="20"/>
          <w:szCs w:val="20"/>
          <w:color w:val="auto"/>
        </w:rPr>
      </w:pPr>
    </w:p>
    <w:p>
      <w:pPr>
        <w:jc w:val="both"/>
        <w:ind w:left="960" w:right="20" w:hanging="944"/>
        <w:spacing w:after="0" w:line="250" w:lineRule="auto"/>
        <w:tabs>
          <w:tab w:leader="none" w:pos="940" w:val="left"/>
        </w:tabs>
        <w:rPr>
          <w:rFonts w:ascii="Arial" w:cs="Arial" w:eastAsia="Arial" w:hAnsi="Arial"/>
          <w:sz w:val="18"/>
          <w:szCs w:val="18"/>
          <w:color w:val="0000EE"/>
        </w:rPr>
      </w:pPr>
      <w:hyperlink r:id="rId72">
        <w:r>
          <w:rPr>
            <w:rFonts w:ascii="Arial" w:cs="Arial" w:eastAsia="Arial" w:hAnsi="Arial"/>
            <w:sz w:val="18"/>
            <w:szCs w:val="18"/>
            <w:u w:val="single" w:color="auto"/>
            <w:color w:val="0000EE"/>
          </w:rPr>
          <w:t>10.28</w:t>
        </w:r>
      </w:hyperlink>
      <w:r>
        <w:rPr>
          <w:rFonts w:ascii="Arial" w:cs="Arial" w:eastAsia="Arial" w:hAnsi="Arial"/>
          <w:sz w:val="18"/>
          <w:szCs w:val="18"/>
          <w:color w:val="0000EE"/>
        </w:rPr>
        <w:tab/>
        <w:t>Fifth Amendment to Amended and Restated Revolving Credit and Security Agreement effective November 21, 2017 (incorporated by reference to Exhibit 99.1 to the Company’s Current Report on Form 8-K (SEC File No. 000-21121) filed with the SEC on November 22, 2017).</w:t>
      </w:r>
    </w:p>
    <w:p>
      <w:pPr>
        <w:spacing w:after="0" w:line="1" w:lineRule="exact"/>
        <w:rPr>
          <w:sz w:val="20"/>
          <w:szCs w:val="20"/>
          <w:color w:val="auto"/>
        </w:rPr>
      </w:pPr>
    </w:p>
    <w:p>
      <w:pPr>
        <w:ind w:left="960" w:right="340" w:hanging="952"/>
        <w:spacing w:after="0" w:line="250" w:lineRule="auto"/>
        <w:tabs>
          <w:tab w:leader="none" w:pos="960" w:val="left"/>
        </w:tabs>
        <w:numPr>
          <w:ilvl w:val="0"/>
          <w:numId w:val="15"/>
        </w:numPr>
        <w:rPr>
          <w:rFonts w:ascii="Arial" w:cs="Arial" w:eastAsia="Arial" w:hAnsi="Arial"/>
          <w:sz w:val="18"/>
          <w:szCs w:val="18"/>
          <w:u w:val="single" w:color="auto"/>
          <w:color w:val="0000EE"/>
        </w:rPr>
      </w:pPr>
      <w:r>
        <w:rPr>
          <w:rFonts w:ascii="Arial" w:cs="Arial" w:eastAsia="Arial" w:hAnsi="Arial"/>
          <w:sz w:val="18"/>
          <w:szCs w:val="18"/>
          <w:color w:val="auto"/>
        </w:rPr>
        <w:t>Subsidiaries of the Company (incorporated by reference to Exhibit 21 of the Company's Annual Report on Form 10-K (SEC File No. 000-21121) filed with the SEC on March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960" w:right="120" w:hanging="952"/>
        <w:spacing w:after="0" w:line="250" w:lineRule="auto"/>
        <w:tabs>
          <w:tab w:leader="none" w:pos="960" w:val="left"/>
        </w:tabs>
        <w:numPr>
          <w:ilvl w:val="0"/>
          <w:numId w:val="16"/>
        </w:numPr>
        <w:rPr>
          <w:rFonts w:ascii="Arial" w:cs="Arial" w:eastAsia="Arial" w:hAnsi="Arial"/>
          <w:sz w:val="18"/>
          <w:szCs w:val="18"/>
          <w:u w:val="single" w:color="auto"/>
          <w:color w:val="0000EE"/>
        </w:rPr>
      </w:pPr>
      <w:r>
        <w:rPr>
          <w:rFonts w:ascii="Arial" w:cs="Arial" w:eastAsia="Arial" w:hAnsi="Arial"/>
          <w:sz w:val="18"/>
          <w:szCs w:val="18"/>
          <w:color w:val="auto"/>
        </w:rPr>
        <w:t>Consent of PricewaterhouseCoopers LLP (incorporated by reference to Exhibit 23 of the Company's Annual Report on Form 10-K (SEC File No. 000-21121) filed witht he SEC on March 16, 2020.</w:t>
      </w:r>
    </w:p>
    <w:tbl>
      <w:tblPr>
        <w:tblLayout w:type="fixed"/>
        <w:tblInd w:w="0" w:type="dxa"/>
        <w:tblCellMar>
          <w:top w:w="0" w:type="dxa"/>
          <w:left w:w="0" w:type="dxa"/>
          <w:bottom w:w="0" w:type="dxa"/>
          <w:right w:w="0" w:type="dxa"/>
        </w:tblCellMar>
      </w:tblPr>
      <w:tr>
        <w:trPr>
          <w:trHeight w:val="176"/>
        </w:trPr>
        <w:tc>
          <w:tcPr>
            <w:tcW w:w="820" w:type="dxa"/>
            <w:vAlign w:val="bottom"/>
            <w:gridSpan w:val="3"/>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0420" w:type="dxa"/>
            <w:vAlign w:val="bottom"/>
          </w:tcPr>
          <w:p>
            <w:pPr>
              <w:ind w:left="140"/>
              <w:spacing w:after="0" w:line="176" w:lineRule="exact"/>
              <w:rPr>
                <w:sz w:val="20"/>
                <w:szCs w:val="20"/>
                <w:color w:val="auto"/>
              </w:rPr>
            </w:pPr>
            <w:r>
              <w:rPr>
                <w:rFonts w:ascii="Arial" w:cs="Arial" w:eastAsia="Arial" w:hAnsi="Arial"/>
                <w:sz w:val="18"/>
                <w:szCs w:val="18"/>
                <w:color w:val="auto"/>
              </w:rPr>
              <w:t>Rule 13a-14(a) Certification of Chief Executive Officer in accordance with Section 302 of the Sarbanes-Oxley Act of 2002.</w:t>
            </w:r>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20" w:type="dxa"/>
            <w:vAlign w:val="bottom"/>
          </w:tcPr>
          <w:p>
            <w:pPr>
              <w:spacing w:after="0" w:line="20" w:lineRule="exact"/>
              <w:rPr>
                <w:sz w:val="1"/>
                <w:szCs w:val="1"/>
                <w:color w:val="auto"/>
              </w:rPr>
            </w:pPr>
          </w:p>
        </w:tc>
      </w:tr>
      <w:tr>
        <w:trPr>
          <w:trHeight w:val="196"/>
        </w:trPr>
        <w:tc>
          <w:tcPr>
            <w:tcW w:w="820" w:type="dxa"/>
            <w:vAlign w:val="bottom"/>
            <w:gridSpan w:val="3"/>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04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Rule 13a-14(a) Certification of Chief Financial Officer in accordance with Section 302 of the Sarbanes-Oxley Act of 2002.</w:t>
            </w:r>
          </w:p>
        </w:tc>
      </w:tr>
      <w:tr>
        <w:trPr>
          <w:trHeight w:val="176"/>
        </w:trPr>
        <w:tc>
          <w:tcPr>
            <w:tcW w:w="420" w:type="dxa"/>
            <w:vAlign w:val="bottom"/>
            <w:tcBorders>
              <w:top w:val="single" w:sz="8" w:color="0000EE"/>
            </w:tcBorders>
            <w:gridSpan w:val="2"/>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32*</w:t>
              </w:r>
            </w:hyperlink>
          </w:p>
        </w:tc>
        <w:tc>
          <w:tcPr>
            <w:tcW w:w="400" w:type="dxa"/>
            <w:vAlign w:val="bottom"/>
            <w:tcBorders>
              <w:top w:val="single" w:sz="8" w:color="CCEEFF"/>
            </w:tcBorders>
          </w:tcPr>
          <w:p>
            <w:pPr>
              <w:spacing w:after="0"/>
              <w:rPr>
                <w:sz w:val="15"/>
                <w:szCs w:val="15"/>
                <w:color w:val="auto"/>
              </w:rPr>
            </w:pPr>
          </w:p>
        </w:tc>
        <w:tc>
          <w:tcPr>
            <w:tcW w:w="10420" w:type="dxa"/>
            <w:vAlign w:val="bottom"/>
            <w:tcBorders>
              <w:top w:val="single" w:sz="8" w:color="CCEEFF"/>
            </w:tcBorders>
          </w:tcPr>
          <w:p>
            <w:pPr>
              <w:ind w:left="140"/>
              <w:spacing w:after="0" w:line="176" w:lineRule="exact"/>
              <w:rPr>
                <w:sz w:val="20"/>
                <w:szCs w:val="20"/>
                <w:color w:val="auto"/>
              </w:rPr>
            </w:pPr>
            <w:r>
              <w:rPr>
                <w:rFonts w:ascii="Arial" w:cs="Arial" w:eastAsia="Arial" w:hAnsi="Arial"/>
                <w:sz w:val="18"/>
                <w:szCs w:val="18"/>
                <w:color w:val="auto"/>
                <w:w w:val="91"/>
              </w:rPr>
              <w:t>Certification of Chief Executive Officer and Chief Financial Officer pursuant to 18 U.S.C. Section 1350 as adopted pursuant to Section 906 of</w:t>
            </w:r>
          </w:p>
        </w:tc>
      </w:tr>
      <w:tr>
        <w:trPr>
          <w:trHeight w:val="236"/>
        </w:trPr>
        <w:tc>
          <w:tcPr>
            <w:tcW w:w="28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20" w:type="dxa"/>
            <w:vAlign w:val="bottom"/>
          </w:tcPr>
          <w:p>
            <w:pPr>
              <w:ind w:left="140"/>
              <w:spacing w:after="0"/>
              <w:rPr>
                <w:sz w:val="20"/>
                <w:szCs w:val="20"/>
                <w:color w:val="auto"/>
              </w:rPr>
            </w:pPr>
            <w:r>
              <w:rPr>
                <w:rFonts w:ascii="Arial" w:cs="Arial" w:eastAsia="Arial" w:hAnsi="Arial"/>
                <w:sz w:val="18"/>
                <w:szCs w:val="18"/>
                <w:color w:val="auto"/>
              </w:rPr>
              <w:t>the Sarbanes-Oxley Act of 2002.</w:t>
            </w:r>
          </w:p>
        </w:tc>
      </w:tr>
      <w:tr>
        <w:trPr>
          <w:trHeight w:val="216"/>
        </w:trPr>
        <w:tc>
          <w:tcPr>
            <w:tcW w:w="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101.INS</w:t>
            </w:r>
          </w:p>
        </w:tc>
        <w:tc>
          <w:tcPr>
            <w:tcW w:w="10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XBRL Instance Document.</w:t>
            </w:r>
          </w:p>
        </w:tc>
      </w:tr>
      <w:tr>
        <w:trPr>
          <w:trHeight w:val="216"/>
        </w:trPr>
        <w:tc>
          <w:tcPr>
            <w:tcW w:w="8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42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10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8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42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10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8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42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97"/>
        </w:trPr>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20" w:type="dxa"/>
            <w:vAlign w:val="bottom"/>
          </w:tcPr>
          <w:p>
            <w:pPr>
              <w:ind w:left="4740"/>
              <w:spacing w:after="0"/>
              <w:rPr>
                <w:sz w:val="20"/>
                <w:szCs w:val="20"/>
                <w:color w:val="auto"/>
              </w:rPr>
            </w:pPr>
            <w:r>
              <w:rPr>
                <w:rFonts w:ascii="Arial" w:cs="Arial" w:eastAsia="Arial" w:hAnsi="Arial"/>
                <w:sz w:val="14"/>
                <w:szCs w:val="14"/>
                <w:color w:val="auto"/>
              </w:rPr>
              <w:t>30</w:t>
            </w:r>
          </w:p>
        </w:tc>
      </w:tr>
      <w:tr>
        <w:trPr>
          <w:trHeight w:val="46"/>
        </w:trPr>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4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34" w:name="page35"/>
    <w:bookmarkEnd w:id="34"/>
    <w:p>
      <w:pPr>
        <w:ind w:left="640" w:hanging="632"/>
        <w:spacing w:after="0"/>
        <w:tabs>
          <w:tab w:leader="none" w:pos="6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These exhibits are filed herewith.</w:t>
      </w:r>
    </w:p>
    <w:p>
      <w:pPr>
        <w:spacing w:after="0" w:line="23"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Management contract or compensatory plan or arrangement.</w:t>
      </w:r>
    </w:p>
    <w:p>
      <w:pPr>
        <w:spacing w:after="0" w:line="200" w:lineRule="exact"/>
        <w:rPr>
          <w:rFonts w:ascii="Arial" w:cs="Arial" w:eastAsia="Arial" w:hAnsi="Arial"/>
          <w:sz w:val="18"/>
          <w:szCs w:val="18"/>
          <w:i w:val="1"/>
          <w:iCs w:val="1"/>
          <w:color w:val="auto"/>
        </w:rPr>
      </w:pPr>
    </w:p>
    <w:p>
      <w:pPr>
        <w:spacing w:after="0" w:line="249" w:lineRule="exact"/>
        <w:rPr>
          <w:rFonts w:ascii="Arial" w:cs="Arial" w:eastAsia="Arial" w:hAnsi="Arial"/>
          <w:sz w:val="18"/>
          <w:szCs w:val="18"/>
          <w:i w:val="1"/>
          <w:iCs w:val="1"/>
          <w:color w:val="auto"/>
        </w:rPr>
      </w:pPr>
    </w:p>
    <w:p>
      <w:pPr>
        <w:ind w:left="660" w:hanging="328"/>
        <w:spacing w:after="0"/>
        <w:tabs>
          <w:tab w:leader="none" w:pos="660"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The Exhibits required by Item 601 of Regulation S-K under the Exchange Act are included in the Exhibit Index above under a(3) of this Item 15.</w:t>
      </w:r>
    </w:p>
    <w:p>
      <w:pPr>
        <w:spacing w:after="0" w:line="2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Financial Statement Schedules.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See the Notes to the Consolidated Financial Statements included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rPr>
          <w:sz w:val="20"/>
          <w:szCs w:val="20"/>
          <w:color w:val="auto"/>
        </w:rPr>
      </w:pPr>
      <w:r>
        <w:rPr>
          <w:rFonts w:ascii="Arial" w:cs="Arial" w:eastAsia="Arial" w:hAnsi="Arial"/>
          <w:sz w:val="18"/>
          <w:szCs w:val="18"/>
          <w:color w:val="auto"/>
        </w:rPr>
        <w:t>Not applicable.</w:t>
      </w:r>
    </w:p>
    <w:p>
      <w:pPr>
        <w:spacing w:after="0" w:line="29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320" w:top="152" w:right="111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378"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TRANSACT TECHNOLOGIES INCORPORATED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20" w:type="dxa"/>
            <w:vAlign w:val="bottom"/>
          </w:tcPr>
          <w:p>
            <w:pPr>
              <w:ind w:left="4820"/>
              <w:spacing w:after="0"/>
              <w:rPr>
                <w:sz w:val="20"/>
                <w:szCs w:val="20"/>
                <w:color w:val="auto"/>
              </w:rPr>
            </w:pPr>
            <w:r>
              <w:rPr>
                <w:rFonts w:ascii="Arial" w:cs="Arial" w:eastAsia="Arial" w:hAnsi="Arial"/>
                <w:sz w:val="18"/>
                <w:szCs w:val="18"/>
                <w:color w:val="auto"/>
              </w:rPr>
              <w:t>By:</w:t>
            </w:r>
          </w:p>
        </w:tc>
        <w:tc>
          <w:tcPr>
            <w:tcW w:w="5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 Steven A. DeMartino</w:t>
            </w:r>
          </w:p>
        </w:tc>
      </w:tr>
      <w:tr>
        <w:trPr>
          <w:trHeight w:val="198"/>
        </w:trPr>
        <w:tc>
          <w:tcPr>
            <w:tcW w:w="5520" w:type="dxa"/>
            <w:vAlign w:val="bottom"/>
          </w:tcPr>
          <w:p>
            <w:pPr>
              <w:ind w:left="4820"/>
              <w:spacing w:after="0" w:line="198" w:lineRule="exact"/>
              <w:rPr>
                <w:sz w:val="20"/>
                <w:szCs w:val="20"/>
                <w:color w:val="auto"/>
              </w:rPr>
            </w:pPr>
            <w:r>
              <w:rPr>
                <w:rFonts w:ascii="Arial" w:cs="Arial" w:eastAsia="Arial" w:hAnsi="Arial"/>
                <w:sz w:val="18"/>
                <w:szCs w:val="18"/>
                <w:color w:val="auto"/>
              </w:rPr>
              <w:t>Name:</w:t>
            </w:r>
          </w:p>
        </w:tc>
        <w:tc>
          <w:tcPr>
            <w:tcW w:w="5720" w:type="dxa"/>
            <w:vAlign w:val="bottom"/>
          </w:tcPr>
          <w:p>
            <w:pPr>
              <w:ind w:left="180"/>
              <w:spacing w:after="0" w:line="198" w:lineRule="exact"/>
              <w:rPr>
                <w:sz w:val="20"/>
                <w:szCs w:val="20"/>
                <w:color w:val="auto"/>
              </w:rPr>
            </w:pPr>
            <w:r>
              <w:rPr>
                <w:rFonts w:ascii="Arial" w:cs="Arial" w:eastAsia="Arial" w:hAnsi="Arial"/>
                <w:sz w:val="18"/>
                <w:szCs w:val="18"/>
                <w:b w:val="1"/>
                <w:bCs w:val="1"/>
                <w:color w:val="auto"/>
              </w:rPr>
              <w:t>Steven A. DeMartino</w:t>
            </w:r>
          </w:p>
        </w:tc>
      </w:tr>
      <w:tr>
        <w:trPr>
          <w:trHeight w:val="234"/>
        </w:trPr>
        <w:tc>
          <w:tcPr>
            <w:tcW w:w="5520" w:type="dxa"/>
            <w:vAlign w:val="bottom"/>
          </w:tcPr>
          <w:p>
            <w:pPr>
              <w:ind w:left="4820"/>
              <w:spacing w:after="0"/>
              <w:rPr>
                <w:sz w:val="20"/>
                <w:szCs w:val="20"/>
                <w:color w:val="auto"/>
              </w:rPr>
            </w:pPr>
            <w:r>
              <w:rPr>
                <w:rFonts w:ascii="Arial" w:cs="Arial" w:eastAsia="Arial" w:hAnsi="Arial"/>
                <w:sz w:val="18"/>
                <w:szCs w:val="18"/>
                <w:color w:val="auto"/>
              </w:rPr>
              <w:t>Title:</w:t>
            </w:r>
          </w:p>
        </w:tc>
        <w:tc>
          <w:tcPr>
            <w:tcW w:w="5720" w:type="dxa"/>
            <w:vAlign w:val="bottom"/>
          </w:tcPr>
          <w:p>
            <w:pPr>
              <w:ind w:left="180"/>
              <w:spacing w:after="0"/>
              <w:rPr>
                <w:sz w:val="20"/>
                <w:szCs w:val="20"/>
                <w:color w:val="auto"/>
              </w:rPr>
            </w:pPr>
            <w:r>
              <w:rPr>
                <w:rFonts w:ascii="Arial" w:cs="Arial" w:eastAsia="Arial" w:hAnsi="Arial"/>
                <w:sz w:val="18"/>
                <w:szCs w:val="18"/>
                <w:b w:val="1"/>
                <w:bCs w:val="1"/>
                <w:color w:val="auto"/>
              </w:rPr>
              <w:t>President, Chief Financial Officer, Treasurer and Secretary</w:t>
            </w:r>
          </w:p>
        </w:tc>
      </w:tr>
      <w:tr>
        <w:trPr>
          <w:trHeight w:val="459"/>
        </w:trPr>
        <w:tc>
          <w:tcPr>
            <w:tcW w:w="5520" w:type="dxa"/>
            <w:vAlign w:val="bottom"/>
          </w:tcPr>
          <w:p>
            <w:pPr>
              <w:spacing w:after="0"/>
              <w:rPr>
                <w:sz w:val="20"/>
                <w:szCs w:val="20"/>
                <w:color w:val="auto"/>
              </w:rPr>
            </w:pPr>
            <w:r>
              <w:rPr>
                <w:rFonts w:ascii="Arial" w:cs="Arial" w:eastAsia="Arial" w:hAnsi="Arial"/>
                <w:sz w:val="18"/>
                <w:szCs w:val="18"/>
                <w:b w:val="1"/>
                <w:bCs w:val="1"/>
                <w:color w:val="auto"/>
              </w:rPr>
              <w:t>Date: March 17, 2020</w:t>
            </w:r>
          </w:p>
        </w:tc>
        <w:tc>
          <w:tcPr>
            <w:tcW w:w="5720" w:type="dxa"/>
            <w:vAlign w:val="bottom"/>
          </w:tcPr>
          <w:p>
            <w:pPr>
              <w:spacing w:after="0"/>
              <w:rPr>
                <w:sz w:val="24"/>
                <w:szCs w:val="24"/>
                <w:color w:val="auto"/>
              </w:rPr>
            </w:pPr>
          </w:p>
        </w:tc>
      </w:tr>
      <w:tr>
        <w:trPr>
          <w:trHeight w:val="325"/>
        </w:trPr>
        <w:tc>
          <w:tcPr>
            <w:tcW w:w="5520" w:type="dxa"/>
            <w:vAlign w:val="bottom"/>
          </w:tcPr>
          <w:p>
            <w:pPr>
              <w:spacing w:after="0"/>
              <w:rPr>
                <w:sz w:val="24"/>
                <w:szCs w:val="24"/>
                <w:color w:val="auto"/>
              </w:rPr>
            </w:pPr>
          </w:p>
        </w:tc>
        <w:tc>
          <w:tcPr>
            <w:tcW w:w="5720" w:type="dxa"/>
            <w:vAlign w:val="bottom"/>
          </w:tcPr>
          <w:p>
            <w:pPr>
              <w:jc w:val="right"/>
              <w:ind w:right="5455"/>
              <w:spacing w:after="0"/>
              <w:rPr>
                <w:sz w:val="20"/>
                <w:szCs w:val="20"/>
                <w:color w:val="auto"/>
              </w:rPr>
            </w:pPr>
            <w:r>
              <w:rPr>
                <w:rFonts w:ascii="Arial" w:cs="Arial" w:eastAsia="Arial" w:hAnsi="Arial"/>
                <w:sz w:val="14"/>
                <w:szCs w:val="14"/>
                <w:color w:val="auto"/>
              </w:rPr>
              <w:t>32</w:t>
            </w:r>
          </w:p>
        </w:tc>
      </w:tr>
      <w:tr>
        <w:trPr>
          <w:trHeight w:val="46"/>
        </w:trPr>
        <w:tc>
          <w:tcPr>
            <w:tcW w:w="5520" w:type="dxa"/>
            <w:vAlign w:val="bottom"/>
            <w:tcBorders>
              <w:bottom w:val="single" w:sz="8" w:color="auto"/>
            </w:tcBorders>
          </w:tcPr>
          <w:p>
            <w:pPr>
              <w:spacing w:after="0"/>
              <w:rPr>
                <w:sz w:val="4"/>
                <w:szCs w:val="4"/>
                <w:color w:val="auto"/>
              </w:rPr>
            </w:pPr>
          </w:p>
        </w:tc>
        <w:tc>
          <w:tcPr>
            <w:tcW w:w="57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TRANSACT TECHNOLOGIES INCORPORATED</w:t>
      </w: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12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rPr>
              <w:t>Financial Statements</w:t>
            </w:r>
          </w:p>
        </w:tc>
        <w:tc>
          <w:tcPr>
            <w:tcW w:w="1120" w:type="dxa"/>
            <w:vAlign w:val="bottom"/>
          </w:tcPr>
          <w:p>
            <w:pPr>
              <w:spacing w:after="0"/>
              <w:rPr>
                <w:sz w:val="18"/>
                <w:szCs w:val="18"/>
                <w:color w:val="auto"/>
              </w:rPr>
            </w:pPr>
          </w:p>
        </w:tc>
      </w:tr>
      <w:tr>
        <w:trPr>
          <w:trHeight w:val="364"/>
        </w:trPr>
        <w:tc>
          <w:tcPr>
            <w:tcW w:w="160" w:type="dxa"/>
            <w:vAlign w:val="bottom"/>
          </w:tcPr>
          <w:p>
            <w:pPr>
              <w:spacing w:after="0"/>
              <w:rPr>
                <w:sz w:val="24"/>
                <w:szCs w:val="24"/>
                <w:color w:val="auto"/>
              </w:rPr>
            </w:pPr>
          </w:p>
        </w:tc>
        <w:tc>
          <w:tcPr>
            <w:tcW w:w="9960" w:type="dxa"/>
            <w:vAlign w:val="bottom"/>
            <w:gridSpan w:val="8"/>
          </w:tcPr>
          <w:p>
            <w:pPr>
              <w:ind w:left="20"/>
              <w:spacing w:after="0"/>
              <w:rPr>
                <w:rFonts w:ascii="Arial" w:cs="Arial" w:eastAsia="Arial" w:hAnsi="Arial"/>
                <w:sz w:val="18"/>
                <w:szCs w:val="18"/>
                <w:color w:val="0000EE"/>
              </w:rPr>
            </w:pPr>
            <w:hyperlink w:anchor="page38">
              <w:r>
                <w:rPr>
                  <w:rFonts w:ascii="Arial" w:cs="Arial" w:eastAsia="Arial" w:hAnsi="Arial"/>
                  <w:sz w:val="18"/>
                  <w:szCs w:val="18"/>
                  <w:color w:val="0000EE"/>
                </w:rPr>
                <w:t>Report of Independent Registered Public Accounting Firm</w:t>
              </w:r>
            </w:hyperlink>
          </w:p>
        </w:tc>
        <w:tc>
          <w:tcPr>
            <w:tcW w:w="1120" w:type="dxa"/>
            <w:vAlign w:val="bottom"/>
          </w:tcPr>
          <w:p>
            <w:pPr>
              <w:ind w:left="440"/>
              <w:spacing w:after="0"/>
              <w:rPr>
                <w:sz w:val="20"/>
                <w:szCs w:val="20"/>
                <w:color w:val="auto"/>
              </w:rPr>
            </w:pPr>
            <w:r>
              <w:rPr>
                <w:rFonts w:ascii="Arial" w:cs="Arial" w:eastAsia="Arial" w:hAnsi="Arial"/>
                <w:sz w:val="18"/>
                <w:szCs w:val="18"/>
                <w:color w:val="auto"/>
              </w:rPr>
              <w:t>F-3</w:t>
            </w:r>
          </w:p>
        </w:tc>
      </w:tr>
      <w:tr>
        <w:trPr>
          <w:trHeight w:val="156"/>
        </w:trPr>
        <w:tc>
          <w:tcPr>
            <w:tcW w:w="160" w:type="dxa"/>
            <w:vAlign w:val="bottom"/>
          </w:tcPr>
          <w:p>
            <w:pPr>
              <w:spacing w:after="0"/>
              <w:rPr>
                <w:sz w:val="13"/>
                <w:szCs w:val="13"/>
                <w:color w:val="auto"/>
              </w:rPr>
            </w:pPr>
          </w:p>
        </w:tc>
        <w:tc>
          <w:tcPr>
            <w:tcW w:w="4220" w:type="dxa"/>
            <w:vAlign w:val="bottom"/>
            <w:tcBorders>
              <w:top w:val="single" w:sz="8" w:color="0000EE"/>
            </w:tcBorders>
            <w:gridSpan w:val="2"/>
          </w:tcPr>
          <w:p>
            <w:pPr>
              <w:ind w:left="20"/>
              <w:spacing w:after="0" w:line="15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Consolidated Balance Sheets as of December 31, 2019 and</w:t>
              </w:r>
            </w:hyperlink>
          </w:p>
        </w:tc>
        <w:tc>
          <w:tcPr>
            <w:tcW w:w="2440" w:type="dxa"/>
            <w:vAlign w:val="bottom"/>
            <w:gridSpan w:val="2"/>
          </w:tcPr>
          <w:p>
            <w:pPr>
              <w:jc w:val="right"/>
              <w:ind w:right="1919"/>
              <w:spacing w:after="0" w:line="156" w:lineRule="exact"/>
              <w:rPr>
                <w:rFonts w:ascii="Arial" w:cs="Arial" w:eastAsia="Arial" w:hAnsi="Arial"/>
                <w:sz w:val="18"/>
                <w:szCs w:val="18"/>
                <w:color w:val="0000EE"/>
              </w:rPr>
            </w:pPr>
            <w:hyperlink w:anchor="page40">
              <w:r>
                <w:rPr>
                  <w:rFonts w:ascii="Arial" w:cs="Arial" w:eastAsia="Arial" w:hAnsi="Arial"/>
                  <w:sz w:val="18"/>
                  <w:szCs w:val="18"/>
                  <w:color w:val="0000EE"/>
                </w:rPr>
                <w:t>2018</w:t>
              </w:r>
            </w:hyperlink>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20" w:type="dxa"/>
            <w:vAlign w:val="bottom"/>
          </w:tcPr>
          <w:p>
            <w:pPr>
              <w:ind w:left="440"/>
              <w:spacing w:after="0" w:line="156" w:lineRule="exact"/>
              <w:rPr>
                <w:sz w:val="20"/>
                <w:szCs w:val="20"/>
                <w:color w:val="auto"/>
              </w:rPr>
            </w:pPr>
            <w:r>
              <w:rPr>
                <w:rFonts w:ascii="Arial" w:cs="Arial" w:eastAsia="Arial" w:hAnsi="Arial"/>
                <w:sz w:val="18"/>
                <w:szCs w:val="18"/>
                <w:color w:val="auto"/>
              </w:rPr>
              <w:t>F-4</w:t>
            </w:r>
          </w:p>
        </w:tc>
      </w:tr>
      <w:tr>
        <w:trPr>
          <w:trHeight w:val="156"/>
        </w:trPr>
        <w:tc>
          <w:tcPr>
            <w:tcW w:w="160" w:type="dxa"/>
            <w:vAlign w:val="bottom"/>
          </w:tcPr>
          <w:p>
            <w:pPr>
              <w:spacing w:after="0"/>
              <w:rPr>
                <w:sz w:val="13"/>
                <w:szCs w:val="13"/>
                <w:color w:val="auto"/>
              </w:rPr>
            </w:pPr>
          </w:p>
        </w:tc>
        <w:tc>
          <w:tcPr>
            <w:tcW w:w="4660" w:type="dxa"/>
            <w:vAlign w:val="bottom"/>
            <w:tcBorders>
              <w:top w:val="single" w:sz="8" w:color="0000EE"/>
            </w:tcBorders>
            <w:gridSpan w:val="3"/>
          </w:tcPr>
          <w:p>
            <w:pPr>
              <w:ind w:left="20"/>
              <w:spacing w:after="0" w:line="156" w:lineRule="exact"/>
              <w:rPr>
                <w:rFonts w:ascii="Arial" w:cs="Arial" w:eastAsia="Arial" w:hAnsi="Arial"/>
                <w:sz w:val="18"/>
                <w:szCs w:val="18"/>
                <w:color w:val="0000EE"/>
                <w:w w:val="86"/>
              </w:rPr>
            </w:pPr>
            <w:hyperlink w:anchor="page42">
              <w:r>
                <w:rPr>
                  <w:rFonts w:ascii="Arial" w:cs="Arial" w:eastAsia="Arial" w:hAnsi="Arial"/>
                  <w:sz w:val="18"/>
                  <w:szCs w:val="18"/>
                  <w:color w:val="0000EE"/>
                  <w:w w:val="86"/>
                </w:rPr>
                <w:t>Consolidated Statements of Income for the years ended December</w:t>
              </w:r>
            </w:hyperlink>
          </w:p>
        </w:tc>
        <w:tc>
          <w:tcPr>
            <w:tcW w:w="5300" w:type="dxa"/>
            <w:vAlign w:val="bottom"/>
            <w:gridSpan w:val="5"/>
          </w:tcPr>
          <w:p>
            <w:pPr>
              <w:ind w:left="160"/>
              <w:spacing w:after="0" w:line="156" w:lineRule="exact"/>
              <w:rPr>
                <w:rFonts w:ascii="Arial" w:cs="Arial" w:eastAsia="Arial" w:hAnsi="Arial"/>
                <w:sz w:val="18"/>
                <w:szCs w:val="18"/>
                <w:color w:val="0000EE"/>
              </w:rPr>
            </w:pPr>
            <w:hyperlink w:anchor="page42">
              <w:r>
                <w:rPr>
                  <w:rFonts w:ascii="Arial" w:cs="Arial" w:eastAsia="Arial" w:hAnsi="Arial"/>
                  <w:sz w:val="18"/>
                  <w:szCs w:val="18"/>
                  <w:color w:val="0000EE"/>
                </w:rPr>
                <w:t>31, 2019, 2018, and 2017</w:t>
              </w:r>
            </w:hyperlink>
          </w:p>
        </w:tc>
        <w:tc>
          <w:tcPr>
            <w:tcW w:w="1120" w:type="dxa"/>
            <w:vAlign w:val="bottom"/>
          </w:tcPr>
          <w:p>
            <w:pPr>
              <w:ind w:left="440"/>
              <w:spacing w:after="0" w:line="156" w:lineRule="exact"/>
              <w:rPr>
                <w:sz w:val="20"/>
                <w:szCs w:val="20"/>
                <w:color w:val="auto"/>
              </w:rPr>
            </w:pPr>
            <w:r>
              <w:rPr>
                <w:rFonts w:ascii="Arial" w:cs="Arial" w:eastAsia="Arial" w:hAnsi="Arial"/>
                <w:sz w:val="18"/>
                <w:szCs w:val="18"/>
                <w:color w:val="auto"/>
              </w:rPr>
              <w:t>F-5</w:t>
            </w:r>
          </w:p>
        </w:tc>
      </w:tr>
      <w:tr>
        <w:trPr>
          <w:trHeight w:val="155"/>
        </w:trPr>
        <w:tc>
          <w:tcPr>
            <w:tcW w:w="160" w:type="dxa"/>
            <w:vAlign w:val="bottom"/>
          </w:tcPr>
          <w:p>
            <w:pPr>
              <w:spacing w:after="0"/>
              <w:rPr>
                <w:sz w:val="13"/>
                <w:szCs w:val="13"/>
                <w:color w:val="auto"/>
              </w:rPr>
            </w:pPr>
          </w:p>
        </w:tc>
        <w:tc>
          <w:tcPr>
            <w:tcW w:w="6660" w:type="dxa"/>
            <w:vAlign w:val="bottom"/>
            <w:tcBorders>
              <w:top w:val="single" w:sz="8" w:color="0000EE"/>
            </w:tcBorders>
            <w:gridSpan w:val="4"/>
          </w:tcPr>
          <w:p>
            <w:pPr>
              <w:ind w:left="20"/>
              <w:spacing w:after="0" w:line="15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Consolidated Statements of Comprehensive Income for the years ended December 31, 2019,</w:t>
              </w:r>
            </w:hyperlink>
          </w:p>
        </w:tc>
        <w:tc>
          <w:tcPr>
            <w:tcW w:w="3300" w:type="dxa"/>
            <w:vAlign w:val="bottom"/>
            <w:gridSpan w:val="4"/>
          </w:tcPr>
          <w:p>
            <w:pPr>
              <w:ind w:left="60"/>
              <w:spacing w:after="0" w:line="156" w:lineRule="exact"/>
              <w:rPr>
                <w:rFonts w:ascii="Arial" w:cs="Arial" w:eastAsia="Arial" w:hAnsi="Arial"/>
                <w:sz w:val="18"/>
                <w:szCs w:val="18"/>
                <w:color w:val="0000EE"/>
              </w:rPr>
            </w:pPr>
            <w:hyperlink w:anchor="page42">
              <w:r>
                <w:rPr>
                  <w:rFonts w:ascii="Arial" w:cs="Arial" w:eastAsia="Arial" w:hAnsi="Arial"/>
                  <w:sz w:val="18"/>
                  <w:szCs w:val="18"/>
                  <w:color w:val="0000EE"/>
                </w:rPr>
                <w:t>2018 and 2017</w:t>
              </w:r>
            </w:hyperlink>
          </w:p>
        </w:tc>
        <w:tc>
          <w:tcPr>
            <w:tcW w:w="1120" w:type="dxa"/>
            <w:vAlign w:val="bottom"/>
          </w:tcPr>
          <w:p>
            <w:pPr>
              <w:ind w:left="440"/>
              <w:spacing w:after="0" w:line="156" w:lineRule="exact"/>
              <w:rPr>
                <w:sz w:val="20"/>
                <w:szCs w:val="20"/>
                <w:color w:val="auto"/>
              </w:rPr>
            </w:pPr>
            <w:r>
              <w:rPr>
                <w:rFonts w:ascii="Arial" w:cs="Arial" w:eastAsia="Arial" w:hAnsi="Arial"/>
                <w:sz w:val="18"/>
                <w:szCs w:val="18"/>
                <w:color w:val="auto"/>
              </w:rPr>
              <w:t>F-6</w:t>
            </w:r>
          </w:p>
        </w:tc>
      </w:tr>
      <w:tr>
        <w:trPr>
          <w:trHeight w:val="156"/>
        </w:trPr>
        <w:tc>
          <w:tcPr>
            <w:tcW w:w="160" w:type="dxa"/>
            <w:vAlign w:val="bottom"/>
          </w:tcPr>
          <w:p>
            <w:pPr>
              <w:spacing w:after="0"/>
              <w:rPr>
                <w:sz w:val="13"/>
                <w:szCs w:val="13"/>
                <w:color w:val="auto"/>
              </w:rPr>
            </w:pPr>
          </w:p>
        </w:tc>
        <w:tc>
          <w:tcPr>
            <w:tcW w:w="7780" w:type="dxa"/>
            <w:vAlign w:val="bottom"/>
            <w:tcBorders>
              <w:top w:val="single" w:sz="8" w:color="0000EE"/>
            </w:tcBorders>
            <w:gridSpan w:val="6"/>
          </w:tcPr>
          <w:p>
            <w:pPr>
              <w:ind w:left="20"/>
              <w:spacing w:after="0" w:line="15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Consolidated Statements of Changes in Shareholders' Equity for the years ended December 31, 2019, 2018</w:t>
              </w:r>
            </w:hyperlink>
          </w:p>
        </w:tc>
        <w:tc>
          <w:tcPr>
            <w:tcW w:w="2180" w:type="dxa"/>
            <w:vAlign w:val="bottom"/>
            <w:gridSpan w:val="2"/>
          </w:tcPr>
          <w:p>
            <w:pPr>
              <w:spacing w:after="0" w:line="156" w:lineRule="exact"/>
              <w:rPr>
                <w:rFonts w:ascii="Arial" w:cs="Arial" w:eastAsia="Arial" w:hAnsi="Arial"/>
                <w:sz w:val="18"/>
                <w:szCs w:val="18"/>
                <w:color w:val="0000EE"/>
              </w:rPr>
            </w:pPr>
            <w:hyperlink w:anchor="page43">
              <w:r>
                <w:rPr>
                  <w:rFonts w:ascii="Arial" w:cs="Arial" w:eastAsia="Arial" w:hAnsi="Arial"/>
                  <w:sz w:val="18"/>
                  <w:szCs w:val="18"/>
                  <w:color w:val="0000EE"/>
                </w:rPr>
                <w:t>and 2017</w:t>
              </w:r>
            </w:hyperlink>
          </w:p>
        </w:tc>
        <w:tc>
          <w:tcPr>
            <w:tcW w:w="1120" w:type="dxa"/>
            <w:vAlign w:val="bottom"/>
          </w:tcPr>
          <w:p>
            <w:pPr>
              <w:ind w:left="440"/>
              <w:spacing w:after="0" w:line="156" w:lineRule="exact"/>
              <w:rPr>
                <w:sz w:val="20"/>
                <w:szCs w:val="20"/>
                <w:color w:val="auto"/>
              </w:rPr>
            </w:pPr>
            <w:r>
              <w:rPr>
                <w:rFonts w:ascii="Arial" w:cs="Arial" w:eastAsia="Arial" w:hAnsi="Arial"/>
                <w:sz w:val="18"/>
                <w:szCs w:val="18"/>
                <w:color w:val="auto"/>
              </w:rPr>
              <w:t>F-7</w:t>
            </w:r>
          </w:p>
        </w:tc>
      </w:tr>
      <w:tr>
        <w:trPr>
          <w:trHeight w:val="156"/>
        </w:trPr>
        <w:tc>
          <w:tcPr>
            <w:tcW w:w="160" w:type="dxa"/>
            <w:vAlign w:val="bottom"/>
          </w:tcPr>
          <w:p>
            <w:pPr>
              <w:spacing w:after="0"/>
              <w:rPr>
                <w:sz w:val="13"/>
                <w:szCs w:val="13"/>
                <w:color w:val="auto"/>
              </w:rPr>
            </w:pPr>
          </w:p>
        </w:tc>
        <w:tc>
          <w:tcPr>
            <w:tcW w:w="8420" w:type="dxa"/>
            <w:vAlign w:val="bottom"/>
            <w:tcBorders>
              <w:top w:val="single" w:sz="8" w:color="0000EE"/>
            </w:tcBorders>
            <w:gridSpan w:val="7"/>
          </w:tcPr>
          <w:p>
            <w:pPr>
              <w:ind w:left="20"/>
              <w:spacing w:after="0" w:line="156" w:lineRule="exact"/>
              <w:rPr>
                <w:rFonts w:ascii="Arial" w:cs="Arial" w:eastAsia="Arial" w:hAnsi="Arial"/>
                <w:sz w:val="18"/>
                <w:szCs w:val="18"/>
                <w:color w:val="0000EE"/>
              </w:rPr>
            </w:pPr>
            <w:hyperlink w:anchor="page44">
              <w:r>
                <w:rPr>
                  <w:rFonts w:ascii="Arial" w:cs="Arial" w:eastAsia="Arial" w:hAnsi="Arial"/>
                  <w:sz w:val="18"/>
                  <w:szCs w:val="18"/>
                  <w:color w:val="0000EE"/>
                </w:rPr>
                <w:t>Consolidated Statements of Cash Flows for the years ended December 31, 2019, 2018 and 2017</w:t>
              </w:r>
            </w:hyperlink>
          </w:p>
        </w:tc>
        <w:tc>
          <w:tcPr>
            <w:tcW w:w="1540" w:type="dxa"/>
            <w:vAlign w:val="bottom"/>
          </w:tcPr>
          <w:p>
            <w:pPr>
              <w:spacing w:after="0"/>
              <w:rPr>
                <w:sz w:val="13"/>
                <w:szCs w:val="13"/>
                <w:color w:val="auto"/>
              </w:rPr>
            </w:pPr>
          </w:p>
        </w:tc>
        <w:tc>
          <w:tcPr>
            <w:tcW w:w="1120" w:type="dxa"/>
            <w:vAlign w:val="bottom"/>
          </w:tcPr>
          <w:p>
            <w:pPr>
              <w:ind w:left="440"/>
              <w:spacing w:after="0" w:line="156" w:lineRule="exact"/>
              <w:rPr>
                <w:sz w:val="20"/>
                <w:szCs w:val="20"/>
                <w:color w:val="auto"/>
              </w:rPr>
            </w:pPr>
            <w:r>
              <w:rPr>
                <w:rFonts w:ascii="Arial" w:cs="Arial" w:eastAsia="Arial" w:hAnsi="Arial"/>
                <w:sz w:val="18"/>
                <w:szCs w:val="18"/>
                <w:color w:val="auto"/>
              </w:rPr>
              <w:t>F-8</w:t>
            </w:r>
          </w:p>
        </w:tc>
      </w:tr>
      <w:tr>
        <w:trPr>
          <w:trHeight w:val="156"/>
        </w:trPr>
        <w:tc>
          <w:tcPr>
            <w:tcW w:w="160" w:type="dxa"/>
            <w:vAlign w:val="bottom"/>
          </w:tcPr>
          <w:p>
            <w:pPr>
              <w:spacing w:after="0"/>
              <w:rPr>
                <w:sz w:val="13"/>
                <w:szCs w:val="13"/>
                <w:color w:val="auto"/>
              </w:rPr>
            </w:pPr>
          </w:p>
        </w:tc>
        <w:tc>
          <w:tcPr>
            <w:tcW w:w="6920" w:type="dxa"/>
            <w:vAlign w:val="bottom"/>
            <w:tcBorders>
              <w:top w:val="single" w:sz="8" w:color="0000EE"/>
            </w:tcBorders>
            <w:gridSpan w:val="5"/>
          </w:tcPr>
          <w:p>
            <w:pPr>
              <w:ind w:left="20"/>
              <w:spacing w:after="0" w:line="156" w:lineRule="exact"/>
              <w:rPr>
                <w:rFonts w:ascii="Arial" w:cs="Arial" w:eastAsia="Arial" w:hAnsi="Arial"/>
                <w:sz w:val="18"/>
                <w:szCs w:val="18"/>
                <w:color w:val="0000EE"/>
              </w:rPr>
            </w:pPr>
            <w:hyperlink w:anchor="page45">
              <w:r>
                <w:rPr>
                  <w:rFonts w:ascii="Arial" w:cs="Arial" w:eastAsia="Arial" w:hAnsi="Arial"/>
                  <w:sz w:val="18"/>
                  <w:szCs w:val="18"/>
                  <w:color w:val="0000EE"/>
                </w:rPr>
                <w:t>Notes to Consolidated Financial Statements</w:t>
              </w:r>
            </w:hyperlink>
          </w:p>
        </w:tc>
        <w:tc>
          <w:tcPr>
            <w:tcW w:w="3040" w:type="dxa"/>
            <w:vAlign w:val="bottom"/>
            <w:gridSpan w:val="3"/>
          </w:tcPr>
          <w:p>
            <w:pPr>
              <w:spacing w:after="0"/>
              <w:rPr>
                <w:sz w:val="13"/>
                <w:szCs w:val="13"/>
                <w:color w:val="auto"/>
              </w:rPr>
            </w:pPr>
          </w:p>
        </w:tc>
        <w:tc>
          <w:tcPr>
            <w:tcW w:w="1120" w:type="dxa"/>
            <w:vAlign w:val="bottom"/>
          </w:tcPr>
          <w:p>
            <w:pPr>
              <w:ind w:left="440"/>
              <w:spacing w:after="0" w:line="156" w:lineRule="exact"/>
              <w:rPr>
                <w:sz w:val="20"/>
                <w:szCs w:val="20"/>
                <w:color w:val="auto"/>
              </w:rPr>
            </w:pPr>
            <w:r>
              <w:rPr>
                <w:rFonts w:ascii="Arial" w:cs="Arial" w:eastAsia="Arial" w:hAnsi="Arial"/>
                <w:sz w:val="18"/>
                <w:szCs w:val="18"/>
                <w:color w:val="auto"/>
              </w:rPr>
              <w:t>F-9</w:t>
            </w:r>
          </w:p>
        </w:tc>
      </w:tr>
      <w:tr>
        <w:trPr>
          <w:trHeight w:val="670"/>
        </w:trPr>
        <w:tc>
          <w:tcPr>
            <w:tcW w:w="160" w:type="dxa"/>
            <w:vAlign w:val="bottom"/>
          </w:tcPr>
          <w:p>
            <w:pPr>
              <w:spacing w:after="0"/>
              <w:rPr>
                <w:sz w:val="24"/>
                <w:szCs w:val="24"/>
                <w:color w:val="auto"/>
              </w:rPr>
            </w:pPr>
          </w:p>
        </w:tc>
        <w:tc>
          <w:tcPr>
            <w:tcW w:w="31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00" w:type="dxa"/>
            <w:vAlign w:val="bottom"/>
            <w:gridSpan w:val="5"/>
          </w:tcPr>
          <w:p>
            <w:pPr>
              <w:ind w:left="700"/>
              <w:spacing w:after="0"/>
              <w:rPr>
                <w:sz w:val="20"/>
                <w:szCs w:val="20"/>
                <w:color w:val="auto"/>
              </w:rPr>
            </w:pPr>
            <w:r>
              <w:rPr>
                <w:rFonts w:ascii="Arial" w:cs="Arial" w:eastAsia="Arial" w:hAnsi="Arial"/>
                <w:sz w:val="14"/>
                <w:szCs w:val="14"/>
                <w:color w:val="auto"/>
              </w:rPr>
              <w:t>F-1</w:t>
            </w:r>
          </w:p>
        </w:tc>
        <w:tc>
          <w:tcPr>
            <w:tcW w:w="1120" w:type="dxa"/>
            <w:vAlign w:val="bottom"/>
          </w:tcPr>
          <w:p>
            <w:pPr>
              <w:spacing w:after="0"/>
              <w:rPr>
                <w:sz w:val="24"/>
                <w:szCs w:val="24"/>
                <w:color w:val="auto"/>
              </w:rPr>
            </w:pPr>
          </w:p>
        </w:tc>
      </w:tr>
      <w:tr>
        <w:trPr>
          <w:trHeight w:val="46"/>
        </w:trPr>
        <w:tc>
          <w:tcPr>
            <w:tcW w:w="160" w:type="dxa"/>
            <w:vAlign w:val="bottom"/>
            <w:tcBorders>
              <w:bottom w:val="single" w:sz="8" w:color="auto"/>
            </w:tcBorders>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96" w:right="339" w:bottom="1440" w:gutter="0" w:footer="0" w:header="0"/>
        </w:sectPr>
      </w:pPr>
    </w:p>
    <w:bookmarkStart w:id="37" w:name="page38"/>
    <w:bookmarkEnd w:id="37"/>
    <w:p>
      <w:pPr>
        <w:ind w:right="3360" w:firstLine="3364"/>
        <w:spacing w:after="0" w:line="416"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 xml:space="preserve">To the Board of Directors and Shareholders of TransAct Technologies Incorporated </w:t>
      </w:r>
      <w:r>
        <w:rPr>
          <w:rFonts w:ascii="Arial" w:cs="Arial" w:eastAsia="Arial" w:hAnsi="Arial"/>
          <w:sz w:val="17"/>
          <w:szCs w:val="17"/>
          <w:b w:val="1"/>
          <w:bCs w:val="1"/>
          <w:i w:val="1"/>
          <w:iCs w:val="1"/>
          <w:color w:val="auto"/>
        </w:rPr>
        <w:t>Opinions on the Financial Statements and Internal Control over Financial Reporting</w:t>
      </w:r>
    </w:p>
    <w:p>
      <w:pPr>
        <w:jc w:val="both"/>
        <w:spacing w:after="0" w:line="261" w:lineRule="auto"/>
        <w:rPr>
          <w:sz w:val="20"/>
          <w:szCs w:val="20"/>
          <w:color w:val="auto"/>
        </w:rPr>
      </w:pPr>
      <w:r>
        <w:rPr>
          <w:rFonts w:ascii="Arial" w:cs="Arial" w:eastAsia="Arial" w:hAnsi="Arial"/>
          <w:sz w:val="16"/>
          <w:szCs w:val="16"/>
          <w:color w:val="auto"/>
        </w:rPr>
        <w:t xml:space="preserve">We have audited the accompanying consolidated balance sheets of TransAct Technologies Incorporated and its subsidiaries (the “Company”) as of December 31, 2019 and 2018, and the related consolidated statements of income, comprehensive income, changes in shareholders’ equity and cash flows for each of the three years in the period ended December 31, 2019, including the related notes (collectively referred to as the “consolidated financial statements”). We also have audited the Company's internal control over financial reporting as of December 31, 2019, based on criteria established in </w:t>
      </w:r>
      <w:r>
        <w:rPr>
          <w:rFonts w:ascii="Arial" w:cs="Arial" w:eastAsia="Arial" w:hAnsi="Arial"/>
          <w:sz w:val="16"/>
          <w:szCs w:val="16"/>
          <w:i w:val="1"/>
          <w:iCs w:val="1"/>
          <w:color w:val="auto"/>
        </w:rPr>
        <w:t xml:space="preserve">Internal Control - Integrated Framework </w:t>
      </w:r>
      <w:r>
        <w:rPr>
          <w:rFonts w:ascii="Arial" w:cs="Arial" w:eastAsia="Arial" w:hAnsi="Arial"/>
          <w:sz w:val="16"/>
          <w:szCs w:val="16"/>
          <w:color w:val="auto"/>
        </w:rPr>
        <w:t>(2013) issued by the Committee of Sponsoring Organizations of the Treadway Commission (COSO).</w:t>
      </w:r>
    </w:p>
    <w:p>
      <w:pPr>
        <w:spacing w:after="0" w:line="9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did not maintain, in all material respects, effective internal control over financial reporting as of December 31, 2019,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(2013) issued by the COSO because material weaknesses in internal control over financial reporting existed as of that date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not designing and maintaining effective controls over (i) user access within the Company’s ERP system, Oracle, to ensure appropriate segregation of duties and to adequately restrict user access to appropriate personnel, and (ii) the completeness and accuracy of information included in key spreadsheets supporting the Company’s accounting records.</w:t>
      </w:r>
    </w:p>
    <w:p>
      <w:pPr>
        <w:spacing w:after="0" w:line="110"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Annual Report on Internal Control over Financial Reporting appearing under Item 9A. We considered these material weaknesses in determining the nature, timing, and extent of audit tests applied in our audit of the 2019 consolidated financial statements, and our opinion regarding the effectiveness of the Company’s internal control over financial reporting does not affect our opinion on those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3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3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9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rPr>
          <w:sz w:val="20"/>
          <w:szCs w:val="20"/>
          <w:color w:val="auto"/>
        </w:rPr>
      </w:pPr>
      <w:r>
        <w:rPr>
          <w:rFonts w:ascii="Arial" w:cs="Arial" w:eastAsia="Arial" w:hAnsi="Arial"/>
          <w:sz w:val="18"/>
          <w:szCs w:val="18"/>
          <w:color w:val="auto"/>
        </w:rPr>
        <w:t>March 16, 2020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1996.</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5"/>
        </w:trPr>
        <w:tc>
          <w:tcPr>
            <w:tcW w:w="8680" w:type="dxa"/>
            <w:vAlign w:val="bottom"/>
          </w:tcPr>
          <w:p>
            <w:pPr>
              <w:jc w:val="center"/>
              <w:ind w:left="2490"/>
              <w:spacing w:after="0"/>
              <w:rPr>
                <w:sz w:val="20"/>
                <w:szCs w:val="20"/>
                <w:color w:val="auto"/>
              </w:rPr>
            </w:pPr>
            <w:r>
              <w:rPr>
                <w:rFonts w:ascii="Arial" w:cs="Arial" w:eastAsia="Arial" w:hAnsi="Arial"/>
                <w:sz w:val="18"/>
                <w:szCs w:val="18"/>
                <w:b w:val="1"/>
                <w:bCs w:val="1"/>
                <w:color w:val="auto"/>
              </w:rPr>
              <w:t>TRANSACT TECHNOLOGIES INCORPORATED</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9"/>
              </w:rPr>
              <w:t>CONSOLIDATED BALANCE SHEETS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90"/>
              <w:spacing w:after="0"/>
              <w:rPr>
                <w:sz w:val="20"/>
                <w:szCs w:val="20"/>
                <w:color w:val="auto"/>
              </w:rPr>
            </w:pPr>
            <w:r>
              <w:rPr>
                <w:rFonts w:ascii="Arial" w:cs="Arial" w:eastAsia="Arial" w:hAnsi="Arial"/>
                <w:sz w:val="18"/>
                <w:szCs w:val="18"/>
                <w:b w:val="1"/>
                <w:bCs w:val="1"/>
                <w:color w:val="auto"/>
                <w:w w:val="88"/>
              </w:rPr>
              <w:t>(In thousands, except share data)</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8680" w:type="dxa"/>
            <w:vAlign w:val="bottom"/>
          </w:tcPr>
          <w:p>
            <w:pPr>
              <w:spacing w:after="0"/>
              <w:rPr>
                <w:sz w:val="24"/>
                <w:szCs w:val="24"/>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w w:val="91"/>
              </w:rPr>
              <w:t>December 31,</w:t>
            </w:r>
          </w:p>
        </w:tc>
        <w:tc>
          <w:tcPr>
            <w:tcW w:w="100" w:type="dxa"/>
            <w:vAlign w:val="bottom"/>
          </w:tcPr>
          <w:p>
            <w:pPr>
              <w:spacing w:after="0"/>
              <w:rPr>
                <w:sz w:val="24"/>
                <w:szCs w:val="24"/>
                <w:color w:val="auto"/>
              </w:rPr>
            </w:pPr>
          </w:p>
        </w:tc>
        <w:tc>
          <w:tcPr>
            <w:tcW w:w="1220" w:type="dxa"/>
            <w:vAlign w:val="bottom"/>
            <w:gridSpan w:val="2"/>
          </w:tcPr>
          <w:p>
            <w:pPr>
              <w:jc w:val="right"/>
              <w:ind w:right="7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1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2"/>
        </w:trPr>
        <w:tc>
          <w:tcPr>
            <w:tcW w:w="8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4,203</w:t>
            </w:r>
          </w:p>
        </w:tc>
        <w:tc>
          <w:tcPr>
            <w:tcW w:w="3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4,691</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6,418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8,025</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Note receivable</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12,099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12,835</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Prepaid income taxes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09"/>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998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24,915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27,037</w:t>
            </w: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Fixed assets, net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2,244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Right-of-use asset</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2,855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2,621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2,565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0"/>
        </w:trPr>
        <w:tc>
          <w:tcPr>
            <w:tcW w:w="868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11,146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7,919</w:t>
            </w: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36,061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34,956</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2,960</w:t>
            </w:r>
          </w:p>
        </w:tc>
        <w:tc>
          <w:tcPr>
            <w:tcW w:w="3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3,041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Lease liability</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945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0"/>
        </w:trPr>
        <w:tc>
          <w:tcPr>
            <w:tcW w:w="8680" w:type="dxa"/>
            <w:vAlign w:val="bottom"/>
          </w:tcPr>
          <w:p>
            <w:pPr>
              <w:ind w:left="340"/>
              <w:spacing w:after="0" w:line="202" w:lineRule="exact"/>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7,646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6,632</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Deferred revenue, net of current portion</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219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 liability, net of current portion</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2,104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Deferred rent, net of current portion</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2,489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10,135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7,389</w:t>
            </w: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Commitments and contingencies (Note 15)</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Preferred stock, $0.01 value, 4,800,000 authorized, none issued and outstanding</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Preferred stock, Series A, $0.01 par value, 200,000 authorized, none issued and outstanding</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8680" w:type="dxa"/>
            <w:vAlign w:val="bottom"/>
          </w:tcPr>
          <w:p>
            <w:pPr>
              <w:ind w:left="180"/>
              <w:spacing w:after="0" w:line="149" w:lineRule="exact"/>
              <w:rPr>
                <w:sz w:val="20"/>
                <w:szCs w:val="20"/>
                <w:color w:val="auto"/>
              </w:rPr>
            </w:pPr>
            <w:r>
              <w:rPr>
                <w:rFonts w:ascii="Arial" w:cs="Arial" w:eastAsia="Arial" w:hAnsi="Arial"/>
                <w:sz w:val="17"/>
                <w:szCs w:val="17"/>
                <w:color w:val="auto"/>
              </w:rPr>
              <w:t>Common stock, $0.01 par value, 20,000,000 authorized at December 31, 2019 and 2018; 11,515,090 and</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680" w:type="dxa"/>
            <w:vAlign w:val="bottom"/>
          </w:tcPr>
          <w:p>
            <w:pPr>
              <w:ind w:left="340"/>
              <w:spacing w:after="0" w:line="176" w:lineRule="exact"/>
              <w:rPr>
                <w:sz w:val="20"/>
                <w:szCs w:val="20"/>
                <w:color w:val="auto"/>
              </w:rPr>
            </w:pPr>
            <w:r>
              <w:rPr>
                <w:rFonts w:ascii="Arial" w:cs="Arial" w:eastAsia="Arial" w:hAnsi="Arial"/>
                <w:sz w:val="18"/>
                <w:szCs w:val="18"/>
                <w:color w:val="auto"/>
                <w:w w:val="98"/>
              </w:rPr>
              <w:t>11,463,141 shares issued; 7,470,248 and 7,418,299 shares outstanding, at December 31, 2019 and 2018,</w:t>
            </w:r>
          </w:p>
        </w:tc>
        <w:tc>
          <w:tcPr>
            <w:tcW w:w="240" w:type="dxa"/>
            <w:vAlign w:val="bottom"/>
          </w:tcPr>
          <w:p>
            <w:pPr>
              <w:spacing w:after="0"/>
              <w:rPr>
                <w:sz w:val="15"/>
                <w:szCs w:val="15"/>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2"/>
        </w:trPr>
        <w:tc>
          <w:tcPr>
            <w:tcW w:w="8680" w:type="dxa"/>
            <w:vAlign w:val="bottom"/>
          </w:tcPr>
          <w:p>
            <w:pPr>
              <w:ind w:left="340"/>
              <w:spacing w:after="0" w:line="202" w:lineRule="exact"/>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32,604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32,129</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25,348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27,515</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Accumulated other comprehensive loss, net of tax</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Treasury stock, 4,044,842 shares, at cost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(32,110)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(32,110)</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25,926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27,567</w:t>
            </w: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Total liabilities and shareholders’ equity</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36,061</w:t>
            </w:r>
          </w:p>
        </w:tc>
        <w:tc>
          <w:tcPr>
            <w:tcW w:w="3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34,956</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TRANSACT TECHNOLOGIES INCORPORATED</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INCOME</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color w:val="auto"/>
              </w:rPr>
              <w:t>Year Ended December 31,</w:t>
            </w:r>
          </w:p>
        </w:tc>
        <w:tc>
          <w:tcPr>
            <w:tcW w:w="960" w:type="dxa"/>
            <w:vAlign w:val="bottom"/>
            <w:tcBorders>
              <w:bottom w:val="single" w:sz="8" w:color="auto"/>
            </w:tcBorders>
          </w:tcPr>
          <w:p>
            <w:pPr>
              <w:spacing w:after="0"/>
              <w:rPr>
                <w:sz w:val="18"/>
                <w:szCs w:val="18"/>
                <w:color w:val="auto"/>
              </w:rPr>
            </w:pPr>
          </w:p>
        </w:tc>
      </w:tr>
      <w:tr>
        <w:trPr>
          <w:trHeight w:val="209"/>
        </w:trPr>
        <w:tc>
          <w:tcPr>
            <w:tcW w:w="45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2017</w:t>
            </w:r>
          </w:p>
        </w:tc>
      </w:tr>
      <w:tr>
        <w:trPr>
          <w:trHeight w:val="203"/>
        </w:trPr>
        <w:tc>
          <w:tcPr>
            <w:tcW w:w="4500" w:type="dxa"/>
            <w:vAlign w:val="bottom"/>
          </w:tcPr>
          <w:p>
            <w:pPr>
              <w:spacing w:after="0"/>
              <w:rPr>
                <w:sz w:val="17"/>
                <w:szCs w:val="17"/>
                <w:color w:val="auto"/>
              </w:rPr>
            </w:pPr>
          </w:p>
        </w:tc>
        <w:tc>
          <w:tcPr>
            <w:tcW w:w="306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30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45,748</w:t>
            </w:r>
          </w:p>
        </w:tc>
        <w:tc>
          <w:tcPr>
            <w:tcW w:w="3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54,587</w:t>
            </w:r>
          </w:p>
        </w:tc>
        <w:tc>
          <w:tcPr>
            <w:tcW w:w="36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56,311</w:t>
            </w:r>
          </w:p>
        </w:tc>
      </w:tr>
      <w:tr>
        <w:trPr>
          <w:trHeight w:val="210"/>
        </w:trPr>
        <w:tc>
          <w:tcPr>
            <w:tcW w:w="450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2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23,813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27,844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29,649</w:t>
            </w:r>
          </w:p>
        </w:tc>
      </w:tr>
      <w:tr>
        <w:trPr>
          <w:trHeight w:val="203"/>
        </w:trPr>
        <w:tc>
          <w:tcPr>
            <w:tcW w:w="45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9"/>
        </w:trPr>
        <w:tc>
          <w:tcPr>
            <w:tcW w:w="450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2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21,935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26,743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26,662</w:t>
            </w:r>
          </w:p>
        </w:tc>
      </w:tr>
      <w:tr>
        <w:trPr>
          <w:trHeight w:val="203"/>
        </w:trPr>
        <w:tc>
          <w:tcPr>
            <w:tcW w:w="45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Engineering, design and product development</w:t>
            </w: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4,393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4,576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4,303</w:t>
            </w:r>
          </w:p>
        </w:tc>
      </w:tr>
      <w:tr>
        <w:trPr>
          <w:trHeight w:val="203"/>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Selling and marketing</w:t>
            </w: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8,033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7,203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7,561</w:t>
            </w:r>
          </w:p>
        </w:tc>
      </w:tr>
      <w:tr>
        <w:trPr>
          <w:trHeight w:val="209"/>
        </w:trPr>
        <w:tc>
          <w:tcPr>
            <w:tcW w:w="450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28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9,166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8,205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7,984</w:t>
            </w:r>
          </w:p>
        </w:tc>
      </w:tr>
      <w:tr>
        <w:trPr>
          <w:trHeight w:val="210"/>
        </w:trPr>
        <w:tc>
          <w:tcPr>
            <w:tcW w:w="45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21,592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19,984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19,848</w:t>
            </w:r>
          </w:p>
        </w:tc>
      </w:tr>
      <w:tr>
        <w:trPr>
          <w:trHeight w:val="203"/>
        </w:trPr>
        <w:tc>
          <w:tcPr>
            <w:tcW w:w="45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9"/>
        </w:trPr>
        <w:tc>
          <w:tcPr>
            <w:tcW w:w="450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2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343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6,759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6,814</w:t>
            </w: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and other income (expense):</w:t>
            </w: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r>
      <w:tr>
        <w:trPr>
          <w:trHeight w:val="203"/>
        </w:trPr>
        <w:tc>
          <w:tcPr>
            <w:tcW w:w="4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10"/>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Other, net</w:t>
            </w:r>
          </w:p>
        </w:tc>
        <w:tc>
          <w:tcPr>
            <w:tcW w:w="2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9"/>
        </w:trPr>
        <w:tc>
          <w:tcPr>
            <w:tcW w:w="4500" w:type="dxa"/>
            <w:vAlign w:val="bottom"/>
            <w:tcBorders>
              <w:bottom w:val="single" w:sz="8" w:color="CCEEFF"/>
            </w:tcBorders>
            <w:shd w:val="clear" w:color="auto" w:fill="CCEEFF"/>
          </w:tcPr>
          <w:p>
            <w:pPr>
              <w:spacing w:after="0"/>
              <w:rPr>
                <w:sz w:val="18"/>
                <w:szCs w:val="18"/>
                <w:color w:val="auto"/>
              </w:rPr>
            </w:pPr>
          </w:p>
        </w:tc>
        <w:tc>
          <w:tcPr>
            <w:tcW w:w="28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w:t>
            </w:r>
          </w:p>
        </w:tc>
      </w:tr>
      <w:tr>
        <w:trPr>
          <w:trHeight w:val="203"/>
        </w:trPr>
        <w:tc>
          <w:tcPr>
            <w:tcW w:w="45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6,466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6,772</w:t>
            </w:r>
          </w:p>
        </w:tc>
      </w:tr>
      <w:tr>
        <w:trPr>
          <w:trHeight w:val="209"/>
        </w:trPr>
        <w:tc>
          <w:tcPr>
            <w:tcW w:w="4500" w:type="dxa"/>
            <w:vAlign w:val="bottom"/>
          </w:tcPr>
          <w:p>
            <w:pPr>
              <w:spacing w:after="0" w:line="202" w:lineRule="exact"/>
              <w:rPr>
                <w:sz w:val="20"/>
                <w:szCs w:val="20"/>
                <w:color w:val="auto"/>
              </w:rPr>
            </w:pPr>
            <w:r>
              <w:rPr>
                <w:rFonts w:ascii="Arial" w:cs="Arial" w:eastAsia="Arial" w:hAnsi="Arial"/>
                <w:sz w:val="18"/>
                <w:szCs w:val="18"/>
                <w:color w:val="auto"/>
              </w:rPr>
              <w:t>Income tax (benefit) provision</w:t>
            </w:r>
          </w:p>
        </w:tc>
        <w:tc>
          <w:tcPr>
            <w:tcW w:w="2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1,040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3,561</w:t>
            </w:r>
          </w:p>
        </w:tc>
      </w:tr>
      <w:tr>
        <w:trPr>
          <w:trHeight w:val="243"/>
        </w:trPr>
        <w:tc>
          <w:tcPr>
            <w:tcW w:w="45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5,426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3,211</w:t>
            </w:r>
          </w:p>
        </w:tc>
      </w:tr>
      <w:tr>
        <w:trPr>
          <w:trHeight w:val="196"/>
        </w:trPr>
        <w:tc>
          <w:tcPr>
            <w:tcW w:w="45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per common share:</w:t>
            </w: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Basic</w:t>
            </w:r>
          </w:p>
        </w:tc>
        <w:tc>
          <w:tcPr>
            <w:tcW w:w="30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0.07</w:t>
            </w:r>
          </w:p>
        </w:tc>
        <w:tc>
          <w:tcPr>
            <w:tcW w:w="3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0.73</w:t>
            </w:r>
          </w:p>
        </w:tc>
        <w:tc>
          <w:tcPr>
            <w:tcW w:w="3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0.43</w:t>
            </w:r>
          </w:p>
        </w:tc>
      </w:tr>
      <w:tr>
        <w:trPr>
          <w:trHeight w:val="203"/>
        </w:trPr>
        <w:tc>
          <w:tcPr>
            <w:tcW w:w="4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Diluted</w:t>
            </w:r>
          </w:p>
        </w:tc>
        <w:tc>
          <w:tcPr>
            <w:tcW w:w="30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0.07</w:t>
            </w:r>
          </w:p>
        </w:tc>
        <w:tc>
          <w:tcPr>
            <w:tcW w:w="3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0.70</w:t>
            </w:r>
          </w:p>
        </w:tc>
        <w:tc>
          <w:tcPr>
            <w:tcW w:w="36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0.42</w:t>
            </w:r>
          </w:p>
        </w:tc>
      </w:tr>
      <w:tr>
        <w:trPr>
          <w:trHeight w:val="203"/>
        </w:trPr>
        <w:tc>
          <w:tcPr>
            <w:tcW w:w="45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used in per-share calculation:</w:t>
            </w: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Basic</w:t>
            </w: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7,466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7,444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7,423</w:t>
            </w:r>
          </w:p>
        </w:tc>
      </w:tr>
      <w:tr>
        <w:trPr>
          <w:trHeight w:val="203"/>
        </w:trPr>
        <w:tc>
          <w:tcPr>
            <w:tcW w:w="4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Diluted</w:t>
            </w: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7,677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7,759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7,592</w:t>
            </w:r>
          </w:p>
        </w:tc>
      </w:tr>
      <w:tr>
        <w:trPr>
          <w:trHeight w:val="203"/>
        </w:trPr>
        <w:tc>
          <w:tcPr>
            <w:tcW w:w="4500" w:type="dxa"/>
            <w:vAlign w:val="bottom"/>
          </w:tcPr>
          <w:p>
            <w:pPr>
              <w:spacing w:after="0"/>
              <w:rPr>
                <w:sz w:val="17"/>
                <w:szCs w:val="17"/>
                <w:color w:val="auto"/>
              </w:rPr>
            </w:pPr>
          </w:p>
        </w:tc>
        <w:tc>
          <w:tcPr>
            <w:tcW w:w="306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declared and paid per common share:</w:t>
            </w:r>
          </w:p>
        </w:tc>
        <w:tc>
          <w:tcPr>
            <w:tcW w:w="30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0.36</w:t>
            </w:r>
          </w:p>
        </w:tc>
        <w:tc>
          <w:tcPr>
            <w:tcW w:w="3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0.36</w:t>
            </w:r>
          </w:p>
        </w:tc>
        <w:tc>
          <w:tcPr>
            <w:tcW w:w="36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0.35</w:t>
            </w:r>
          </w:p>
        </w:tc>
      </w:tr>
      <w:tr>
        <w:trPr>
          <w:trHeight w:val="378"/>
        </w:trPr>
        <w:tc>
          <w:tcPr>
            <w:tcW w:w="8580" w:type="dxa"/>
            <w:vAlign w:val="bottom"/>
            <w:gridSpan w:val="4"/>
          </w:tcPr>
          <w:p>
            <w:pPr>
              <w:ind w:left="3340"/>
              <w:spacing w:after="0"/>
              <w:rPr>
                <w:sz w:val="20"/>
                <w:szCs w:val="20"/>
                <w:color w:val="auto"/>
              </w:rPr>
            </w:pPr>
            <w:r>
              <w:rPr>
                <w:rFonts w:ascii="Arial" w:cs="Arial" w:eastAsia="Arial" w:hAnsi="Arial"/>
                <w:sz w:val="18"/>
                <w:szCs w:val="18"/>
                <w:color w:val="auto"/>
              </w:rPr>
              <w:t>See accompanying notes to Consolidated Financial Statements.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74"/>
        </w:trPr>
        <w:tc>
          <w:tcPr>
            <w:tcW w:w="4500" w:type="dxa"/>
            <w:vAlign w:val="bottom"/>
          </w:tcPr>
          <w:p>
            <w:pPr>
              <w:spacing w:after="0"/>
              <w:rPr>
                <w:sz w:val="24"/>
                <w:szCs w:val="24"/>
                <w:color w:val="auto"/>
              </w:rPr>
            </w:pPr>
          </w:p>
        </w:tc>
        <w:tc>
          <w:tcPr>
            <w:tcW w:w="3060" w:type="dxa"/>
            <w:vAlign w:val="bottom"/>
            <w:gridSpan w:val="2"/>
          </w:tcPr>
          <w:p>
            <w:pPr>
              <w:jc w:val="right"/>
              <w:ind w:right="1750"/>
              <w:spacing w:after="0"/>
              <w:rPr>
                <w:sz w:val="20"/>
                <w:szCs w:val="20"/>
                <w:color w:val="auto"/>
              </w:rPr>
            </w:pPr>
            <w:r>
              <w:rPr>
                <w:rFonts w:ascii="Arial" w:cs="Arial" w:eastAsia="Arial" w:hAnsi="Arial"/>
                <w:sz w:val="14"/>
                <w:szCs w:val="14"/>
                <w:color w:val="auto"/>
              </w:rPr>
              <w:t>F-5</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6"/>
        </w:trPr>
        <w:tc>
          <w:tcPr>
            <w:tcW w:w="450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96"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TRANSACT TECHNOLOGIES INCORPORATED</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5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color w:val="auto"/>
                <w:w w:val="94"/>
              </w:rPr>
              <w:t>Year Ended December 31,</w:t>
            </w:r>
          </w:p>
        </w:tc>
        <w:tc>
          <w:tcPr>
            <w:tcW w:w="960" w:type="dxa"/>
            <w:vAlign w:val="bottom"/>
            <w:tcBorders>
              <w:bottom w:val="single" w:sz="8" w:color="auto"/>
            </w:tcBorders>
          </w:tcPr>
          <w:p>
            <w:pPr>
              <w:spacing w:after="0"/>
              <w:rPr>
                <w:sz w:val="18"/>
                <w:szCs w:val="18"/>
                <w:color w:val="auto"/>
              </w:rPr>
            </w:pPr>
          </w:p>
        </w:tc>
      </w:tr>
      <w:tr>
        <w:trPr>
          <w:trHeight w:val="209"/>
        </w:trPr>
        <w:tc>
          <w:tcPr>
            <w:tcW w:w="25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2019</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2017</w:t>
            </w:r>
          </w:p>
        </w:tc>
      </w:tr>
      <w:tr>
        <w:trPr>
          <w:trHeight w:val="203"/>
        </w:trPr>
        <w:tc>
          <w:tcPr>
            <w:tcW w:w="2520" w:type="dxa"/>
            <w:vAlign w:val="bottom"/>
          </w:tcPr>
          <w:p>
            <w:pPr>
              <w:spacing w:after="0"/>
              <w:rPr>
                <w:sz w:val="17"/>
                <w:szCs w:val="17"/>
                <w:color w:val="auto"/>
              </w:rPr>
            </w:pPr>
          </w:p>
        </w:tc>
        <w:tc>
          <w:tcPr>
            <w:tcW w:w="562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5620" w:type="dxa"/>
            <w:vAlign w:val="bottom"/>
            <w:gridSpan w:val="2"/>
            <w:shd w:val="clear" w:color="auto" w:fill="CCEEFF"/>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9"/>
              </w:rPr>
              <w:t>516</w:t>
            </w:r>
          </w:p>
        </w:tc>
        <w:tc>
          <w:tcPr>
            <w:tcW w:w="3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5,426</w:t>
            </w:r>
          </w:p>
        </w:tc>
        <w:tc>
          <w:tcPr>
            <w:tcW w:w="36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3,211</w:t>
            </w:r>
          </w:p>
        </w:tc>
      </w:tr>
      <w:tr>
        <w:trPr>
          <w:trHeight w:val="210"/>
        </w:trPr>
        <w:tc>
          <w:tcPr>
            <w:tcW w:w="732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translation adjustment, net of tax</w:t>
            </w: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10</w:t>
            </w:r>
          </w:p>
        </w:tc>
      </w:tr>
      <w:tr>
        <w:trPr>
          <w:trHeight w:val="203"/>
        </w:trPr>
        <w:tc>
          <w:tcPr>
            <w:tcW w:w="25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2520" w:type="dxa"/>
            <w:vAlign w:val="bottom"/>
          </w:tcPr>
          <w:p>
            <w:pPr>
              <w:spacing w:after="0" w:line="202" w:lineRule="exact"/>
              <w:rPr>
                <w:sz w:val="20"/>
                <w:szCs w:val="20"/>
                <w:color w:val="auto"/>
              </w:rPr>
            </w:pPr>
            <w:r>
              <w:rPr>
                <w:rFonts w:ascii="Arial" w:cs="Arial" w:eastAsia="Arial" w:hAnsi="Arial"/>
                <w:sz w:val="18"/>
                <w:szCs w:val="18"/>
                <w:color w:val="auto"/>
              </w:rPr>
              <w:t>Comprehensive income</w:t>
            </w:r>
          </w:p>
        </w:tc>
        <w:tc>
          <w:tcPr>
            <w:tcW w:w="4800" w:type="dxa"/>
            <w:vAlign w:val="bottom"/>
          </w:tcPr>
          <w:p>
            <w:pPr>
              <w:spacing w:after="0"/>
              <w:rPr>
                <w:sz w:val="17"/>
                <w:szCs w:val="17"/>
                <w:color w:val="auto"/>
              </w:rPr>
            </w:pPr>
          </w:p>
        </w:tc>
        <w:tc>
          <w:tcPr>
            <w:tcW w:w="820" w:type="dxa"/>
            <w:vAlign w:val="bottom"/>
            <w:tcBorders>
              <w:bottom w:val="single" w:sz="8" w:color="auto"/>
            </w:tcBorders>
          </w:tcPr>
          <w:p>
            <w:pPr>
              <w:jc w:val="right"/>
              <w:ind w:right="630"/>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w w:val="99"/>
              </w:rPr>
              <w:t>567</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5,443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3,221</w:t>
            </w:r>
          </w:p>
        </w:tc>
      </w:tr>
      <w:tr>
        <w:trPr>
          <w:trHeight w:val="20"/>
        </w:trPr>
        <w:tc>
          <w:tcPr>
            <w:tcW w:w="25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72"/>
        </w:trPr>
        <w:tc>
          <w:tcPr>
            <w:tcW w:w="2520" w:type="dxa"/>
            <w:vAlign w:val="bottom"/>
          </w:tcPr>
          <w:p>
            <w:pPr>
              <w:spacing w:after="0"/>
              <w:rPr>
                <w:sz w:val="24"/>
                <w:szCs w:val="24"/>
                <w:color w:val="auto"/>
              </w:rPr>
            </w:pPr>
          </w:p>
        </w:tc>
        <w:tc>
          <w:tcPr>
            <w:tcW w:w="5620" w:type="dxa"/>
            <w:vAlign w:val="bottom"/>
            <w:gridSpan w:val="2"/>
          </w:tcPr>
          <w:p>
            <w:pPr>
              <w:jc w:val="right"/>
              <w:ind w:right="150"/>
              <w:spacing w:after="0"/>
              <w:rPr>
                <w:sz w:val="20"/>
                <w:szCs w:val="20"/>
                <w:color w:val="auto"/>
              </w:rPr>
            </w:pPr>
            <w:r>
              <w:rPr>
                <w:rFonts w:ascii="Arial" w:cs="Arial" w:eastAsia="Arial" w:hAnsi="Arial"/>
                <w:sz w:val="18"/>
                <w:szCs w:val="18"/>
                <w:color w:val="auto"/>
              </w:rPr>
              <w:t>See accompanying notes to Consolidated Financial Statements.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74"/>
        </w:trPr>
        <w:tc>
          <w:tcPr>
            <w:tcW w:w="2520" w:type="dxa"/>
            <w:vAlign w:val="bottom"/>
          </w:tcPr>
          <w:p>
            <w:pPr>
              <w:spacing w:after="0"/>
              <w:rPr>
                <w:sz w:val="24"/>
                <w:szCs w:val="24"/>
                <w:color w:val="auto"/>
              </w:rPr>
            </w:pPr>
          </w:p>
        </w:tc>
        <w:tc>
          <w:tcPr>
            <w:tcW w:w="5620" w:type="dxa"/>
            <w:vAlign w:val="bottom"/>
            <w:gridSpan w:val="2"/>
          </w:tcPr>
          <w:p>
            <w:pPr>
              <w:jc w:val="right"/>
              <w:ind w:right="2330"/>
              <w:spacing w:after="0"/>
              <w:rPr>
                <w:sz w:val="20"/>
                <w:szCs w:val="20"/>
                <w:color w:val="auto"/>
              </w:rPr>
            </w:pPr>
            <w:r>
              <w:rPr>
                <w:rFonts w:ascii="Arial" w:cs="Arial" w:eastAsia="Arial" w:hAnsi="Arial"/>
                <w:sz w:val="14"/>
                <w:szCs w:val="14"/>
                <w:color w:val="auto"/>
              </w:rPr>
              <w:t>F-6</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6"/>
        </w:trPr>
        <w:tc>
          <w:tcPr>
            <w:tcW w:w="252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96" w:right="339" w:bottom="1440" w:gutter="0" w:footer="0" w:header="0"/>
        </w:sectPr>
      </w:pPr>
    </w:p>
    <w:bookmarkStart w:id="42" w:name="page43"/>
    <w:bookmarkEnd w:id="42"/>
    <w:p>
      <w:pPr>
        <w:jc w:val="center"/>
        <w:spacing w:after="0" w:line="226" w:lineRule="auto"/>
        <w:rPr>
          <w:sz w:val="20"/>
          <w:szCs w:val="20"/>
          <w:color w:val="auto"/>
        </w:rPr>
      </w:pPr>
      <w:r>
        <w:rPr>
          <w:rFonts w:ascii="Arial" w:cs="Arial" w:eastAsia="Arial" w:hAnsi="Arial"/>
          <w:sz w:val="18"/>
          <w:szCs w:val="18"/>
          <w:b w:val="1"/>
          <w:bCs w:val="1"/>
          <w:color w:val="auto"/>
        </w:rPr>
        <w:t>TRANSACT TECHNOLOGIES INCORPORATED CONSOLIDATED STATEMENTS OF CHANGES IN SHAREHOLDERS’ EQUITY (In thousands, except share data)</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restart"/>
          </w:tcPr>
          <w:p>
            <w:pPr>
              <w:spacing w:after="0"/>
              <w:rPr>
                <w:sz w:val="20"/>
                <w:szCs w:val="20"/>
                <w:color w:val="auto"/>
              </w:rPr>
            </w:pPr>
            <w:r>
              <w:rPr>
                <w:rFonts w:ascii="Arial" w:cs="Arial" w:eastAsia="Arial" w:hAnsi="Arial"/>
                <w:sz w:val="18"/>
                <w:szCs w:val="18"/>
                <w:color w:val="auto"/>
              </w:rPr>
              <w:t>Additional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0"/>
              <w:spacing w:after="0"/>
              <w:rPr>
                <w:sz w:val="20"/>
                <w:szCs w:val="20"/>
                <w:color w:val="auto"/>
              </w:rPr>
            </w:pPr>
            <w:r>
              <w:rPr>
                <w:rFonts w:ascii="Arial" w:cs="Arial" w:eastAsia="Arial" w:hAnsi="Arial"/>
                <w:sz w:val="18"/>
                <w:szCs w:val="18"/>
                <w:color w:val="auto"/>
                <w:w w:val="92"/>
              </w:rPr>
              <w:t>Accumulated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5"/>
                <w:szCs w:val="15"/>
                <w:color w:val="auto"/>
              </w:rPr>
            </w:pPr>
          </w:p>
        </w:tc>
        <w:tc>
          <w:tcPr>
            <w:tcW w:w="1920" w:type="dxa"/>
            <w:vAlign w:val="bottom"/>
            <w:gridSpan w:val="4"/>
            <w:vMerge w:val="restart"/>
          </w:tcPr>
          <w:p>
            <w:pPr>
              <w:jc w:val="right"/>
              <w:ind w:right="35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8"/>
                <w:szCs w:val="18"/>
                <w:color w:val="auto"/>
              </w:rPr>
              <w:t>Retained</w:t>
            </w:r>
          </w:p>
        </w:tc>
        <w:tc>
          <w:tcPr>
            <w:tcW w:w="88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w w:val="95"/>
              </w:rPr>
              <w:t>Treasury</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88"/>
              </w:rPr>
              <w:t>Other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ind w:right="2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4"/>
        </w:trPr>
        <w:tc>
          <w:tcPr>
            <w:tcW w:w="4020" w:type="dxa"/>
            <w:vAlign w:val="bottom"/>
          </w:tcPr>
          <w:p>
            <w:pPr>
              <w:spacing w:after="0"/>
              <w:rPr>
                <w:sz w:val="18"/>
                <w:szCs w:val="18"/>
                <w:color w:val="auto"/>
              </w:rPr>
            </w:pPr>
          </w:p>
        </w:tc>
        <w:tc>
          <w:tcPr>
            <w:tcW w:w="1920" w:type="dxa"/>
            <w:vAlign w:val="bottom"/>
            <w:tcBorders>
              <w:bottom w:val="single" w:sz="8" w:color="auto"/>
            </w:tcBorders>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92"/>
              </w:rPr>
              <w:t>Paid-in</w:t>
            </w:r>
          </w:p>
        </w:tc>
        <w:tc>
          <w:tcPr>
            <w:tcW w:w="100" w:type="dxa"/>
            <w:vAlign w:val="bottom"/>
          </w:tcPr>
          <w:p>
            <w:pPr>
              <w:spacing w:after="0"/>
              <w:rPr>
                <w:sz w:val="18"/>
                <w:szCs w:val="18"/>
                <w:color w:val="auto"/>
              </w:rPr>
            </w:pPr>
          </w:p>
        </w:tc>
        <w:tc>
          <w:tcPr>
            <w:tcW w:w="980" w:type="dxa"/>
            <w:vAlign w:val="bottom"/>
            <w:gridSpan w:val="4"/>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0"/>
              <w:spacing w:after="0" w:line="202" w:lineRule="exact"/>
              <w:rPr>
                <w:sz w:val="20"/>
                <w:szCs w:val="20"/>
                <w:color w:val="auto"/>
              </w:rPr>
            </w:pPr>
            <w:r>
              <w:rPr>
                <w:rFonts w:ascii="Arial" w:cs="Arial" w:eastAsia="Arial" w:hAnsi="Arial"/>
                <w:sz w:val="18"/>
                <w:szCs w:val="18"/>
                <w:color w:val="auto"/>
                <w:w w:val="88"/>
              </w:rPr>
              <w:t>Comprehensive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tcPr>
          <w:p>
            <w:pPr>
              <w:spacing w:after="0"/>
              <w:rPr>
                <w:sz w:val="18"/>
                <w:szCs w:val="18"/>
                <w:color w:val="auto"/>
              </w:rPr>
            </w:pPr>
          </w:p>
        </w:tc>
        <w:tc>
          <w:tcPr>
            <w:tcW w:w="9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3"/>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18"/>
                <w:szCs w:val="18"/>
                <w:color w:val="auto"/>
              </w:rPr>
            </w:pPr>
          </w:p>
        </w:tc>
        <w:tc>
          <w:tcPr>
            <w:tcW w:w="98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Earnings</w:t>
            </w:r>
          </w:p>
        </w:tc>
        <w:tc>
          <w:tcPr>
            <w:tcW w:w="140" w:type="dxa"/>
            <w:vAlign w:val="bottom"/>
          </w:tcPr>
          <w:p>
            <w:pPr>
              <w:spacing w:after="0"/>
              <w:rPr>
                <w:sz w:val="18"/>
                <w:szCs w:val="18"/>
                <w:color w:val="auto"/>
              </w:rPr>
            </w:pPr>
          </w:p>
        </w:tc>
        <w:tc>
          <w:tcPr>
            <w:tcW w:w="74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7"/>
              </w:rPr>
              <w:t>Stock</w:t>
            </w:r>
          </w:p>
        </w:tc>
        <w:tc>
          <w:tcPr>
            <w:tcW w:w="120" w:type="dxa"/>
            <w:vAlign w:val="bottom"/>
          </w:tcPr>
          <w:p>
            <w:pPr>
              <w:spacing w:after="0"/>
              <w:rPr>
                <w:sz w:val="18"/>
                <w:szCs w:val="18"/>
                <w:color w:val="auto"/>
              </w:rPr>
            </w:pPr>
          </w:p>
        </w:tc>
        <w:tc>
          <w:tcPr>
            <w:tcW w:w="1240" w:type="dxa"/>
            <w:vAlign w:val="bottom"/>
            <w:gridSpan w:val="2"/>
          </w:tcPr>
          <w:p>
            <w:pPr>
              <w:jc w:val="center"/>
              <w:ind w:right="30"/>
              <w:spacing w:after="0" w:line="202" w:lineRule="exact"/>
              <w:rPr>
                <w:sz w:val="20"/>
                <w:szCs w:val="20"/>
                <w:color w:val="auto"/>
              </w:rPr>
            </w:pPr>
            <w:r>
              <w:rPr>
                <w:rFonts w:ascii="Arial" w:cs="Arial" w:eastAsia="Arial" w:hAnsi="Arial"/>
                <w:sz w:val="18"/>
                <w:szCs w:val="18"/>
                <w:color w:val="auto"/>
                <w:w w:val="91"/>
              </w:rPr>
              <w:t>Income (Loss)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2016</w:t>
            </w:r>
          </w:p>
        </w:tc>
        <w:tc>
          <w:tcPr>
            <w:tcW w:w="94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7,333,364</w:t>
            </w: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29,701</w:t>
            </w: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24,157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(29,752)</w:t>
            </w:r>
          </w:p>
        </w:tc>
        <w:tc>
          <w:tcPr>
            <w:tcW w:w="1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24,109</w:t>
            </w:r>
          </w:p>
        </w:tc>
        <w:tc>
          <w:tcPr>
            <w:tcW w:w="0" w:type="dxa"/>
            <w:vAlign w:val="bottom"/>
          </w:tcPr>
          <w:p>
            <w:pPr>
              <w:spacing w:after="0"/>
              <w:rPr>
                <w:sz w:val="1"/>
                <w:szCs w:val="1"/>
                <w:color w:val="auto"/>
              </w:rPr>
            </w:pPr>
          </w:p>
        </w:tc>
      </w:tr>
      <w:tr>
        <w:trPr>
          <w:trHeight w:val="203"/>
        </w:trPr>
        <w:tc>
          <w:tcPr>
            <w:tcW w:w="4020" w:type="dxa"/>
            <w:vAlign w:val="bottom"/>
          </w:tcPr>
          <w:p>
            <w:pPr>
              <w:ind w:left="180"/>
              <w:spacing w:after="0" w:line="202" w:lineRule="exact"/>
              <w:rPr>
                <w:sz w:val="20"/>
                <w:szCs w:val="20"/>
                <w:color w:val="auto"/>
              </w:rPr>
            </w:pPr>
            <w:r>
              <w:rPr>
                <w:rFonts w:ascii="Arial" w:cs="Arial" w:eastAsia="Arial" w:hAnsi="Arial"/>
                <w:sz w:val="18"/>
                <w:szCs w:val="18"/>
                <w:color w:val="auto"/>
                <w:w w:val="96"/>
              </w:rPr>
              <w:t>Issuance of shares from exercise of stock options</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166,600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3"/>
              </w:rPr>
              <w:t>Issuance of common stock on restricted stock units</w:t>
            </w: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8,300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20" w:type="dxa"/>
            <w:vAlign w:val="bottom"/>
          </w:tcPr>
          <w:p>
            <w:pPr>
              <w:ind w:left="180"/>
              <w:spacing w:after="0" w:line="202" w:lineRule="exact"/>
              <w:rPr>
                <w:sz w:val="20"/>
                <w:szCs w:val="20"/>
                <w:color w:val="auto"/>
              </w:rPr>
            </w:pPr>
            <w:r>
              <w:rPr>
                <w:rFonts w:ascii="Arial" w:cs="Arial" w:eastAsia="Arial" w:hAnsi="Arial"/>
                <w:sz w:val="18"/>
                <w:szCs w:val="18"/>
                <w:color w:val="auto"/>
                <w:w w:val="95"/>
              </w:rPr>
              <w:t>Issuance of common stock on deferred stock units</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8,663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402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w w:val="99"/>
              </w:rPr>
              <w:t>Relinquishment of stock awards and deferred stock</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units to pay withholding taxes</w:t>
            </w:r>
          </w:p>
        </w:tc>
        <w:tc>
          <w:tcPr>
            <w:tcW w:w="9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3"/>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180"/>
              <w:spacing w:after="0" w:line="202" w:lineRule="exact"/>
              <w:rPr>
                <w:sz w:val="20"/>
                <w:szCs w:val="20"/>
                <w:color w:val="auto"/>
              </w:rPr>
            </w:pPr>
            <w:r>
              <w:rPr>
                <w:rFonts w:ascii="Arial" w:cs="Arial" w:eastAsia="Arial" w:hAnsi="Arial"/>
                <w:sz w:val="18"/>
                <w:szCs w:val="18"/>
                <w:color w:val="auto"/>
              </w:rPr>
              <w:t>Purchase of treasury stock</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(36,465)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(358)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Dividends declared and paid on common stock</w:t>
            </w: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(2,581)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03"/>
        </w:trPr>
        <w:tc>
          <w:tcPr>
            <w:tcW w:w="4020" w:type="dxa"/>
            <w:vAlign w:val="bottom"/>
          </w:tcPr>
          <w:p>
            <w:pPr>
              <w:ind w:left="180"/>
              <w:spacing w:after="0" w:line="202" w:lineRule="exact"/>
              <w:rPr>
                <w:sz w:val="20"/>
                <w:szCs w:val="20"/>
                <w:color w:val="auto"/>
              </w:rPr>
            </w:pPr>
            <w:r>
              <w:rPr>
                <w:rFonts w:ascii="Arial" w:cs="Arial" w:eastAsia="Arial" w:hAnsi="Arial"/>
                <w:sz w:val="18"/>
                <w:szCs w:val="18"/>
                <w:color w:val="auto"/>
              </w:rPr>
              <w:t>Share-based compensation expense</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Adjustment upon adoptions of ASU 2016-09</w:t>
            </w: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20" w:type="dxa"/>
            <w:vAlign w:val="bottom"/>
          </w:tcPr>
          <w:p>
            <w:pPr>
              <w:ind w:left="180"/>
              <w:spacing w:after="0" w:line="202" w:lineRule="exact"/>
              <w:rPr>
                <w:sz w:val="20"/>
                <w:szCs w:val="20"/>
                <w:color w:val="auto"/>
              </w:rPr>
            </w:pPr>
            <w:r>
              <w:rPr>
                <w:rFonts w:ascii="Arial" w:cs="Arial" w:eastAsia="Arial" w:hAnsi="Arial"/>
                <w:sz w:val="18"/>
                <w:szCs w:val="18"/>
                <w:color w:val="auto"/>
                <w:w w:val="95"/>
              </w:rPr>
              <w:t>Foreign currency translation adjustment, net of tax</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3,211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Balance, December 31, 2017</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7,478,094</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114</w:t>
            </w: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31,353</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24,756</w:t>
            </w:r>
          </w:p>
        </w:tc>
        <w:tc>
          <w:tcPr>
            <w:tcW w:w="10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(30,110)</w:t>
            </w:r>
          </w:p>
        </w:tc>
        <w:tc>
          <w:tcPr>
            <w:tcW w:w="340" w:type="dxa"/>
            <w:vAlign w:val="bottom"/>
            <w:gridSpan w:val="2"/>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26,014</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6"/>
              </w:rPr>
              <w:t>Issuance of shares from exercise of stock options</w:t>
            </w: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58,146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3"/>
        </w:trPr>
        <w:tc>
          <w:tcPr>
            <w:tcW w:w="4020" w:type="dxa"/>
            <w:vAlign w:val="bottom"/>
          </w:tcPr>
          <w:p>
            <w:pPr>
              <w:ind w:left="180"/>
              <w:spacing w:after="0" w:line="202" w:lineRule="exact"/>
              <w:rPr>
                <w:sz w:val="20"/>
                <w:szCs w:val="20"/>
                <w:color w:val="auto"/>
              </w:rPr>
            </w:pPr>
            <w:r>
              <w:rPr>
                <w:rFonts w:ascii="Arial" w:cs="Arial" w:eastAsia="Arial" w:hAnsi="Arial"/>
                <w:sz w:val="18"/>
                <w:szCs w:val="18"/>
                <w:color w:val="auto"/>
                <w:w w:val="93"/>
              </w:rPr>
              <w:t>Issuance of common stock on restricted stock units</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33,935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5"/>
              </w:rPr>
              <w:t>Issuance of common stock on deferred stock units</w:t>
            </w: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23,578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4020" w:type="dxa"/>
            <w:vAlign w:val="bottom"/>
          </w:tcPr>
          <w:p>
            <w:pPr>
              <w:ind w:left="180"/>
              <w:spacing w:after="0" w:line="149" w:lineRule="exact"/>
              <w:rPr>
                <w:sz w:val="20"/>
                <w:szCs w:val="20"/>
                <w:color w:val="auto"/>
              </w:rPr>
            </w:pPr>
            <w:r>
              <w:rPr>
                <w:rFonts w:ascii="Arial" w:cs="Arial" w:eastAsia="Arial" w:hAnsi="Arial"/>
                <w:sz w:val="17"/>
                <w:szCs w:val="17"/>
                <w:color w:val="auto"/>
                <w:w w:val="99"/>
              </w:rPr>
              <w:t>Relinquishment of stock awards and deferred stock</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(19,044)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3"/>
        </w:trPr>
        <w:tc>
          <w:tcPr>
            <w:tcW w:w="4020" w:type="dxa"/>
            <w:vAlign w:val="bottom"/>
          </w:tcPr>
          <w:p>
            <w:pPr>
              <w:ind w:left="340"/>
              <w:spacing w:after="0" w:line="202" w:lineRule="exact"/>
              <w:rPr>
                <w:sz w:val="20"/>
                <w:szCs w:val="20"/>
                <w:color w:val="auto"/>
              </w:rPr>
            </w:pPr>
            <w:r>
              <w:rPr>
                <w:rFonts w:ascii="Arial" w:cs="Arial" w:eastAsia="Arial" w:hAnsi="Arial"/>
                <w:sz w:val="18"/>
                <w:szCs w:val="18"/>
                <w:color w:val="auto"/>
              </w:rPr>
              <w:t>units to pay withholding taxes</w:t>
            </w:r>
          </w:p>
        </w:tc>
        <w:tc>
          <w:tcPr>
            <w:tcW w:w="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Purchase of treasury stock</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(156,410)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3"/>
        </w:trPr>
        <w:tc>
          <w:tcPr>
            <w:tcW w:w="4020" w:type="dxa"/>
            <w:vAlign w:val="bottom"/>
          </w:tcPr>
          <w:p>
            <w:pPr>
              <w:ind w:left="180"/>
              <w:spacing w:after="0" w:line="202" w:lineRule="exact"/>
              <w:rPr>
                <w:sz w:val="20"/>
                <w:szCs w:val="20"/>
                <w:color w:val="auto"/>
              </w:rPr>
            </w:pPr>
            <w:r>
              <w:rPr>
                <w:rFonts w:ascii="Arial" w:cs="Arial" w:eastAsia="Arial" w:hAnsi="Arial"/>
                <w:sz w:val="18"/>
                <w:szCs w:val="18"/>
                <w:color w:val="auto"/>
              </w:rPr>
              <w:t>Dividends declared and paid on common stock</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Share-based compensation expense</w:t>
            </w: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03"/>
        </w:trPr>
        <w:tc>
          <w:tcPr>
            <w:tcW w:w="4020" w:type="dxa"/>
            <w:vAlign w:val="bottom"/>
          </w:tcPr>
          <w:p>
            <w:pPr>
              <w:ind w:left="180"/>
              <w:spacing w:after="0" w:line="202" w:lineRule="exact"/>
              <w:rPr>
                <w:sz w:val="20"/>
                <w:szCs w:val="20"/>
                <w:color w:val="auto"/>
              </w:rPr>
            </w:pPr>
            <w:r>
              <w:rPr>
                <w:rFonts w:ascii="Arial" w:cs="Arial" w:eastAsia="Arial" w:hAnsi="Arial"/>
                <w:sz w:val="18"/>
                <w:szCs w:val="18"/>
                <w:color w:val="auto"/>
                <w:w w:val="95"/>
              </w:rPr>
              <w:t>Foreign currency translation adjustment, net of tax</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9"/>
        </w:trPr>
        <w:tc>
          <w:tcPr>
            <w:tcW w:w="402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5,426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5,426</w:t>
            </w:r>
          </w:p>
        </w:tc>
        <w:tc>
          <w:tcPr>
            <w:tcW w:w="0" w:type="dxa"/>
            <w:vAlign w:val="bottom"/>
          </w:tcPr>
          <w:p>
            <w:pPr>
              <w:spacing w:after="0"/>
              <w:rPr>
                <w:sz w:val="1"/>
                <w:szCs w:val="1"/>
                <w:color w:val="auto"/>
              </w:rPr>
            </w:pP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Balance, December 31, 2018</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7,418,299</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115</w:t>
            </w: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32,129</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27,515</w:t>
            </w:r>
          </w:p>
        </w:tc>
        <w:tc>
          <w:tcPr>
            <w:tcW w:w="10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(32,110)</w:t>
            </w:r>
          </w:p>
        </w:tc>
        <w:tc>
          <w:tcPr>
            <w:tcW w:w="340" w:type="dxa"/>
            <w:vAlign w:val="bottom"/>
            <w:gridSpan w:val="2"/>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27,567</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3"/>
              </w:rPr>
              <w:t>Issuance of common stock on restricted stock units</w:t>
            </w: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45,167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20" w:type="dxa"/>
            <w:vAlign w:val="bottom"/>
          </w:tcPr>
          <w:p>
            <w:pPr>
              <w:ind w:left="180"/>
              <w:spacing w:after="0" w:line="202" w:lineRule="exact"/>
              <w:rPr>
                <w:sz w:val="20"/>
                <w:szCs w:val="20"/>
                <w:color w:val="auto"/>
              </w:rPr>
            </w:pPr>
            <w:r>
              <w:rPr>
                <w:rFonts w:ascii="Arial" w:cs="Arial" w:eastAsia="Arial" w:hAnsi="Arial"/>
                <w:sz w:val="18"/>
                <w:szCs w:val="18"/>
                <w:color w:val="auto"/>
                <w:w w:val="95"/>
              </w:rPr>
              <w:t>Issuance of common stock on deferred stock units</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28,231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402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w w:val="99"/>
              </w:rPr>
              <w:t>Relinquishment of stock awards and deferred stock</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(21,449)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units to pay withholding taxes</w:t>
            </w:r>
          </w:p>
        </w:tc>
        <w:tc>
          <w:tcPr>
            <w:tcW w:w="9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3"/>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180"/>
              <w:spacing w:after="0" w:line="202" w:lineRule="exact"/>
              <w:rPr>
                <w:sz w:val="20"/>
                <w:szCs w:val="20"/>
                <w:color w:val="auto"/>
              </w:rPr>
            </w:pPr>
            <w:r>
              <w:rPr>
                <w:rFonts w:ascii="Arial" w:cs="Arial" w:eastAsia="Arial" w:hAnsi="Arial"/>
                <w:sz w:val="18"/>
                <w:szCs w:val="18"/>
                <w:color w:val="auto"/>
              </w:rPr>
              <w:t>Dividends declared and paid on common stock</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(2,683)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Share-based compensation expense</w:t>
            </w: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03"/>
        </w:trPr>
        <w:tc>
          <w:tcPr>
            <w:tcW w:w="4020" w:type="dxa"/>
            <w:vAlign w:val="bottom"/>
          </w:tcPr>
          <w:p>
            <w:pPr>
              <w:ind w:left="180"/>
              <w:spacing w:after="0" w:line="202" w:lineRule="exact"/>
              <w:rPr>
                <w:sz w:val="20"/>
                <w:szCs w:val="20"/>
                <w:color w:val="auto"/>
              </w:rPr>
            </w:pPr>
            <w:r>
              <w:rPr>
                <w:rFonts w:ascii="Arial" w:cs="Arial" w:eastAsia="Arial" w:hAnsi="Arial"/>
                <w:sz w:val="18"/>
                <w:szCs w:val="18"/>
                <w:color w:val="auto"/>
                <w:w w:val="95"/>
              </w:rPr>
              <w:t>Foreign currency translation adjustment, net of tax</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Balance, December 31, 2019</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7,470,248</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115</w:t>
            </w: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32,604</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25,348</w:t>
            </w:r>
          </w:p>
        </w:tc>
        <w:tc>
          <w:tcPr>
            <w:tcW w:w="10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(32,110)</w:t>
            </w:r>
          </w:p>
        </w:tc>
        <w:tc>
          <w:tcPr>
            <w:tcW w:w="340" w:type="dxa"/>
            <w:vAlign w:val="bottom"/>
            <w:gridSpan w:val="2"/>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25,926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TRANSACT TECHNOLOGIES INCORPORATED</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8"/>
          </w:tcPr>
          <w:p>
            <w:pPr>
              <w:jc w:val="right"/>
              <w:ind w:right="10"/>
              <w:spacing w:after="0"/>
              <w:rPr>
                <w:sz w:val="20"/>
                <w:szCs w:val="20"/>
                <w:color w:val="auto"/>
              </w:rPr>
            </w:pPr>
            <w:r>
              <w:rPr>
                <w:rFonts w:ascii="Arial" w:cs="Arial" w:eastAsia="Arial" w:hAnsi="Arial"/>
                <w:sz w:val="18"/>
                <w:szCs w:val="18"/>
                <w:color w:val="auto"/>
              </w:rPr>
              <w:t>Year Ended December 31,</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5,426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3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Share-based compensation expense</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692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03"/>
        </w:trPr>
        <w:tc>
          <w:tcPr>
            <w:tcW w:w="7320" w:type="dxa"/>
            <w:vAlign w:val="bottom"/>
          </w:tcPr>
          <w:p>
            <w:pPr>
              <w:ind w:left="340"/>
              <w:spacing w:after="0" w:line="202" w:lineRule="exact"/>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1,371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997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Deferred income tax (benefit) provision</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03"/>
        </w:trPr>
        <w:tc>
          <w:tcPr>
            <w:tcW w:w="7320" w:type="dxa"/>
            <w:vAlign w:val="bottom"/>
          </w:tcPr>
          <w:p>
            <w:pPr>
              <w:ind w:left="340"/>
              <w:spacing w:after="0" w:line="202" w:lineRule="exact"/>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Foreign currency transaction losses</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7320" w:type="dxa"/>
            <w:vAlign w:val="bottom"/>
          </w:tcPr>
          <w:p>
            <w:pPr>
              <w:ind w:left="3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1,589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2,688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3"/>
        </w:trPr>
        <w:tc>
          <w:tcPr>
            <w:tcW w:w="7320" w:type="dxa"/>
            <w:vAlign w:val="bottom"/>
          </w:tcPr>
          <w:p>
            <w:pPr>
              <w:ind w:left="500"/>
              <w:spacing w:after="0" w:line="202" w:lineRule="exact"/>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796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(4,049)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Prepaid income taxes</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577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3"/>
        </w:trPr>
        <w:tc>
          <w:tcPr>
            <w:tcW w:w="7320" w:type="dxa"/>
            <w:vAlign w:val="bottom"/>
          </w:tcPr>
          <w:p>
            <w:pPr>
              <w:ind w:left="500"/>
              <w:spacing w:after="0" w:line="202" w:lineRule="exact"/>
              <w:rPr>
                <w:sz w:val="20"/>
                <w:szCs w:val="20"/>
                <w:color w:val="auto"/>
              </w:rPr>
            </w:pPr>
            <w:r>
              <w:rPr>
                <w:rFonts w:ascii="Arial" w:cs="Arial" w:eastAsia="Arial" w:hAnsi="Arial"/>
                <w:sz w:val="18"/>
                <w:szCs w:val="18"/>
                <w:color w:val="auto"/>
              </w:rPr>
              <w:t>Other current and long term assets</w:t>
            </w:r>
          </w:p>
        </w:tc>
        <w:tc>
          <w:tcPr>
            <w:tcW w:w="24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0"/>
        </w:trPr>
        <w:tc>
          <w:tcPr>
            <w:tcW w:w="7320" w:type="dxa"/>
            <w:vAlign w:val="bottom"/>
          </w:tcPr>
          <w:p>
            <w:pPr>
              <w:ind w:left="500"/>
              <w:spacing w:after="0" w:line="202" w:lineRule="exact"/>
              <w:rPr>
                <w:sz w:val="20"/>
                <w:szCs w:val="20"/>
                <w:color w:val="auto"/>
              </w:rPr>
            </w:pPr>
            <w:r>
              <w:rPr>
                <w:rFonts w:ascii="Arial" w:cs="Arial" w:eastAsia="Arial" w:hAnsi="Arial"/>
                <w:sz w:val="18"/>
                <w:szCs w:val="18"/>
                <w:color w:val="auto"/>
              </w:rPr>
              <w:t>Accrued liabilities and other liabilities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415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4,846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5,109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5,918</w:t>
            </w:r>
          </w:p>
        </w:tc>
        <w:tc>
          <w:tcPr>
            <w:tcW w:w="0" w:type="dxa"/>
            <w:vAlign w:val="bottom"/>
          </w:tcPr>
          <w:p>
            <w:pPr>
              <w:spacing w:after="0"/>
              <w:rPr>
                <w:sz w:val="1"/>
                <w:szCs w:val="1"/>
                <w:color w:val="auto"/>
              </w:rPr>
            </w:pPr>
          </w:p>
        </w:tc>
      </w:tr>
      <w:tr>
        <w:trPr>
          <w:trHeight w:val="203"/>
        </w:trPr>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(1,062)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Additions to capitalized software</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9"/>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Issuance of note receivable</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(2,366)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(1,473)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03"/>
        </w:trPr>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Proceeds from stock option exercises</w:t>
            </w:r>
          </w:p>
        </w:tc>
        <w:tc>
          <w:tcPr>
            <w:tcW w:w="240" w:type="dxa"/>
            <w:vAlign w:val="bottom"/>
          </w:tcPr>
          <w:p>
            <w:pPr>
              <w:spacing w:after="0"/>
              <w:rPr>
                <w:sz w:val="17"/>
                <w:szCs w:val="17"/>
                <w:color w:val="auto"/>
              </w:rPr>
            </w:pPr>
          </w:p>
        </w:tc>
        <w:tc>
          <w:tcPr>
            <w:tcW w:w="114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02"/>
        </w:trPr>
        <w:tc>
          <w:tcPr>
            <w:tcW w:w="7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Purchases of common stock for treasury</w:t>
            </w:r>
          </w:p>
        </w:tc>
        <w:tc>
          <w:tcPr>
            <w:tcW w:w="24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Payment of dividends on common stock</w:t>
            </w:r>
          </w:p>
        </w:tc>
        <w:tc>
          <w:tcPr>
            <w:tcW w:w="24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(2,683)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(2,667)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Withholding taxes paid on stock issuances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7320" w:type="dxa"/>
            <w:vAlign w:val="bottom"/>
          </w:tcPr>
          <w:p>
            <w:pPr>
              <w:ind w:left="340"/>
              <w:spacing w:after="0" w:line="202" w:lineRule="exact"/>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auto"/>
              </w:rPr>
              <w:t>(2,897)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auto"/>
              </w:rPr>
              <w:t>(4,516)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tcPr>
          <w:p>
            <w:pPr>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7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(Decrease) increase in cash and cash equivalents</w:t>
            </w:r>
          </w:p>
        </w:tc>
        <w:tc>
          <w:tcPr>
            <w:tcW w:w="24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4,691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5,507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Cash and cash equivalents, end of period</w:t>
            </w:r>
          </w:p>
        </w:tc>
        <w:tc>
          <w:tcPr>
            <w:tcW w:w="2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4,203</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4,691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5,507</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Supplemental cash flow information:</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paid</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Income taxes paid</w:t>
            </w:r>
          </w:p>
        </w:tc>
        <w:tc>
          <w:tcPr>
            <w:tcW w:w="24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1,249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Non-cash capital expenditure items</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TRANSACT TECHNOLOGIES INCORPORATED</w:t>
      </w: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48" w:lineRule="exact"/>
        <w:rPr>
          <w:sz w:val="20"/>
          <w:szCs w:val="20"/>
          <w:color w:val="auto"/>
        </w:rPr>
      </w:pPr>
    </w:p>
    <w:p>
      <w:pPr>
        <w:jc w:val="both"/>
        <w:ind w:firstLine="76"/>
        <w:spacing w:after="0" w:line="230" w:lineRule="auto"/>
        <w:rPr>
          <w:sz w:val="20"/>
          <w:szCs w:val="20"/>
          <w:color w:val="auto"/>
        </w:rPr>
      </w:pPr>
      <w:r>
        <w:rPr>
          <w:rFonts w:ascii="Arial" w:cs="Arial" w:eastAsia="Arial" w:hAnsi="Arial"/>
          <w:sz w:val="16"/>
          <w:szCs w:val="16"/>
          <w:color w:val="auto"/>
        </w:rPr>
        <w:t>TransAct Technologies Incorporated (together with its subsidiaries, “TransAct,” the “Company,” "we,", "us,", "our"), which has its headquarters in Hamden, Connecticut and its primary operating facility in Ithaca, New York, operates in one operating segment: software-driven technology and printing solutions for high growth markets including food service technology, casino and gaming, lottery, POS automation and banking, and oil and gas markets. Our solutions are designed from the ground up based on market and customer requirements and are sold under the BOHA!</w:t>
      </w:r>
      <w:r>
        <w:rPr>
          <w:rFonts w:ascii="Arial" w:cs="Arial" w:eastAsia="Arial" w:hAnsi="Arial"/>
          <w:sz w:val="26"/>
          <w:szCs w:val="26"/>
          <w:color w:val="auto"/>
          <w:vertAlign w:val="superscript"/>
        </w:rPr>
        <w:t>TM</w:t>
      </w:r>
      <w:r>
        <w:rPr>
          <w:rFonts w:ascii="Arial" w:cs="Arial" w:eastAsia="Arial" w:hAnsi="Arial"/>
          <w:sz w:val="16"/>
          <w:szCs w:val="16"/>
          <w:color w:val="auto"/>
        </w:rPr>
        <w:t>, AccuDate™ Ithaca®, Epic, EPICENTRAL</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and Printrex® product brands. We sell our products to original equipment manufacturers, value-added resellers, select distributors, and directly to end-users. Our product distribution spans across the Americas, Europe, the Middle East, Africa, Asia, Australia, the Caribbean Islands and the South Pacific. TransAct also provides world-class service, spare parts, accessories and printing supplies to its growing worldwide installed base of products. We also generate revenue from the after-market side of the business, providing printer and terminal service, supplies and spare parts in addition to revenue from our two software solutions; (i)the EPICENTRAL</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Print System (“EPICENTRAL</w:t>
      </w:r>
      <w:r>
        <w:rPr>
          <w:rFonts w:ascii="Arial" w:cs="Arial" w:eastAsia="Arial" w:hAnsi="Arial"/>
          <w:sz w:val="26"/>
          <w:szCs w:val="26"/>
          <w:color w:val="auto"/>
          <w:vertAlign w:val="superscript"/>
        </w:rPr>
        <w:t>TM</w:t>
      </w:r>
      <w:r>
        <w:rPr>
          <w:rFonts w:ascii="Arial" w:cs="Arial" w:eastAsia="Arial" w:hAnsi="Arial"/>
          <w:sz w:val="16"/>
          <w:szCs w:val="16"/>
          <w:color w:val="auto"/>
        </w:rPr>
        <w:t>”), that enables casino operators to create promotional coupons and marketing messages and print them in real-time at the slot machine and (ii) our newly-launched line of BOHA! software applications used to automate the back-of-house operations of restaurants and other food service establishments.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accompanying Consolidated Financial Statements include the accounts of TransAct and its wholly-owned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require consolidation, after the elimination of intercompany accounts, transactions and unrealized profit.</w:t>
      </w:r>
    </w:p>
    <w:p>
      <w:pPr>
        <w:spacing w:after="0" w:line="117" w:lineRule="exact"/>
        <w:rPr>
          <w:sz w:val="20"/>
          <w:szCs w:val="20"/>
          <w:color w:val="auto"/>
        </w:rPr>
      </w:pPr>
    </w:p>
    <w:p>
      <w:pPr>
        <w:jc w:val="both"/>
        <w:spacing w:after="0" w:line="220" w:lineRule="auto"/>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preparations of consolidated financial statements in conformity with accounting principles generally accepted in the United States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 (“GAAP”) requires management to make estimates and assumptions that affect the reported amounts of assets, liabilities, revenue and expenses, and disclosure of contingent assets and liabilities as of the date of the Consolidated Financial Statements and the reported amounts of sales and expenses during the reporting period. Actual results could differ from those estimates.</w:t>
      </w:r>
    </w:p>
    <w:p>
      <w:pPr>
        <w:spacing w:after="0" w:line="119" w:lineRule="exact"/>
        <w:rPr>
          <w:sz w:val="20"/>
          <w:szCs w:val="20"/>
          <w:color w:val="auto"/>
        </w:rPr>
      </w:pPr>
    </w:p>
    <w:p>
      <w:pPr>
        <w:jc w:val="both"/>
        <w:ind w:right="20"/>
        <w:spacing w:after="0" w:line="229" w:lineRule="auto"/>
        <w:rPr>
          <w:sz w:val="20"/>
          <w:szCs w:val="20"/>
          <w:color w:val="auto"/>
        </w:rPr>
      </w:pPr>
      <w:r>
        <w:rPr>
          <w:rFonts w:ascii="Arial" w:cs="Arial" w:eastAsia="Arial" w:hAnsi="Arial"/>
          <w:sz w:val="17"/>
          <w:szCs w:val="17"/>
          <w:b w:val="1"/>
          <w:bCs w:val="1"/>
          <w:i w:val="1"/>
          <w:iCs w:val="1"/>
          <w:color w:val="auto"/>
        </w:rPr>
        <w:t>Segment reporting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apply the provisions of the Financial Accounting Standards Board (“FASB”) Accounting Standards Codification (“ASC”) 280,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“Segment Reporting.” We view our operations and manage our business as one segment: the design, development and marketing of software-driven technology and printing solutions and providing printer and terminal related software, services, supplies and spare parts. Factors used to identify TransAct’s single operating segment include the organizational structure of the Company and the financial information available for evaluation by the chief operating decision-maker in making decisions about how to allocate resources and assess performance.</w:t>
      </w:r>
    </w:p>
    <w:p>
      <w:pPr>
        <w:spacing w:after="0" w:line="1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consider all highly liquid investments with a maturity date of three months or less at date of purchase to be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equivalents.</w:t>
      </w:r>
    </w:p>
    <w:p>
      <w:pPr>
        <w:spacing w:after="0" w:line="118" w:lineRule="exact"/>
        <w:rPr>
          <w:sz w:val="20"/>
          <w:szCs w:val="20"/>
          <w:color w:val="auto"/>
        </w:rPr>
      </w:pPr>
    </w:p>
    <w:p>
      <w:pPr>
        <w:jc w:val="both"/>
        <w:spacing w:after="0" w:line="229" w:lineRule="auto"/>
        <w:rPr>
          <w:sz w:val="20"/>
          <w:szCs w:val="20"/>
          <w:color w:val="auto"/>
        </w:rPr>
      </w:pPr>
      <w:r>
        <w:rPr>
          <w:rFonts w:ascii="Arial" w:cs="Arial" w:eastAsia="Arial" w:hAnsi="Arial"/>
          <w:sz w:val="17"/>
          <w:szCs w:val="17"/>
          <w:b w:val="1"/>
          <w:bCs w:val="1"/>
          <w:i w:val="1"/>
          <w:iCs w:val="1"/>
          <w:color w:val="auto"/>
        </w:rPr>
        <w:t>Allowance for doubtful accounts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establish an allowance for doubtful accounts to ensure trade receivables are valued appropriately. We maintain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allowance for doubtful accounts based on a variety of factors, including the length of time receivables are past due, significant one-time events and historical experience. We record a specific allowance for individual accounts when we become aware of a customer’s inability to meet its financial obligations, such as in the case of bankruptcy filings or deterioration in the customer’s operating results or financial position. If circumstances related to customers change, we would further adjust estimates of the recoverability of receivables.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recorded in the valuation account for accounts receivable: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2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color w:val="auto"/>
              </w:rPr>
              <w:t>Year Ended 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Additions charged to costs and expenses</w:t>
            </w:r>
          </w:p>
        </w:tc>
        <w:tc>
          <w:tcPr>
            <w:tcW w:w="24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Deductions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Balance, end of period</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221</w:t>
            </w:r>
          </w:p>
        </w:tc>
        <w:tc>
          <w:tcPr>
            <w:tcW w:w="3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205</w:t>
            </w:r>
          </w:p>
        </w:tc>
        <w:tc>
          <w:tcPr>
            <w:tcW w:w="3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are stated at the lower of cost (principally standard cost, which approximates actual cost on a first-in, first-out basis) or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realizable value. We review net realizable value based on estimated selling prices in the ordinary course of business less estimated costs of completions, disposal and transportation, historical usage and estimates of future demand. Based on these reviews, inventory write-downs are recorded, as necessary, to reflect estimated obsolescence, excess quantities and net realizable value.</w:t>
      </w:r>
    </w:p>
    <w:p>
      <w:pPr>
        <w:spacing w:after="0" w:line="12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b w:val="1"/>
          <w:bCs w:val="1"/>
          <w:i w:val="1"/>
          <w:iCs w:val="1"/>
          <w:color w:val="auto"/>
        </w:rPr>
        <w:t xml:space="preserve">Fixed assets: </w:t>
      </w:r>
      <w:r>
        <w:rPr>
          <w:rFonts w:ascii="Arial" w:cs="Arial" w:eastAsia="Arial" w:hAnsi="Arial"/>
          <w:sz w:val="18"/>
          <w:szCs w:val="18"/>
          <w:color w:val="auto"/>
        </w:rPr>
        <w:t>Fixed assets are stated at cost. Depreciation is recorded using the straight-line method over the estimated useful lives. The estimated useful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life of tooling is five years; machinery and equipment is ten years; furniture and office equipment is five years to ten years; and computer software and equipment is three years to seven years. Leasehold improvements are amortized over the shorter of the term of the lease or the useful life of the asset. Costs related to repairs and maintenance are expensed as incurred. The costs of sold or retired assets are removed from the related asset and accumulated depreciation accounts and any gain or loss is recognized. Depreciation expense was $1.1 million, $0.9 million and $0.8 million in 2019, 2018, and 2017, respectively.</w:t>
      </w:r>
    </w:p>
    <w:p>
      <w:pPr>
        <w:spacing w:after="0" w:line="12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ASU 2016-02,</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“Leases”</w:t>
      </w:r>
      <w:r>
        <w:rPr>
          <w:rFonts w:ascii="Arial" w:cs="Arial" w:eastAsia="Arial" w:hAnsi="Arial"/>
          <w:sz w:val="18"/>
          <w:szCs w:val="18"/>
          <w:color w:val="auto"/>
        </w:rPr>
        <w:t>, which was codified in, and is referred to in this Annual Report as, ASC 842, became effective for reporting periods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beginning after December 15, 2018. The adoption required a modified retrospective transition approach, applying the new standard to all leases existing at the date of initial application. An entity may choose to use either (1) its effective date or (2) the beginning of the earliest comparative period presented in the financial statements as its date of initial application. The Company has elected to adopt the standard using the effective date, January 1, 2019, as its date of initial application. Consequently, financial information for prior periods will not be updated, and the disclosures required under the new standard will not be provided for dates and periods before January 1, 2019.</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45" w:name="page46"/>
    <w:bookmarkEnd w:id="45"/>
    <w:p>
      <w:pPr>
        <w:jc w:val="both"/>
        <w:spacing w:after="0" w:line="226" w:lineRule="auto"/>
        <w:rPr>
          <w:sz w:val="20"/>
          <w:szCs w:val="20"/>
          <w:color w:val="auto"/>
        </w:rPr>
      </w:pPr>
      <w:r>
        <w:rPr>
          <w:rFonts w:ascii="Arial" w:cs="Arial" w:eastAsia="Arial" w:hAnsi="Arial"/>
          <w:sz w:val="17"/>
          <w:szCs w:val="17"/>
          <w:color w:val="auto"/>
        </w:rPr>
        <w:t>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based on existing guidance for operating leases. If risks and rewards are conveyed without the transfer of control, the lease is treated as financing. If the lessor does not convey risks and rewards or control, the lease is treated as operating.</w:t>
      </w:r>
    </w:p>
    <w:p>
      <w:pPr>
        <w:spacing w:after="0" w:line="124"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We have elected certain practical expedients available under ASC 842 upon adoption. We have applied the practical expedient which allows prospective transition to ASC 842 on January 1, 2019. Under this transition practical expedient, we did not reassess lease classification, embedded leases or initial direct costs. We have applied the practical expedient for short-term leases. We have lease agreements that include lease and non-lease components, and we have not elected the practical expedients to combine these components for any of our leases. The adoption of ASC 842 had no effect on our Consolidated Statement of Income or Consolidated Statement of Cash Flows. Upon adoption of ASC 842, we recorded a $3.7 million right-of-use asset and a $3.9 million lease liability. The adoption of the new standard had no impact on retained earnings.</w:t>
      </w:r>
    </w:p>
    <w:p>
      <w:pPr>
        <w:spacing w:after="0" w:line="12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We enter into lease agreements for the use of real estate space and certain other equipment under operating leases and we have no financing leases. We determine if an arrangement contains a lease at inception. Our leases are included in Right of use assets and Lease liabilities in our Condensed Consolidated Balance Sheet.</w:t>
      </w:r>
    </w:p>
    <w:p>
      <w:pPr>
        <w:spacing w:after="0" w:line="12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Right of use assets represent our right to use an underlying asset for the lease term and lease liabilities represent our obligation to make lease payments arising from the lease. Lease right of use assets and liabilities are recognized at the commencement date of the lease based on the present value of lease payments over the lease term. As most of our leases do not provide an implicit rate, the Company determines its incremental borrowing rate by using the rate of interest that the Company would have to pay to borrow on a collateralized basis over a similar term, an amount equal to the lease payments in a similar economic environment. Our lease right of use assets exclude lease incentives. Our leases have remaining lease terms of one year to eight years, some of which include options to extend. The majority of our leases with options to extend provide for extensions of up to five years with the ability to terminate the lease within one year. The exercise of lease renewal options is at our sole discretion and our lease right of use assets and liabilities reflect only the options we are reasonably certain that we will exercise. Lease expense is recognized on a straight-line basis over the lease term.</w:t>
      </w:r>
    </w:p>
    <w:p>
      <w:pPr>
        <w:spacing w:after="0" w:line="122" w:lineRule="exact"/>
        <w:rPr>
          <w:sz w:val="20"/>
          <w:szCs w:val="20"/>
          <w:color w:val="auto"/>
        </w:rPr>
      </w:pPr>
    </w:p>
    <w:p>
      <w:pPr>
        <w:jc w:val="both"/>
        <w:spacing w:after="0" w:line="223" w:lineRule="auto"/>
        <w:rPr>
          <w:sz w:val="20"/>
          <w:szCs w:val="20"/>
          <w:color w:val="auto"/>
        </w:rPr>
      </w:pPr>
      <w:r>
        <w:rPr>
          <w:rFonts w:ascii="Arial" w:cs="Arial" w:eastAsia="Arial" w:hAnsi="Arial"/>
          <w:sz w:val="17"/>
          <w:szCs w:val="17"/>
          <w:b w:val="1"/>
          <w:bCs w:val="1"/>
          <w:i w:val="1"/>
          <w:iCs w:val="1"/>
          <w:color w:val="auto"/>
        </w:rPr>
        <w:t>Goodwill and Intangible assets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acquire businesses in purchase transactions that result in the recognition of goodwill and intangible assets.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determination of the value of intangible assets requires management to make estimates and assumptions. In accordance with ASC 350-20 “Goodwill”, acquired goodwill is not amortized but is subject to impairment testing at least annually and when an event occurs or circumstances change, that indicate it is more likely than not an impairment exists. Factors considered that may trigger an impairment review of either acquired goodwill or intangible assets are: significant underperformance relative to expected historical or projected future operating results; significant changes in the manner of use of acquired assets or the strategy for the overall business; significant negative industry or economic trends; and significant decline in market capitalization relative to net book value. Finite lived intangible assets are amortized and are tested for impairment when appropriate. We have determined that no goodwill or intangible asset impairment has occurred and the fair value of goodwill was substantially higher than our carrying value based on our assessment as of December 31, 2019 when the impairment review is performed.</w:t>
      </w:r>
    </w:p>
    <w:p>
      <w:pPr>
        <w:spacing w:after="0" w:line="124"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We account for revenue in accordance with ASC Topic 606: Revenue from Contracts with Customers. We adopted ASC 606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January 1, 2018 and elected the modified retrospective approach. The results for periods before 2018 were not adjusted for the new standard and there was no cumulative effect for the change in accounting at the date of adoption. In accordance with ASC 606, a performance obligation is a promise in a contract with a customer to transfer a distinct good or service to the customer. Some of our contracts with customers contain a single performance obligation, while other contracts contain multiple performance obligations (most commonly when contracts include a hardware product, software and extended warranties). A contract's transaction price is allocated to each distinct performance obligation and recognized as revenue when, or as, the performance obligation is satisfied.</w:t>
      </w:r>
    </w:p>
    <w:p>
      <w:pPr>
        <w:spacing w:after="0" w:line="97"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The transaction price is determined based on the consideration to which the Company will be entitled in exchange for transferring services to the customer. To the extent the transaction price includes variable consideration, such as price protection, reserves for returns and other allowances,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the Company’s judgment, it is probable that a significant future reversal of cumulative revenue under the contract will not occur.</w:t>
      </w:r>
    </w:p>
    <w:p>
      <w:pPr>
        <w:spacing w:after="0" w:line="12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For a majority of our revenue, which consists of printers, terminals, consumables, and replacement parts, the Company recognizes revenue as of a point of time. The transaction price is recognized upon shipment of the order when control of the goods is transferred to the customer and at the time the performance obligation is fulfilled. We also sell a software solution in our casino and gaming market, EPICENTRAL™, that enables casino operators to</w:t>
      </w:r>
    </w:p>
    <w:p>
      <w:pPr>
        <w:spacing w:after="0" w:line="2" w:lineRule="exact"/>
        <w:rPr>
          <w:sz w:val="20"/>
          <w:szCs w:val="20"/>
          <w:color w:val="auto"/>
        </w:rPr>
      </w:pPr>
    </w:p>
    <w:p>
      <w:pPr>
        <w:jc w:val="both"/>
        <w:spacing w:after="0" w:line="193" w:lineRule="auto"/>
        <w:rPr>
          <w:sz w:val="20"/>
          <w:szCs w:val="20"/>
          <w:color w:val="auto"/>
        </w:rPr>
      </w:pPr>
      <w:r>
        <w:rPr>
          <w:rFonts w:ascii="Arial" w:cs="Arial" w:eastAsia="Arial" w:hAnsi="Arial"/>
          <w:sz w:val="18"/>
          <w:szCs w:val="18"/>
          <w:color w:val="auto"/>
        </w:rPr>
        <w:t>create promotional coupons and marketing messages and to print them in real-time at the slot machine. EPICENTRAL</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is primarily comprised of both a software component, which is licensed to the customer, and a hardware component. EPICENTRAL™ software and hardware are integrated to deliver the system's full functionality. The transaction prices from EPICENTRAL™ software license and hardware are recognized upon installation and formal acceptance by the customer when control of the license is transferred to the customer. For out-of-warranty repairs, the transaction price is recognized after the repair work is completed and the printer or terminal is returned to the customer, as control of the product is transferred to the customer and our performance obligation is completed.</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jc w:val="both"/>
        <w:spacing w:after="0" w:line="237" w:lineRule="auto"/>
        <w:rPr>
          <w:sz w:val="20"/>
          <w:szCs w:val="20"/>
          <w:color w:val="auto"/>
        </w:rPr>
      </w:pPr>
      <w:r>
        <w:rPr>
          <w:rFonts w:ascii="Arial" w:cs="Arial" w:eastAsia="Arial" w:hAnsi="Arial"/>
          <w:sz w:val="16"/>
          <w:szCs w:val="16"/>
          <w:color w:val="auto"/>
        </w:rPr>
        <w:t>Performance obligations are satisfied over time if the customer receives the benefits as we perform work, if the customer controls the asset as it is being produced, or if the product being produced for the customer has no alternative use and we have a contractual right to payment. For our separately priced extended warranty, BOHA! cloud-based software applications, technical support for our food service technology terminals and maintenance agreements (including free one-year maintenance received by customers upon completion of EPICENTRAL™ installation) revenue is recognized over time as the customer receives the benefit. The transaction price from the maintenance services is recognized ratably over time, using output methods, as control of the services is transferred to the customer. Our cloud-based BOHA! software allows customers to use hosted software over the contract period without taking possession of the software and are provided on a subscription basis and is recognized ratably over the contract period. For extended warranties, the transaction price is recognized ratably over the warranty period, using output methods, as control of the services is transferred to the customer.</w:t>
      </w:r>
    </w:p>
    <w:p>
      <w:pPr>
        <w:spacing w:after="0" w:line="126"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When there is more than one performance obligation in a customer arrangement, the Company typically uses the “standalone selling price” method to determine the transaction price to allocate to each performance obligation. The Company sells the performance obligations separately and has established standalone selling prices for its products and services. In the case of an overall price discount, the discount is applied to each performance obligation proportionately based on standalone selling price. To determine the standalone selling price for initial EPICENTRAL™ installations, the Company uses the adjusted market assessment approach.</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For contracts with terms of less than 12 months, the Company expenses sales commissions as they are incurred, since the expected amortization period of the cost to obtain a contract is less than 12 months. Prior to the adoption of ASC 606 in 2018, cost to obtain a contract were expensed as incurred regardless of the length of contract.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following table disaggregates our revenue by market-type, as we believe it best depicts how the nature, amount, timing and uncertainty of our revenue and cash flows are affected by economic factors. Sales and usage-based taxes are excluded from revenues.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6"/>
              </w:rPr>
              <w:t>Year Ended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0"/>
              </w:rPr>
              <w:t>December 31, 2019</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color w:val="auto"/>
                <w:w w:val="98"/>
              </w:rPr>
              <w:t>United States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International</w:t>
            </w: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w w:val="93"/>
              </w:rPr>
              <w:t>(In thousands)</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Food Service Technology</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6,104</w:t>
            </w: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POS Automation and Banking</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5,714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5,758</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Casino and Gaming</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21,529</w:t>
            </w: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Lottery</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1,291</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Printrex</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w:t>
            </w:r>
          </w:p>
        </w:tc>
      </w:tr>
      <w:tr>
        <w:trPr>
          <w:trHeight w:val="223"/>
        </w:trPr>
        <w:tc>
          <w:tcPr>
            <w:tcW w:w="7320" w:type="dxa"/>
            <w:vAlign w:val="bottom"/>
          </w:tcPr>
          <w:p>
            <w:pPr>
              <w:ind w:left="140"/>
              <w:spacing w:after="0"/>
              <w:rPr>
                <w:sz w:val="20"/>
                <w:szCs w:val="20"/>
                <w:color w:val="auto"/>
              </w:rPr>
            </w:pPr>
            <w:r>
              <w:rPr>
                <w:rFonts w:ascii="Arial" w:cs="Arial" w:eastAsia="Arial" w:hAnsi="Arial"/>
                <w:sz w:val="18"/>
                <w:szCs w:val="18"/>
                <w:color w:val="auto"/>
              </w:rPr>
              <w:t>TransAct Services Group</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8,769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1,131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9,900</w:t>
            </w:r>
          </w:p>
        </w:tc>
      </w:tr>
      <w:tr>
        <w:trPr>
          <w:trHeight w:val="257"/>
        </w:trPr>
        <w:tc>
          <w:tcPr>
            <w:tcW w:w="7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net sales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35,332</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45,748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6"/>
              </w:rPr>
              <w:t>Year Ended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1"/>
              </w:rPr>
              <w:t>December 31, 2018</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6"/>
              </w:rPr>
              <w:t>United States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International</w:t>
            </w: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w w:val="93"/>
              </w:rPr>
              <w:t>(In thousands)</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Food Service Technology</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5,086</w:t>
            </w: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POS Automation and Banking</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7,273</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Casino and Gaming</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26,593</w:t>
            </w: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Lottery</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3,093</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Printrex</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w:t>
            </w:r>
          </w:p>
        </w:tc>
      </w:tr>
      <w:tr>
        <w:trPr>
          <w:trHeight w:val="223"/>
        </w:trPr>
        <w:tc>
          <w:tcPr>
            <w:tcW w:w="7320" w:type="dxa"/>
            <w:vAlign w:val="bottom"/>
          </w:tcPr>
          <w:p>
            <w:pPr>
              <w:ind w:left="140"/>
              <w:spacing w:after="0"/>
              <w:rPr>
                <w:sz w:val="20"/>
                <w:szCs w:val="20"/>
                <w:color w:val="auto"/>
              </w:rPr>
            </w:pPr>
            <w:r>
              <w:rPr>
                <w:rFonts w:ascii="Arial" w:cs="Arial" w:eastAsia="Arial" w:hAnsi="Arial"/>
                <w:sz w:val="18"/>
                <w:szCs w:val="18"/>
                <w:color w:val="auto"/>
              </w:rPr>
              <w:t>TransAct Services Group</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10,164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1,081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11,245</w:t>
            </w:r>
          </w:p>
        </w:tc>
      </w:tr>
      <w:tr>
        <w:trPr>
          <w:trHeight w:val="256"/>
        </w:trPr>
        <w:tc>
          <w:tcPr>
            <w:tcW w:w="7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net sales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43,518</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54,587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6"/>
              </w:rPr>
              <w:t>Year Ended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9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1"/>
              </w:rPr>
              <w:t>December 31, 2017</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6"/>
              </w:rPr>
              <w:t>United States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International</w:t>
            </w: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16"/>
        </w:trPr>
        <w:tc>
          <w:tcPr>
            <w:tcW w:w="39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w w:val="93"/>
              </w:rPr>
              <w:t>(In thousands)</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Food Service Technology</w:t>
            </w:r>
          </w:p>
        </w:tc>
        <w:tc>
          <w:tcPr>
            <w:tcW w:w="37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4,862</w:t>
            </w:r>
          </w:p>
        </w:tc>
      </w:tr>
      <w:tr>
        <w:trPr>
          <w:trHeight w:val="216"/>
        </w:trPr>
        <w:tc>
          <w:tcPr>
            <w:tcW w:w="3920" w:type="dxa"/>
            <w:vAlign w:val="bottom"/>
          </w:tcPr>
          <w:p>
            <w:pPr>
              <w:ind w:left="140"/>
              <w:spacing w:after="0"/>
              <w:rPr>
                <w:sz w:val="20"/>
                <w:szCs w:val="20"/>
                <w:color w:val="auto"/>
              </w:rPr>
            </w:pPr>
            <w:r>
              <w:rPr>
                <w:rFonts w:ascii="Arial" w:cs="Arial" w:eastAsia="Arial" w:hAnsi="Arial"/>
                <w:sz w:val="18"/>
                <w:szCs w:val="18"/>
                <w:color w:val="auto"/>
              </w:rPr>
              <w:t>POS Automation and Banking</w:t>
            </w:r>
          </w:p>
        </w:tc>
        <w:tc>
          <w:tcPr>
            <w:tcW w:w="3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7,596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7,905</w:t>
            </w:r>
          </w:p>
        </w:tc>
      </w:tr>
      <w:tr>
        <w:trPr>
          <w:trHeight w:val="216"/>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Casino and Gaming</w:t>
            </w:r>
          </w:p>
        </w:tc>
        <w:tc>
          <w:tcPr>
            <w:tcW w:w="3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18,615</w:t>
            </w:r>
          </w:p>
        </w:tc>
      </w:tr>
      <w:tr>
        <w:trPr>
          <w:trHeight w:val="216"/>
        </w:trPr>
        <w:tc>
          <w:tcPr>
            <w:tcW w:w="3920" w:type="dxa"/>
            <w:vAlign w:val="bottom"/>
          </w:tcPr>
          <w:p>
            <w:pPr>
              <w:ind w:left="140"/>
              <w:spacing w:after="0"/>
              <w:rPr>
                <w:sz w:val="20"/>
                <w:szCs w:val="20"/>
                <w:color w:val="auto"/>
              </w:rPr>
            </w:pPr>
            <w:r>
              <w:rPr>
                <w:rFonts w:ascii="Arial" w:cs="Arial" w:eastAsia="Arial" w:hAnsi="Arial"/>
                <w:sz w:val="18"/>
                <w:szCs w:val="18"/>
                <w:color w:val="auto"/>
              </w:rPr>
              <w:t>Lottery</w:t>
            </w:r>
          </w:p>
        </w:tc>
        <w:tc>
          <w:tcPr>
            <w:tcW w:w="3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1,179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9,805</w:t>
            </w:r>
          </w:p>
        </w:tc>
      </w:tr>
      <w:tr>
        <w:trPr>
          <w:trHeight w:val="216"/>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Printrex</w:t>
            </w:r>
          </w:p>
        </w:tc>
        <w:tc>
          <w:tcPr>
            <w:tcW w:w="3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w:t>
            </w:r>
          </w:p>
        </w:tc>
      </w:tr>
      <w:tr>
        <w:trPr>
          <w:trHeight w:val="223"/>
        </w:trPr>
        <w:tc>
          <w:tcPr>
            <w:tcW w:w="3920" w:type="dxa"/>
            <w:vAlign w:val="bottom"/>
          </w:tcPr>
          <w:p>
            <w:pPr>
              <w:ind w:left="140"/>
              <w:spacing w:after="0"/>
              <w:rPr>
                <w:sz w:val="20"/>
                <w:szCs w:val="20"/>
                <w:color w:val="auto"/>
              </w:rPr>
            </w:pPr>
            <w:r>
              <w:rPr>
                <w:rFonts w:ascii="Arial" w:cs="Arial" w:eastAsia="Arial" w:hAnsi="Arial"/>
                <w:sz w:val="18"/>
                <w:szCs w:val="18"/>
                <w:color w:val="auto"/>
              </w:rPr>
              <w:t>TransAct Services Group</w:t>
            </w:r>
          </w:p>
        </w:tc>
        <w:tc>
          <w:tcPr>
            <w:tcW w:w="3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13,553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519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14,072</w:t>
            </w:r>
          </w:p>
        </w:tc>
      </w:tr>
      <w:tr>
        <w:trPr>
          <w:trHeight w:val="256"/>
        </w:trPr>
        <w:tc>
          <w:tcPr>
            <w:tcW w:w="3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net sales</w:t>
            </w:r>
          </w:p>
        </w:tc>
        <w:tc>
          <w:tcPr>
            <w:tcW w:w="34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48,720</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56,311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3920" w:type="dxa"/>
            <w:vAlign w:val="bottom"/>
          </w:tcPr>
          <w:p>
            <w:pPr>
              <w:spacing w:after="0"/>
              <w:rPr>
                <w:sz w:val="24"/>
                <w:szCs w:val="24"/>
                <w:color w:val="auto"/>
              </w:rPr>
            </w:pPr>
          </w:p>
        </w:tc>
        <w:tc>
          <w:tcPr>
            <w:tcW w:w="3760" w:type="dxa"/>
            <w:vAlign w:val="bottom"/>
            <w:gridSpan w:val="2"/>
          </w:tcPr>
          <w:p>
            <w:pPr>
              <w:jc w:val="right"/>
              <w:ind w:right="1830"/>
              <w:spacing w:after="0"/>
              <w:rPr>
                <w:sz w:val="20"/>
                <w:szCs w:val="20"/>
                <w:color w:val="auto"/>
              </w:rPr>
            </w:pPr>
            <w:r>
              <w:rPr>
                <w:rFonts w:ascii="Arial" w:cs="Arial" w:eastAsia="Arial" w:hAnsi="Arial"/>
                <w:sz w:val="14"/>
                <w:szCs w:val="14"/>
                <w:color w:val="auto"/>
              </w:rPr>
              <w:t>F-11</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92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Contract balances</w:t>
      </w:r>
    </w:p>
    <w:p>
      <w:pPr>
        <w:jc w:val="both"/>
        <w:spacing w:after="0" w:line="220" w:lineRule="auto"/>
        <w:rPr>
          <w:sz w:val="20"/>
          <w:szCs w:val="20"/>
          <w:color w:val="auto"/>
        </w:rPr>
      </w:pPr>
      <w:r>
        <w:rPr>
          <w:rFonts w:ascii="Arial" w:cs="Arial" w:eastAsia="Arial" w:hAnsi="Arial"/>
          <w:sz w:val="17"/>
          <w:szCs w:val="17"/>
          <w:color w:val="auto"/>
        </w:rPr>
        <w:t>Our contract liabilities consist of customer pre-payments and deferred revenue. Customer prepayments are reported as “Accrued Liabilities” in current liabilities in the Condensed Consolidated Balance Sheets and represent customer payments made in advance of performance obligations in instances where credit has not been extended and is recognized as revenue when the performance obligation is complete. Deferred revenue is reported separately in current liabilities and non-current liabilities and consists of our extended warranty contracts, technical support for our food service technology terminals, EPICENTRAL™ maintenance contracts and testing service contracts and prepaid software subscriptions for our BOHA! software applications, and is recognized as revenue as (or when) we perform under the contract. The increase in current and non-current deferred revenue is primarily due to the sale of BOHA! software subscriptions, extended warranties and technical support for our food service technology terminals. We do not have any contract asset balances as of December 31, 2019 or 2018. During the year ended December 31, 2019, we recognized revenue of $0.4 million related to our contract liabilities as of December 31, 2018. Total contract liabilities consist of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tcPr>
          <w:p>
            <w:pPr>
              <w:spacing w:after="0"/>
              <w:rPr>
                <w:sz w:val="17"/>
                <w:szCs w:val="17"/>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7"/>
                <w:szCs w:val="17"/>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0"/>
              </w:rPr>
              <w:t>December 31,</w:t>
            </w:r>
          </w:p>
        </w:tc>
      </w:tr>
      <w:tr>
        <w:trPr>
          <w:trHeight w:val="210"/>
        </w:trPr>
        <w:tc>
          <w:tcPr>
            <w:tcW w:w="8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18"/>
                <w:szCs w:val="18"/>
                <w:color w:val="auto"/>
              </w:rPr>
            </w:pPr>
          </w:p>
        </w:tc>
      </w:tr>
      <w:tr>
        <w:trPr>
          <w:trHeight w:val="203"/>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gridSpan w:val="3"/>
          </w:tcPr>
          <w:p>
            <w:pPr>
              <w:jc w:val="right"/>
              <w:ind w:right="310"/>
              <w:spacing w:after="0" w:line="202" w:lineRule="exact"/>
              <w:rPr>
                <w:sz w:val="20"/>
                <w:szCs w:val="20"/>
                <w:color w:val="auto"/>
              </w:rPr>
            </w:pPr>
            <w:r>
              <w:rPr>
                <w:rFonts w:ascii="Arial" w:cs="Arial" w:eastAsia="Arial" w:hAnsi="Arial"/>
                <w:sz w:val="18"/>
                <w:szCs w:val="18"/>
                <w:i w:val="1"/>
                <w:iCs w:val="1"/>
                <w:color w:val="auto"/>
              </w:rPr>
              <w:t>(In thousands)</w:t>
            </w:r>
          </w:p>
        </w:tc>
        <w:tc>
          <w:tcPr>
            <w:tcW w:w="420" w:type="dxa"/>
            <w:vAlign w:val="bottom"/>
          </w:tcPr>
          <w:p>
            <w:pPr>
              <w:spacing w:after="0"/>
              <w:rPr>
                <w:sz w:val="17"/>
                <w:szCs w:val="17"/>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pre-payments</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232</w:t>
            </w:r>
          </w:p>
        </w:tc>
        <w:tc>
          <w:tcPr>
            <w:tcW w:w="900" w:type="dxa"/>
            <w:vAlign w:val="bottom"/>
            <w:gridSpan w:val="2"/>
            <w:shd w:val="clear" w:color="auto" w:fill="CCEEFF"/>
          </w:tcPr>
          <w:p>
            <w:pPr>
              <w:jc w:val="right"/>
              <w:ind w:right="61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50</w:t>
            </w: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Deferred revenue, current</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700</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384</w:t>
            </w:r>
          </w:p>
        </w:tc>
      </w:tr>
      <w:tr>
        <w:trPr>
          <w:trHeight w:val="209"/>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Deferred revenue, non-current</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219</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9"/>
              </w:rPr>
              <w:t>265</w:t>
            </w: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Total contract liabilities</w:t>
            </w:r>
          </w:p>
        </w:tc>
        <w:tc>
          <w:tcPr>
            <w:tcW w:w="240" w:type="dxa"/>
            <w:vAlign w:val="bottom"/>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1,151</w:t>
            </w:r>
          </w:p>
        </w:tc>
        <w:tc>
          <w:tcPr>
            <w:tcW w:w="900" w:type="dxa"/>
            <w:vAlign w:val="bottom"/>
            <w:gridSpan w:val="2"/>
          </w:tcPr>
          <w:p>
            <w:pPr>
              <w:jc w:val="right"/>
              <w:ind w:right="61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699</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jc w:val="both"/>
        <w:spacing w:after="0" w:line="214" w:lineRule="auto"/>
        <w:rPr>
          <w:sz w:val="20"/>
          <w:szCs w:val="20"/>
          <w:color w:val="auto"/>
        </w:rPr>
      </w:pPr>
      <w:r>
        <w:rPr>
          <w:rFonts w:ascii="Arial" w:cs="Arial" w:eastAsia="Arial" w:hAnsi="Arial"/>
          <w:sz w:val="18"/>
          <w:szCs w:val="18"/>
          <w:color w:val="auto"/>
        </w:rPr>
        <w:t>Remaining performance obligations represent the transaction price of firm orders for which a good or service has not been delivered to our customer. As of December 31, 2019, the aggregate amount of the transaction price allocated to remaining performance obligations was $5.8 million. The Company expects to recognize revenue on $5.5 million of our remaining performance obligations within the next 12 months, $0.2 million within the next 24 months and the balance of these remaining performance obligations recognized within the next 36 months.</w:t>
      </w:r>
    </w:p>
    <w:p>
      <w:pPr>
        <w:spacing w:after="0" w:line="123"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b w:val="1"/>
          <w:bCs w:val="1"/>
          <w:i w:val="1"/>
          <w:iCs w:val="1"/>
          <w:color w:val="auto"/>
        </w:rPr>
        <w:t xml:space="preserve">Concentration of credit risk: </w:t>
      </w:r>
      <w:r>
        <w:rPr>
          <w:rFonts w:ascii="Arial" w:cs="Arial" w:eastAsia="Arial" w:hAnsi="Arial"/>
          <w:sz w:val="18"/>
          <w:szCs w:val="18"/>
          <w:color w:val="auto"/>
        </w:rPr>
        <w:t>Financial instruments that potentially expose us to concentrations of credit risk are limited to cash and cash equivalents held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our banks in excess of insured limits and accounts receivable.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from customers representing 10% or more of total accounts receivable were as follows:</w:t>
      </w:r>
    </w:p>
    <w:p>
      <w:pPr>
        <w:spacing w:after="0" w:line="167" w:lineRule="exact"/>
        <w:rPr>
          <w:sz w:val="20"/>
          <w:szCs w:val="20"/>
          <w:color w:val="auto"/>
        </w:rPr>
      </w:pPr>
    </w:p>
    <w:p>
      <w:pPr>
        <w:ind w:left="9340"/>
        <w:spacing w:after="0"/>
        <w:rPr>
          <w:sz w:val="20"/>
          <w:szCs w:val="20"/>
          <w:color w:val="auto"/>
        </w:rPr>
      </w:pPr>
      <w:r>
        <w:rPr>
          <w:rFonts w:ascii="Arial" w:cs="Arial" w:eastAsia="Arial" w:hAnsi="Arial"/>
          <w:sz w:val="18"/>
          <w:szCs w:val="18"/>
          <w:color w:val="auto"/>
        </w:rPr>
        <w:t>December 31,</w:t>
      </w: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4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2018</w:t>
            </w:r>
          </w:p>
        </w:tc>
      </w:tr>
      <w:tr>
        <w:trPr>
          <w:trHeight w:val="203"/>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 Gaming Technology ("IGT")</w:t>
            </w: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30"/>
        </w:trPr>
        <w:tc>
          <w:tcPr>
            <w:tcW w:w="9420" w:type="dxa"/>
            <w:vAlign w:val="bottom"/>
            <w:gridSpan w:val="2"/>
          </w:tcPr>
          <w:p>
            <w:pPr>
              <w:spacing w:after="0"/>
              <w:rPr>
                <w:sz w:val="20"/>
                <w:szCs w:val="20"/>
                <w:color w:val="auto"/>
              </w:rPr>
            </w:pPr>
            <w:r>
              <w:rPr>
                <w:rFonts w:ascii="Arial" w:cs="Arial" w:eastAsia="Arial" w:hAnsi="Arial"/>
                <w:sz w:val="18"/>
                <w:szCs w:val="18"/>
                <w:color w:val="auto"/>
              </w:rPr>
              <w:t>Bally Technologies</w:t>
            </w: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Sales to customers representing 10% or more of total net sales were as follows:</w:t>
      </w:r>
    </w:p>
    <w:p>
      <w:pPr>
        <w:spacing w:after="0" w:line="167"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Year Ended December 31,</w:t>
      </w:r>
    </w:p>
    <w:tbl>
      <w:tblPr>
        <w:tblLayout w:type="fixed"/>
        <w:tblInd w:w="0" w:type="dxa"/>
        <w:tblCellMar>
          <w:top w:w="0" w:type="dxa"/>
          <w:left w:w="0" w:type="dxa"/>
          <w:bottom w:w="0" w:type="dxa"/>
          <w:right w:w="0" w:type="dxa"/>
        </w:tblCellMar>
      </w:tblPr>
      <w:tr>
        <w:trPr>
          <w:trHeight w:val="217"/>
        </w:trPr>
        <w:tc>
          <w:tcPr>
            <w:tcW w:w="72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4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2018</w:t>
            </w:r>
          </w:p>
        </w:tc>
        <w:tc>
          <w:tcPr>
            <w:tcW w:w="1380" w:type="dxa"/>
            <w:vAlign w:val="bottom"/>
            <w:tcBorders>
              <w:top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2017</w:t>
            </w:r>
          </w:p>
        </w:tc>
      </w:tr>
      <w:tr>
        <w:trPr>
          <w:trHeight w:val="203"/>
        </w:trPr>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IGT</w:t>
            </w: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r>
    </w:tbl>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 xml:space="preserve">Warranty: </w:t>
      </w:r>
      <w:r>
        <w:rPr>
          <w:rFonts w:ascii="Arial" w:cs="Arial" w:eastAsia="Arial" w:hAnsi="Arial"/>
          <w:sz w:val="18"/>
          <w:szCs w:val="18"/>
          <w:color w:val="auto"/>
        </w:rPr>
        <w:t>We generally warrant our products for up to 24 months and record the estimated cost of such product warranties at the time the sale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Estimated warranty costs are based upon actual past experience of product repairs and the related estimated cost of labor and material to make the necessary repairs.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color w:val="auto"/>
                <w:w w:val="98"/>
              </w:rPr>
              <w:t>The following table summarizes the activity recorded in the accrued product warranty liability:</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732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color w:val="auto"/>
              </w:rPr>
              <w:t>Year Ended 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2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02"/>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Warranties issued</w:t>
            </w:r>
          </w:p>
        </w:tc>
        <w:tc>
          <w:tcPr>
            <w:tcW w:w="24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181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269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Warranty settlements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Balance, end of period</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215</w:t>
            </w:r>
          </w:p>
        </w:tc>
        <w:tc>
          <w:tcPr>
            <w:tcW w:w="3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273</w:t>
            </w:r>
          </w:p>
        </w:tc>
        <w:tc>
          <w:tcPr>
            <w:tcW w:w="3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$174 thousand and $192 thousand of the accrued product warranty liability were classified as current in Accrued liabilities at December 31, 2019 and 2018, respectively. The remaining $41 thousand and $81 thousand of the accrued product warranty liability as of December 31, 2019 and 2018, respectively, is classified as long-term in Other liabilities.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Engineering, design and product development: </w:t>
      </w:r>
      <w:r>
        <w:rPr>
          <w:rFonts w:ascii="Arial" w:cs="Arial" w:eastAsia="Arial" w:hAnsi="Arial"/>
          <w:sz w:val="16"/>
          <w:szCs w:val="16"/>
          <w:color w:val="auto"/>
        </w:rPr>
        <w:t>Engineering, design and product development expenses include expenses incurred in connection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specialized engineering and design to introduce new products and to customize existing products, and are expensed as a component of operating expenses as incurred. We recorded $4.4 million, $4.6 million and $4.3 million of research and development expenses in 2019, 2018, and 2017, respectively.</w:t>
      </w:r>
    </w:p>
    <w:p>
      <w:pPr>
        <w:spacing w:after="0" w:line="106"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Costs incurred in the engineering, design and product development of a computer software product are charged to expense until technological feasibility has been established, at which point all material software costs are capitalized within Intangible assets in our Consolidated Balance Sheet until the product is available for general release to customers. While judgment is required in determining when technological feasibility of a product is established, we have determined that it is reached after all high-risk development issues have been documented in a formal detailed plan design. The amortization of these costs have been included in cost of sales over the estimated life of the product. During 2019 and 2018, we contracted several third-parties to develop software for our food service technology products. Unamortized development costs for such software were $704 thousand as of December 31, 2019. The total amount charged to cost of sales for capitalized software development costs was $186 thousand, $30 thousand and $2 thousand in 2019, 2018, and 2017, respectively.</w:t>
      </w:r>
    </w:p>
    <w:p>
      <w:pPr>
        <w:spacing w:after="0" w:line="12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 xml:space="preserve">Advertising: </w:t>
      </w:r>
      <w:r>
        <w:rPr>
          <w:rFonts w:ascii="Arial" w:cs="Arial" w:eastAsia="Arial" w:hAnsi="Arial"/>
          <w:sz w:val="18"/>
          <w:szCs w:val="18"/>
          <w:color w:val="auto"/>
        </w:rPr>
        <w:t>Advertising costs are expensed as incurred. Advertising expenses, which are included in selling and marketing expense on the accompanying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Statements of Income, for 2019, 2018, and 2017 totaled $1.4 million, $1.0 million and $1.0 million, respectively. These expenses include items such as consulting and professional services, tradeshows, and print advertising.</w:t>
      </w:r>
    </w:p>
    <w:p>
      <w:pPr>
        <w:sectPr>
          <w:pgSz w:w="11900" w:h="16838" w:orient="portrait"/>
          <w:cols w:equalWidth="0" w:num="1">
            <w:col w:w="11240"/>
          </w:cols>
          <w:pgMar w:left="320" w:top="96" w:right="339" w:bottom="1440" w:gutter="0" w:footer="0" w:header="0"/>
        </w:sect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type w:val="continuous"/>
        </w:sectPr>
      </w:pPr>
    </w:p>
    <w:bookmarkStart w:id="48" w:name="page49"/>
    <w:bookmarkEnd w:id="48"/>
    <w:p>
      <w:pPr>
        <w:jc w:val="both"/>
        <w:spacing w:after="0" w:line="223"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The income tax amounts reflected in the accompanying Consolidated Financial Statements are accounted for under the liability method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accordance with ASC 740, “Income Taxes” (“ASC 740”). Deferred tax assets and liabilities are recognized for the estimated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We assess the likelihood that net deferred tax assets will be realized from future taxable income, and to the extent that we believe that realization is not likely, we establish a valuation allowance. In accordance with ASC 740, we identified, evaluated and measured the amount of benefits to be recognized for our tax return positions. See Note 10 for information regarding our accounting for income taxes and additional provision items recorded in regard to the Tax Cuts and Job Act.</w:t>
      </w:r>
    </w:p>
    <w:p>
      <w:pPr>
        <w:spacing w:after="0" w:line="127" w:lineRule="exact"/>
        <w:rPr>
          <w:sz w:val="20"/>
          <w:szCs w:val="20"/>
          <w:color w:val="auto"/>
        </w:rPr>
      </w:pPr>
    </w:p>
    <w:p>
      <w:pPr>
        <w:jc w:val="both"/>
        <w:spacing w:after="0" w:line="226" w:lineRule="auto"/>
        <w:rPr>
          <w:sz w:val="20"/>
          <w:szCs w:val="20"/>
          <w:color w:val="auto"/>
        </w:rPr>
      </w:pPr>
      <w:r>
        <w:rPr>
          <w:rFonts w:ascii="Arial" w:cs="Arial" w:eastAsia="Arial" w:hAnsi="Arial"/>
          <w:sz w:val="17"/>
          <w:szCs w:val="17"/>
          <w:b w:val="1"/>
          <w:bCs w:val="1"/>
          <w:i w:val="1"/>
          <w:iCs w:val="1"/>
          <w:color w:val="auto"/>
        </w:rPr>
        <w:t xml:space="preserve">Foreign currency translation: </w:t>
      </w:r>
      <w:r>
        <w:rPr>
          <w:rFonts w:ascii="Arial" w:cs="Arial" w:eastAsia="Arial" w:hAnsi="Arial"/>
          <w:sz w:val="17"/>
          <w:szCs w:val="17"/>
          <w:color w:val="auto"/>
        </w:rPr>
        <w:t>The financial position and results of operations of our foreign subsidiary in the UK are measured using local currency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functional currency. Assets and liabilities of such subsidiary have been translated into U.S. dollars at the year-end exchange rate, related sales and expenses have been translated at the exchange rate as of the date the transaction was recognized, and shareholders’ equity has been translated at historical exchange rates. The resulting translation gains or losses, net of tax, are recorded in shareholders’ equity as a cumulative translation adjustment, which is a component of accumulated other comprehensive income. Foreign currency transaction gains and losses, including those related to intercompany balances, are recognized in Other, net on the Consolidated Statements of Income.</w:t>
      </w:r>
    </w:p>
    <w:p>
      <w:pPr>
        <w:spacing w:after="0" w:line="124" w:lineRule="exact"/>
        <w:rPr>
          <w:sz w:val="20"/>
          <w:szCs w:val="20"/>
          <w:color w:val="auto"/>
        </w:rPr>
      </w:pPr>
    </w:p>
    <w:p>
      <w:pPr>
        <w:jc w:val="both"/>
        <w:spacing w:after="0" w:line="219" w:lineRule="auto"/>
        <w:rPr>
          <w:sz w:val="20"/>
          <w:szCs w:val="20"/>
          <w:color w:val="auto"/>
        </w:rPr>
      </w:pPr>
      <w:r>
        <w:rPr>
          <w:rFonts w:ascii="Arial" w:cs="Arial" w:eastAsia="Arial" w:hAnsi="Arial"/>
          <w:sz w:val="18"/>
          <w:szCs w:val="18"/>
          <w:b w:val="1"/>
          <w:bCs w:val="1"/>
          <w:i w:val="1"/>
          <w:iCs w:val="1"/>
          <w:color w:val="auto"/>
        </w:rPr>
        <w:t xml:space="preserve">Share-based payments: </w:t>
      </w:r>
      <w:r>
        <w:rPr>
          <w:rFonts w:ascii="Arial" w:cs="Arial" w:eastAsia="Arial" w:hAnsi="Arial"/>
          <w:sz w:val="18"/>
          <w:szCs w:val="18"/>
          <w:color w:val="auto"/>
        </w:rPr>
        <w:t>At December 31, 2019, we have share-based employee compensation plans, which are described more fully in Note 10 -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plans. We account for those plans under the recognition and measurement principles of ASC 718, “Compensation – Stock Compensation” (“ASC 718”). Share-based compensation expense is measured at the grant date, based on the estimated fair value of the award, and is recognized as expense over the employee’s requisite service period.</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use the Black-Scholes option-pricing model to calculate the fair value of share based awards. The key assumptions for this valuation method include the expected term of the option, stock price volatility, risk-free interest rate, dividend yield, market price of our underlying stock and exercise price. Many of these assumptions are judgmental and highly sensitive in the determination of compensation expense. Beginning in the first quarter of 2017, we recognize forfeitures as they occur.</w:t>
      </w:r>
    </w:p>
    <w:p>
      <w:pPr>
        <w:spacing w:after="0" w:line="12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May 2017, the FASB issued ASU No. 2017-09, "Compensation-Stock Compensation: Scope of modification accounting". ASU 2017-09 provides guidance about which changes to the terms or conditions of a share-based payment award require an entity to apply modification accounting in ASC 718. ASU No. 2017-09 was effective for fiscal years beginning after December 15, 2017. The amendments are applied prospectively to an award modified on or after the adoption date. We adopted this guidance in the first quarter of 2018 and the adoption did not result in a change to our financial statements.</w:t>
      </w:r>
    </w:p>
    <w:p>
      <w:pPr>
        <w:spacing w:after="0" w:line="127" w:lineRule="exact"/>
        <w:rPr>
          <w:sz w:val="20"/>
          <w:szCs w:val="20"/>
          <w:color w:val="auto"/>
        </w:rPr>
      </w:pPr>
    </w:p>
    <w:p>
      <w:pPr>
        <w:jc w:val="both"/>
        <w:spacing w:after="0" w:line="214" w:lineRule="auto"/>
        <w:rPr>
          <w:sz w:val="20"/>
          <w:szCs w:val="20"/>
          <w:color w:val="auto"/>
        </w:rPr>
      </w:pPr>
      <w:r>
        <w:rPr>
          <w:rFonts w:ascii="Arial" w:cs="Arial" w:eastAsia="Arial" w:hAnsi="Arial"/>
          <w:sz w:val="18"/>
          <w:szCs w:val="18"/>
          <w:b w:val="1"/>
          <w:bCs w:val="1"/>
          <w:i w:val="1"/>
          <w:iCs w:val="1"/>
          <w:color w:val="auto"/>
        </w:rPr>
        <w:t xml:space="preserve">Net income and loss per share: </w:t>
      </w:r>
      <w:r>
        <w:rPr>
          <w:rFonts w:ascii="Arial" w:cs="Arial" w:eastAsia="Arial" w:hAnsi="Arial"/>
          <w:sz w:val="18"/>
          <w:szCs w:val="18"/>
          <w:color w:val="auto"/>
        </w:rPr>
        <w:t>We report net income or loss per share in accordance with ASC 260, “Earnings per Share (EPS).” Under this guidance,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basic EPS, which excludes dilution, is computed by dividing income or loss available to common shareholders by the weighted average number of common shares outstanding for the period. Diluted EPS reflects the potential dilution that could occur if securities or other contracts to issue common stock were exercised or converted into common stock. Diluted EPS includes in-the-money stock options using the treasury stock method. During a loss period, the assumed exercise of in-the-money stock options has an anti-dilutive effect, and therefore, these instruments are excluded from the computation of dilutive EPS. See Note 12 - 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Note receivable</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note receivable balance relates to a loan given to a third party and repayment is expected to occur in 12 months or less of original issuance. The note receivable has an interest rate of 4.5% and is due in April 2020. Notes receivable are stated at unpaid balances and interest income is recognized on the accrual method. As of December 31, 2019, we have no allowances for loan losses, unamortized deferred loan fees or unearned discounts.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4. Inventories, net</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680" w:type="dxa"/>
            <w:vAlign w:val="bottom"/>
          </w:tcPr>
          <w:p>
            <w:pPr>
              <w:spacing w:after="0"/>
              <w:rPr>
                <w:sz w:val="20"/>
                <w:szCs w:val="20"/>
                <w:color w:val="auto"/>
              </w:rPr>
            </w:pPr>
            <w:r>
              <w:rPr>
                <w:rFonts w:ascii="Arial" w:cs="Arial" w:eastAsia="Arial" w:hAnsi="Arial"/>
                <w:sz w:val="18"/>
                <w:szCs w:val="18"/>
                <w:color w:val="auto"/>
              </w:rPr>
              <w:t>The components of inventories, net are:</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6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 and purchased component parts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7,724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6,593</w:t>
            </w: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4,375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6,213</w:t>
            </w: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12,099</w:t>
            </w:r>
          </w:p>
        </w:tc>
        <w:tc>
          <w:tcPr>
            <w:tcW w:w="3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12,835</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5. Fixed assets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680" w:type="dxa"/>
            <w:vAlign w:val="bottom"/>
          </w:tcPr>
          <w:p>
            <w:pPr>
              <w:spacing w:after="0"/>
              <w:rPr>
                <w:sz w:val="20"/>
                <w:szCs w:val="20"/>
                <w:color w:val="auto"/>
              </w:rPr>
            </w:pPr>
            <w:r>
              <w:rPr>
                <w:rFonts w:ascii="Arial" w:cs="Arial" w:eastAsia="Arial" w:hAnsi="Arial"/>
                <w:sz w:val="18"/>
                <w:szCs w:val="18"/>
                <w:color w:val="auto"/>
              </w:rPr>
              <w:t>The components of fixed assets, net are:</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6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Tooling, machinery and equipment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9,175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11,177</w:t>
            </w: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Furniture and office equipment</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1,694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software and equipment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7,062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6,930</w:t>
            </w:r>
          </w:p>
        </w:tc>
        <w:tc>
          <w:tcPr>
            <w:tcW w:w="0" w:type="dxa"/>
            <w:vAlign w:val="bottom"/>
          </w:tcPr>
          <w:p>
            <w:pPr>
              <w:spacing w:after="0"/>
              <w:rPr>
                <w:sz w:val="1"/>
                <w:szCs w:val="1"/>
                <w:color w:val="auto"/>
              </w:rPr>
            </w:pPr>
          </w:p>
        </w:tc>
      </w:tr>
      <w:tr>
        <w:trPr>
          <w:trHeight w:val="210"/>
        </w:trPr>
        <w:tc>
          <w:tcPr>
            <w:tcW w:w="868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2,696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20,627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22,463</w:t>
            </w:r>
          </w:p>
        </w:tc>
        <w:tc>
          <w:tcPr>
            <w:tcW w:w="0" w:type="dxa"/>
            <w:vAlign w:val="bottom"/>
          </w:tcPr>
          <w:p>
            <w:pPr>
              <w:spacing w:after="0"/>
              <w:rPr>
                <w:sz w:val="1"/>
                <w:szCs w:val="1"/>
                <w:color w:val="auto"/>
              </w:rPr>
            </w:pPr>
          </w:p>
        </w:tc>
      </w:tr>
      <w:tr>
        <w:trPr>
          <w:trHeight w:val="209"/>
        </w:trPr>
        <w:tc>
          <w:tcPr>
            <w:tcW w:w="868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(19,010)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(20,518)</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1,617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10"/>
        </w:trPr>
        <w:tc>
          <w:tcPr>
            <w:tcW w:w="8680" w:type="dxa"/>
            <w:vAlign w:val="bottom"/>
          </w:tcPr>
          <w:p>
            <w:pPr>
              <w:spacing w:after="0" w:line="202" w:lineRule="exact"/>
              <w:rPr>
                <w:sz w:val="20"/>
                <w:szCs w:val="20"/>
                <w:color w:val="auto"/>
              </w:rPr>
            </w:pPr>
            <w:r>
              <w:rPr>
                <w:rFonts w:ascii="Arial" w:cs="Arial" w:eastAsia="Arial" w:hAnsi="Arial"/>
                <w:sz w:val="18"/>
                <w:szCs w:val="18"/>
                <w:color w:val="auto"/>
              </w:rPr>
              <w:t>Construction in-process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627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43"/>
        </w:trPr>
        <w:tc>
          <w:tcPr>
            <w:tcW w:w="8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2,244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2" w:right="3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6. Intangible assets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Identifiable intangible assets are recorded in Intangible assets in the accompanying Consolidated Balance Sheets and are comprised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8"/>
                <w:szCs w:val="18"/>
                <w:color w:val="auto"/>
              </w:rPr>
              <w:t>December 31,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240"/>
              <w:spacing w:after="0" w:line="202" w:lineRule="exact"/>
              <w:rPr>
                <w:sz w:val="20"/>
                <w:szCs w:val="20"/>
                <w:color w:val="auto"/>
              </w:rPr>
            </w:pPr>
            <w:r>
              <w:rPr>
                <w:rFonts w:ascii="Arial" w:cs="Arial" w:eastAsia="Arial" w:hAnsi="Arial"/>
                <w:sz w:val="18"/>
                <w:szCs w:val="18"/>
                <w:color w:val="auto"/>
              </w:rPr>
              <w:t>2019</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211"/>
              <w:spacing w:after="0" w:line="202" w:lineRule="exact"/>
              <w:rPr>
                <w:sz w:val="20"/>
                <w:szCs w:val="20"/>
                <w:color w:val="auto"/>
              </w:rPr>
            </w:pPr>
            <w:r>
              <w:rPr>
                <w:rFonts w:ascii="Arial" w:cs="Arial" w:eastAsia="Arial" w:hAnsi="Arial"/>
                <w:sz w:val="18"/>
                <w:szCs w:val="18"/>
                <w:color w:val="auto"/>
              </w:rPr>
              <w:t>2018</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9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12"/>
                <w:szCs w:val="12"/>
                <w:color w:val="auto"/>
              </w:rPr>
            </w:pPr>
          </w:p>
        </w:tc>
        <w:tc>
          <w:tcPr>
            <w:tcW w:w="1080" w:type="dxa"/>
            <w:vAlign w:val="bottom"/>
          </w:tcPr>
          <w:p>
            <w:pPr>
              <w:jc w:val="right"/>
              <w:ind w:right="391"/>
              <w:spacing w:after="0" w:line="149" w:lineRule="exact"/>
              <w:rPr>
                <w:sz w:val="20"/>
                <w:szCs w:val="20"/>
                <w:color w:val="auto"/>
              </w:rPr>
            </w:pPr>
            <w:r>
              <w:rPr>
                <w:rFonts w:ascii="Arial" w:cs="Arial" w:eastAsia="Arial" w:hAnsi="Arial"/>
                <w:sz w:val="17"/>
                <w:szCs w:val="17"/>
                <w:color w:val="auto"/>
              </w:rPr>
              <w:t>Gross</w:t>
            </w:r>
          </w:p>
        </w:tc>
        <w:tc>
          <w:tcPr>
            <w:tcW w:w="120" w:type="dxa"/>
            <w:vAlign w:val="bottom"/>
          </w:tcPr>
          <w:p>
            <w:pPr>
              <w:spacing w:after="0"/>
              <w:rPr>
                <w:sz w:val="12"/>
                <w:szCs w:val="12"/>
                <w:color w:val="auto"/>
              </w:rPr>
            </w:pPr>
          </w:p>
        </w:tc>
        <w:tc>
          <w:tcPr>
            <w:tcW w:w="1240" w:type="dxa"/>
            <w:vAlign w:val="bottom"/>
            <w:gridSpan w:val="2"/>
          </w:tcPr>
          <w:p>
            <w:pPr>
              <w:jc w:val="right"/>
              <w:ind w:right="110"/>
              <w:spacing w:after="0" w:line="149" w:lineRule="exact"/>
              <w:rPr>
                <w:sz w:val="20"/>
                <w:szCs w:val="20"/>
                <w:color w:val="auto"/>
              </w:rPr>
            </w:pPr>
            <w:r>
              <w:rPr>
                <w:rFonts w:ascii="Arial" w:cs="Arial" w:eastAsia="Arial" w:hAnsi="Arial"/>
                <w:sz w:val="17"/>
                <w:szCs w:val="17"/>
                <w:color w:val="auto"/>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371"/>
              <w:spacing w:after="0" w:line="149" w:lineRule="exact"/>
              <w:rPr>
                <w:sz w:val="20"/>
                <w:szCs w:val="20"/>
                <w:color w:val="auto"/>
              </w:rPr>
            </w:pPr>
            <w:r>
              <w:rPr>
                <w:rFonts w:ascii="Arial" w:cs="Arial" w:eastAsia="Arial" w:hAnsi="Arial"/>
                <w:sz w:val="17"/>
                <w:szCs w:val="17"/>
                <w:color w:val="auto"/>
              </w:rPr>
              <w:t>Gross</w:t>
            </w:r>
          </w:p>
        </w:tc>
        <w:tc>
          <w:tcPr>
            <w:tcW w:w="100" w:type="dxa"/>
            <w:vAlign w:val="bottom"/>
          </w:tcPr>
          <w:p>
            <w:pPr>
              <w:spacing w:after="0"/>
              <w:rPr>
                <w:sz w:val="12"/>
                <w:szCs w:val="12"/>
                <w:color w:val="auto"/>
              </w:rPr>
            </w:pPr>
          </w:p>
        </w:tc>
        <w:tc>
          <w:tcPr>
            <w:tcW w:w="1220" w:type="dxa"/>
            <w:vAlign w:val="bottom"/>
            <w:gridSpan w:val="2"/>
          </w:tcPr>
          <w:p>
            <w:pPr>
              <w:jc w:val="right"/>
              <w:ind w:right="90"/>
              <w:spacing w:after="0" w:line="149" w:lineRule="exact"/>
              <w:rPr>
                <w:sz w:val="20"/>
                <w:szCs w:val="20"/>
                <w:color w:val="auto"/>
              </w:rPr>
            </w:pPr>
            <w:r>
              <w:rPr>
                <w:rFonts w:ascii="Arial" w:cs="Arial" w:eastAsia="Arial" w:hAnsi="Arial"/>
                <w:sz w:val="17"/>
                <w:szCs w:val="17"/>
                <w:color w:val="auto"/>
              </w:rPr>
              <w:t>Accumulated</w:t>
            </w:r>
          </w:p>
        </w:tc>
        <w:tc>
          <w:tcPr>
            <w:tcW w:w="0" w:type="dxa"/>
            <w:vAlign w:val="bottom"/>
          </w:tcPr>
          <w:p>
            <w:pPr>
              <w:spacing w:after="0"/>
              <w:rPr>
                <w:sz w:val="1"/>
                <w:szCs w:val="1"/>
                <w:color w:val="auto"/>
              </w:rPr>
            </w:pPr>
          </w:p>
        </w:tc>
      </w:tr>
      <w:tr>
        <w:trPr>
          <w:trHeight w:val="209"/>
        </w:trPr>
        <w:tc>
          <w:tcPr>
            <w:tcW w:w="598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1"/>
              <w:spacing w:after="0" w:line="202" w:lineRule="exact"/>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110"/>
              <w:spacing w:after="0" w:line="202" w:lineRule="exact"/>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1"/>
              <w:spacing w:after="0" w:line="202" w:lineRule="exact"/>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8"/>
                <w:szCs w:val="18"/>
                <w:color w:val="auto"/>
              </w:rPr>
            </w:pPr>
          </w:p>
        </w:tc>
        <w:tc>
          <w:tcPr>
            <w:tcW w:w="1220" w:type="dxa"/>
            <w:vAlign w:val="bottom"/>
            <w:tcBorders>
              <w:bottom w:val="single" w:sz="8" w:color="auto"/>
            </w:tcBorders>
            <w:gridSpan w:val="2"/>
          </w:tcPr>
          <w:p>
            <w:pPr>
              <w:jc w:val="right"/>
              <w:ind w:right="90"/>
              <w:spacing w:after="0" w:line="202" w:lineRule="exact"/>
              <w:rPr>
                <w:sz w:val="20"/>
                <w:szCs w:val="20"/>
                <w:color w:val="auto"/>
              </w:rPr>
            </w:pPr>
            <w:r>
              <w:rPr>
                <w:rFonts w:ascii="Arial" w:cs="Arial" w:eastAsia="Arial" w:hAnsi="Arial"/>
                <w:sz w:val="18"/>
                <w:szCs w:val="18"/>
                <w:color w:val="auto"/>
              </w:rPr>
              <w:t>Amortization</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Purchased technology</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2,526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2,221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17"/>
                <w:szCs w:val="17"/>
                <w:color w:val="auto"/>
              </w:rPr>
            </w:pPr>
          </w:p>
        </w:tc>
        <w:tc>
          <w:tcPr>
            <w:tcW w:w="10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1,300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1,300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Trademark</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Covenant not to compete</w:t>
            </w:r>
          </w:p>
        </w:tc>
        <w:tc>
          <w:tcPr>
            <w:tcW w:w="180" w:type="dxa"/>
            <w:vAlign w:val="bottom"/>
          </w:tcPr>
          <w:p>
            <w:pPr>
              <w:spacing w:after="0"/>
              <w:rPr>
                <w:sz w:val="17"/>
                <w:szCs w:val="17"/>
                <w:color w:val="auto"/>
              </w:rPr>
            </w:pPr>
          </w:p>
        </w:tc>
        <w:tc>
          <w:tcPr>
            <w:tcW w:w="10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146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146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Patents</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9"/>
        </w:trPr>
        <w:tc>
          <w:tcPr>
            <w:tcW w:w="59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59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4,588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4,284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(3,487)</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Amortization expense was $284 thousand, $128 thousand and $237 thousand in 2019, 2018 and 2017, respectively. Amortization expense for each of the next five years ending December 31 is expected to be as follows: $237 thousand in 2020; $185 thousand in 2021; $154 thousand in 2022; $154 thousand in 2023; $87 thousand in 2024; and none thereafter.</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7. Accrued liabilities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680" w:type="dxa"/>
            <w:vAlign w:val="bottom"/>
          </w:tcPr>
          <w:p>
            <w:pPr>
              <w:spacing w:after="0"/>
              <w:rPr>
                <w:sz w:val="20"/>
                <w:szCs w:val="20"/>
                <w:color w:val="auto"/>
              </w:rPr>
            </w:pPr>
            <w:r>
              <w:rPr>
                <w:rFonts w:ascii="Arial" w:cs="Arial" w:eastAsia="Arial" w:hAnsi="Arial"/>
                <w:sz w:val="18"/>
                <w:szCs w:val="18"/>
                <w:color w:val="auto"/>
              </w:rPr>
              <w:t>The components of accrued liabilities are:</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6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 and compensation related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1,541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Warranty</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Professional and consulting</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0"/>
        </w:trPr>
        <w:tc>
          <w:tcPr>
            <w:tcW w:w="86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861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43"/>
        </w:trPr>
        <w:tc>
          <w:tcPr>
            <w:tcW w:w="8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3,041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Retirement savings plan</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maintain a 401(k) plan under which all full-time employees are eligible to participate at the beginning of each month immediately following their date of hire. We match employees’ contributions at a rate of 50% of employees’ contributions up to the first 6% of the employees’ compensation contributed to the 401(k) plan. Our matching contributions were $305 thousand, $237 thousand and $264 thousand in 2019, 2018, and 2017,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Borrowings</w:t>
      </w:r>
    </w:p>
    <w:p>
      <w:pPr>
        <w:spacing w:after="0" w:line="148"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During 2019, we maintained a credit facility (the “TD Bank Credit Facility”) with TD Bank N.A. (“TD Bank) which provided for a $20 million revolving credit line. On November 21, 2017, we signed an amendment to the TD Bank Credit Facility extending the term through November 28, 2022. Borrowings under the revolving credit line bear a floating rate of interest at the prime rate minus one percent and are secured by a lien on all our assets. We also pay a fee of 0.125% on unused borrowings under the revolving credit line. The amendment increased the amount of revolving credit loans we may use to fund future cash dividend payments or treasury share buybacks to $12.5 million from $10 million.</w:t>
      </w:r>
    </w:p>
    <w:p>
      <w:pPr>
        <w:spacing w:after="0" w:line="12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TD Bank Credit Facility imposes certain quarterly financial covenants on us and restricts, among other things, our ability to incur additional indebtedness and the creation of other liens. On November 6, 2019, we amended our TD Credit Facility to change the definition of interest expense to exclude fees paid on unused borrowings under the revolving credit line which is used to calculate total debt service in the operating cash flow to total debt service financial covenant. We were in compliance with all financial covenants of the TD Bank Credit Facility at December 31, 2019.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had no outstanding borrowings under the TD Bank Credit facility.</w:t>
      </w:r>
    </w:p>
    <w:p>
      <w:pPr>
        <w:spacing w:after="0" w:line="144"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On March 13, 2020, we terminated our TD Bank Credit Facility and signed a new credit facility with Siena Lending Group LLC. See Note 17 – Subsequent Event.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10. Stock incentive plans</w:t>
      </w:r>
    </w:p>
    <w:p>
      <w:pPr>
        <w:spacing w:after="0" w:line="148" w:lineRule="exact"/>
        <w:rPr>
          <w:sz w:val="20"/>
          <w:szCs w:val="20"/>
          <w:color w:val="auto"/>
        </w:rPr>
      </w:pPr>
    </w:p>
    <w:p>
      <w:pPr>
        <w:jc w:val="both"/>
        <w:spacing w:after="0" w:line="223" w:lineRule="auto"/>
        <w:rPr>
          <w:sz w:val="20"/>
          <w:szCs w:val="20"/>
          <w:color w:val="auto"/>
        </w:rPr>
      </w:pPr>
      <w:r>
        <w:rPr>
          <w:rFonts w:ascii="Arial" w:cs="Arial" w:eastAsia="Arial" w:hAnsi="Arial"/>
          <w:sz w:val="17"/>
          <w:szCs w:val="17"/>
          <w:b w:val="1"/>
          <w:bCs w:val="1"/>
          <w:i w:val="1"/>
          <w:iCs w:val="1"/>
          <w:color w:val="auto"/>
        </w:rPr>
        <w:t>Stock incentive plans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currently have two primary stock incentive plans: the 2005 Equity Incentive Plan and 2014 Equity Incentive Plan,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for awards to executives, key employees, directors and consultants. The plans generally provide for awards in the form of: (i) incentive stock options, (ii) non-qualified stock options, (iii) restricted stock, (iv) restricted stock units (which may include performance-based vesting), (v) stock appreciation rights or (vi) limited stock appreciation rights. Awards granted under these plans have exercise prices equal to 100% of the fair market value of the common stock at the date of grant. Awards granted have a ten years-year term and generally vest over a two year- to five year period, unless automatically accelerated for certain defined events. As of May 2014, no new awards were made under the 2005 Equity Incentive Plan. Under our 2014 Equity Incentive Plan, we are authorized to grant awards of up to 1,400,000 shares of TransAct common stock. At December 31, 2019, 332,541 shares of common stock remained available for issuance under the 2014 Equity Incentive Plan.</w:t>
      </w:r>
    </w:p>
    <w:p>
      <w:pPr>
        <w:spacing w:after="0" w:line="126"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Under the assumptions indicated below, the weighted-average per share fair value of stock option grants for 2019, 2018, and 2017 was $3.01, $4.38 and $1.95, respectively. We also issued restricted stock units for certain executives and directors that vest over a specified period of time, and in some instances require achieving certain performance metrics. The weighted-average per share fair value of these restricted stock units was $10.46, $12.91 and $7.53 in 2019, 2018 and 2017 respectively.</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table below indicates the key assumptions used in the option valuation calculations for options granted in 2019, 2018, and 2017 and a discussion of our methodology for developing each of the assumptions used in the valuation model:</w:t>
      </w:r>
    </w:p>
    <w:p>
      <w:pPr>
        <w:spacing w:after="0" w:line="145"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Year Ended December 31,</w:t>
      </w:r>
    </w:p>
    <w:tbl>
      <w:tblPr>
        <w:tblLayout w:type="fixed"/>
        <w:tblInd w:w="0" w:type="dxa"/>
        <w:tblCellMar>
          <w:top w:w="0" w:type="dxa"/>
          <w:left w:w="0" w:type="dxa"/>
          <w:bottom w:w="0" w:type="dxa"/>
          <w:right w:w="0" w:type="dxa"/>
        </w:tblCellMar>
      </w:tblPr>
      <w:tr>
        <w:trPr>
          <w:trHeight w:val="216"/>
        </w:trPr>
        <w:tc>
          <w:tcPr>
            <w:tcW w:w="72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3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2018</w:t>
            </w:r>
          </w:p>
        </w:tc>
        <w:tc>
          <w:tcPr>
            <w:tcW w:w="5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2017</w:t>
            </w:r>
          </w:p>
        </w:tc>
      </w:tr>
      <w:tr>
        <w:trPr>
          <w:trHeight w:val="203"/>
        </w:trPr>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option term (in years)</w:t>
            </w:r>
          </w:p>
        </w:tc>
        <w:tc>
          <w:tcPr>
            <w:tcW w:w="7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6.8</w:t>
            </w:r>
          </w:p>
        </w:tc>
      </w:tr>
      <w:tr>
        <w:trPr>
          <w:trHeight w:val="203"/>
        </w:trPr>
        <w:tc>
          <w:tcPr>
            <w:tcW w:w="7980" w:type="dxa"/>
            <w:vAlign w:val="bottom"/>
            <w:gridSpan w:val="2"/>
          </w:tcPr>
          <w:p>
            <w:pPr>
              <w:spacing w:after="0" w:line="202" w:lineRule="exact"/>
              <w:rPr>
                <w:sz w:val="20"/>
                <w:szCs w:val="20"/>
                <w:color w:val="auto"/>
              </w:rPr>
            </w:pPr>
            <w:r>
              <w:rPr>
                <w:rFonts w:ascii="Arial" w:cs="Arial" w:eastAsia="Arial" w:hAnsi="Arial"/>
                <w:sz w:val="18"/>
                <w:szCs w:val="18"/>
                <w:color w:val="auto"/>
              </w:rPr>
              <w:t>Expected volatility</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w w:val="93"/>
              </w:rPr>
              <w:t>38.8%</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w w:val="93"/>
              </w:rPr>
              <w:t>38.0%</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36.2%</w:t>
            </w:r>
          </w:p>
        </w:tc>
      </w:tr>
      <w:tr>
        <w:trPr>
          <w:trHeight w:val="203"/>
        </w:trPr>
        <w:tc>
          <w:tcPr>
            <w:tcW w:w="7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1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4.3%</w:t>
            </w:r>
          </w:p>
        </w:tc>
      </w:tr>
    </w:tbl>
    <w:p>
      <w:pPr>
        <w:spacing w:after="0" w:line="120"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b w:val="1"/>
          <w:bCs w:val="1"/>
          <w:i w:val="1"/>
          <w:iCs w:val="1"/>
          <w:color w:val="auto"/>
        </w:rPr>
        <w:t xml:space="preserve">Expected Option Term </w:t>
      </w:r>
      <w:r>
        <w:rPr>
          <w:rFonts w:ascii="Arial" w:cs="Arial" w:eastAsia="Arial" w:hAnsi="Arial"/>
          <w:sz w:val="18"/>
          <w:szCs w:val="18"/>
          <w:color w:val="auto"/>
        </w:rPr>
        <w:t>- This is the weighted average period of time over which the options granted are expected to remain outstanding giving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consideration to our historical exercise patterns. Options granted have a maximum term of ten years and an increase in the expected term will increase compensation expense.</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 xml:space="preserve">Expected Volatility </w:t>
      </w:r>
      <w:r>
        <w:rPr>
          <w:rFonts w:ascii="Arial" w:cs="Arial" w:eastAsia="Arial" w:hAnsi="Arial"/>
          <w:sz w:val="18"/>
          <w:szCs w:val="18"/>
          <w:color w:val="auto"/>
        </w:rPr>
        <w:t>– The stock volatility for each grant is measured using the weighted average of historical daily price changes of our common stock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most recent period approximately equal to the expected option term of the grant. An increase in the expected volatility factor will increase compensation expense.</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 This is the U.S. Treasury rate in effect at the time of grant having a term approximately equal to the expected term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An increase in the risk-free interest rate will increase compensation expense.</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Dividend Yield </w:t>
      </w:r>
      <w:r>
        <w:rPr>
          <w:rFonts w:ascii="Arial" w:cs="Arial" w:eastAsia="Arial" w:hAnsi="Arial"/>
          <w:sz w:val="18"/>
          <w:szCs w:val="18"/>
          <w:color w:val="auto"/>
        </w:rPr>
        <w:t>–The dividend yield is calculated by dividing the annual dividend declared per common share by the weighted average market value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on the date of grant. An increase in the dividend yield will decrease compensation expense.</w:t>
      </w:r>
    </w:p>
    <w:p>
      <w:pPr>
        <w:spacing w:after="0" w:line="12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For 2019, 2018, and 2017, we recorded $692 thousand, $629 thousand, and $609 thousand of share-based compensation expense, respectively, included primarily in general and administrative expense in our Consolidated Statements of Income. We also recorded income tax benefits of $152 thousand, $138 thousand, and $134 thousand in 2019, 2018, and 2017 respectively, related to such share-based compensation. At December 31, 2019, these benefits are recorded as a deferred tax asset in the Consolidated Balance Sheets.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Equity award activity in the 2005 Equity Incentive Plan and 2014 Equity Incentive Plan is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80" w:type="dxa"/>
            <w:vAlign w:val="bottom"/>
          </w:tcPr>
          <w:p>
            <w:pPr>
              <w:spacing w:after="0"/>
              <w:rPr>
                <w:sz w:val="18"/>
                <w:szCs w:val="18"/>
                <w:color w:val="auto"/>
              </w:rPr>
            </w:pPr>
          </w:p>
        </w:tc>
        <w:tc>
          <w:tcPr>
            <w:tcW w:w="1940" w:type="dxa"/>
            <w:vAlign w:val="bottom"/>
            <w:tcBorders>
              <w:bottom w:val="single" w:sz="8" w:color="auto"/>
            </w:tcBorders>
            <w:gridSpan w:val="4"/>
          </w:tcPr>
          <w:p>
            <w:pPr>
              <w:jc w:val="right"/>
              <w:ind w:right="98"/>
              <w:spacing w:after="0"/>
              <w:rPr>
                <w:sz w:val="20"/>
                <w:szCs w:val="20"/>
                <w:color w:val="auto"/>
              </w:rPr>
            </w:pPr>
            <w:r>
              <w:rPr>
                <w:rFonts w:ascii="Arial" w:cs="Arial" w:eastAsia="Arial" w:hAnsi="Arial"/>
                <w:sz w:val="18"/>
                <w:szCs w:val="18"/>
                <w:color w:val="auto"/>
              </w:rPr>
              <w:t>Stock Options</w:t>
            </w:r>
          </w:p>
        </w:tc>
        <w:tc>
          <w:tcPr>
            <w:tcW w:w="5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Borders>
              <w:bottom w:val="single" w:sz="8" w:color="auto"/>
            </w:tcBorders>
            <w:gridSpan w:val="5"/>
          </w:tcPr>
          <w:p>
            <w:pPr>
              <w:jc w:val="right"/>
              <w:ind w:right="431"/>
              <w:spacing w:after="0"/>
              <w:rPr>
                <w:sz w:val="20"/>
                <w:szCs w:val="20"/>
                <w:color w:val="auto"/>
              </w:rPr>
            </w:pPr>
            <w:r>
              <w:rPr>
                <w:rFonts w:ascii="Arial" w:cs="Arial" w:eastAsia="Arial" w:hAnsi="Arial"/>
                <w:sz w:val="18"/>
                <w:szCs w:val="18"/>
                <w:color w:val="auto"/>
              </w:rPr>
              <w:t>Restricted Stock Units</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260" w:type="dxa"/>
            <w:vAlign w:val="bottom"/>
            <w:gridSpan w:val="2"/>
          </w:tcPr>
          <w:p>
            <w:pPr>
              <w:jc w:val="right"/>
              <w:ind w:right="300"/>
              <w:spacing w:after="0" w:line="149" w:lineRule="exact"/>
              <w:rPr>
                <w:sz w:val="20"/>
                <w:szCs w:val="20"/>
                <w:color w:val="auto"/>
              </w:rPr>
            </w:pPr>
            <w:r>
              <w:rPr>
                <w:rFonts w:ascii="Arial" w:cs="Arial" w:eastAsia="Arial" w:hAnsi="Arial"/>
                <w:sz w:val="17"/>
                <w:szCs w:val="17"/>
                <w:color w:val="auto"/>
              </w:rPr>
              <w:t>Number of</w:t>
            </w:r>
          </w:p>
        </w:tc>
        <w:tc>
          <w:tcPr>
            <w:tcW w:w="120" w:type="dxa"/>
            <w:vAlign w:val="bottom"/>
          </w:tcPr>
          <w:p>
            <w:pPr>
              <w:spacing w:after="0"/>
              <w:rPr>
                <w:sz w:val="12"/>
                <w:szCs w:val="12"/>
                <w:color w:val="auto"/>
              </w:rPr>
            </w:pPr>
          </w:p>
        </w:tc>
        <w:tc>
          <w:tcPr>
            <w:tcW w:w="134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w w:val="89"/>
              </w:rPr>
              <w:t>Average Price*</w:t>
            </w: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7"/>
                <w:szCs w:val="17"/>
                <w:color w:val="auto"/>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271"/>
              <w:spacing w:after="0" w:line="149" w:lineRule="exact"/>
              <w:rPr>
                <w:sz w:val="20"/>
                <w:szCs w:val="20"/>
                <w:color w:val="auto"/>
              </w:rPr>
            </w:pPr>
            <w:r>
              <w:rPr>
                <w:rFonts w:ascii="Arial" w:cs="Arial" w:eastAsia="Arial" w:hAnsi="Arial"/>
                <w:sz w:val="17"/>
                <w:szCs w:val="17"/>
                <w:color w:val="auto"/>
              </w:rPr>
              <w:t>Average</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1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Units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91"/>
              <w:spacing w:after="0" w:line="202" w:lineRule="exact"/>
              <w:rPr>
                <w:sz w:val="20"/>
                <w:szCs w:val="20"/>
                <w:color w:val="auto"/>
              </w:rPr>
            </w:pPr>
            <w:r>
              <w:rPr>
                <w:rFonts w:ascii="Arial" w:cs="Arial" w:eastAsia="Arial" w:hAnsi="Arial"/>
                <w:sz w:val="18"/>
                <w:szCs w:val="18"/>
                <w:color w:val="auto"/>
              </w:rPr>
              <w:t>Price**</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2018</w:t>
            </w:r>
          </w:p>
        </w:tc>
        <w:tc>
          <w:tcPr>
            <w:tcW w:w="1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1,004,293</w:t>
            </w: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39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9.00</w:t>
            </w:r>
          </w:p>
        </w:tc>
        <w:tc>
          <w:tcPr>
            <w:tcW w:w="220" w:type="dxa"/>
            <w:vAlign w:val="bottom"/>
            <w:shd w:val="clear" w:color="auto" w:fill="CCEEFF"/>
          </w:tcPr>
          <w:p>
            <w:pPr>
              <w:spacing w:after="0"/>
              <w:rPr>
                <w:sz w:val="17"/>
                <w:szCs w:val="17"/>
                <w:color w:val="auto"/>
              </w:rPr>
            </w:pPr>
          </w:p>
        </w:tc>
        <w:tc>
          <w:tcPr>
            <w:tcW w:w="1220" w:type="dxa"/>
            <w:vAlign w:val="bottom"/>
            <w:tcBorders>
              <w:top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98,600</w:t>
            </w: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03"/>
        </w:trPr>
        <w:tc>
          <w:tcPr>
            <w:tcW w:w="598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180,675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10.31</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58,050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(45,167)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3"/>
        </w:trPr>
        <w:tc>
          <w:tcPr>
            <w:tcW w:w="5980" w:type="dxa"/>
            <w:vAlign w:val="bottom"/>
          </w:tcPr>
          <w:p>
            <w:pPr>
              <w:ind w:left="180"/>
              <w:spacing w:after="0" w:line="202" w:lineRule="exact"/>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(36,625)</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8.72</w:t>
            </w:r>
          </w:p>
        </w:tc>
        <w:tc>
          <w:tcPr>
            <w:tcW w:w="1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(20,908)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Expired</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(5,875)</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6.05</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Outstanding at December 31, 2019</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1,142,468</w:t>
            </w:r>
          </w:p>
        </w:tc>
        <w:tc>
          <w:tcPr>
            <w:tcW w:w="140" w:type="dxa"/>
            <w:vAlign w:val="bottom"/>
          </w:tcPr>
          <w:p>
            <w:pPr>
              <w:spacing w:after="0"/>
              <w:rPr>
                <w:sz w:val="17"/>
                <w:szCs w:val="17"/>
                <w:color w:val="auto"/>
              </w:rPr>
            </w:pPr>
          </w:p>
        </w:tc>
        <w:tc>
          <w:tcPr>
            <w:tcW w:w="680" w:type="dxa"/>
            <w:vAlign w:val="bottom"/>
            <w:gridSpan w:val="2"/>
          </w:tcPr>
          <w:p>
            <w:pPr>
              <w:jc w:val="right"/>
              <w:ind w:right="398"/>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9.23</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90,575</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7680" w:firstLine="8"/>
        <w:spacing w:after="0" w:line="342" w:lineRule="auto"/>
        <w:tabs>
          <w:tab w:leader="none" w:pos="324"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weighted average exercise price per share ** weighted-average grant stock price per share</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information about equity awards outstanding that are vested and expect to vest and equity awards that are exercisable at</w:t>
      </w:r>
    </w:p>
    <w:p>
      <w:pPr>
        <w:spacing w:after="0"/>
        <w:rPr>
          <w:sz w:val="20"/>
          <w:szCs w:val="20"/>
          <w:color w:val="auto"/>
        </w:rPr>
      </w:pPr>
      <w:r>
        <w:rPr>
          <w:rFonts w:ascii="Arial" w:cs="Arial" w:eastAsia="Arial" w:hAnsi="Arial"/>
          <w:sz w:val="18"/>
          <w:szCs w:val="18"/>
          <w:color w:val="auto"/>
        </w:rPr>
        <w:t>December 31, 2019:</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380" w:type="dxa"/>
            <w:vAlign w:val="bottom"/>
          </w:tcPr>
          <w:p>
            <w:pPr>
              <w:spacing w:after="0"/>
              <w:rPr>
                <w:sz w:val="18"/>
                <w:szCs w:val="18"/>
                <w:color w:val="auto"/>
              </w:rPr>
            </w:pPr>
          </w:p>
        </w:tc>
        <w:tc>
          <w:tcPr>
            <w:tcW w:w="4320" w:type="dxa"/>
            <w:vAlign w:val="bottom"/>
            <w:tcBorders>
              <w:bottom w:val="single" w:sz="8" w:color="auto"/>
            </w:tcBorders>
            <w:gridSpan w:val="9"/>
          </w:tcPr>
          <w:p>
            <w:pPr>
              <w:jc w:val="right"/>
              <w:ind w:right="490"/>
              <w:spacing w:after="0"/>
              <w:rPr>
                <w:sz w:val="20"/>
                <w:szCs w:val="20"/>
                <w:color w:val="auto"/>
              </w:rPr>
            </w:pPr>
            <w:r>
              <w:rPr>
                <w:rFonts w:ascii="Arial" w:cs="Arial" w:eastAsia="Arial" w:hAnsi="Arial"/>
                <w:sz w:val="18"/>
                <w:szCs w:val="18"/>
                <w:color w:val="auto"/>
              </w:rPr>
              <w:t>Equity Awards Vested and Expected to Vest</w:t>
            </w:r>
          </w:p>
        </w:tc>
        <w:tc>
          <w:tcPr>
            <w:tcW w:w="220" w:type="dxa"/>
            <w:vAlign w:val="bottom"/>
          </w:tcPr>
          <w:p>
            <w:pPr>
              <w:spacing w:after="0"/>
              <w:rPr>
                <w:sz w:val="18"/>
                <w:szCs w:val="18"/>
                <w:color w:val="auto"/>
              </w:rPr>
            </w:pPr>
          </w:p>
        </w:tc>
        <w:tc>
          <w:tcPr>
            <w:tcW w:w="4220" w:type="dxa"/>
            <w:vAlign w:val="bottom"/>
            <w:tcBorders>
              <w:bottom w:val="single" w:sz="8" w:color="auto"/>
            </w:tcBorders>
            <w:gridSpan w:val="9"/>
          </w:tcPr>
          <w:p>
            <w:pPr>
              <w:jc w:val="right"/>
              <w:ind w:right="710"/>
              <w:spacing w:after="0"/>
              <w:rPr>
                <w:sz w:val="20"/>
                <w:szCs w:val="20"/>
                <w:color w:val="auto"/>
              </w:rPr>
            </w:pPr>
            <w:r>
              <w:rPr>
                <w:rFonts w:ascii="Arial" w:cs="Arial" w:eastAsia="Arial" w:hAnsi="Arial"/>
                <w:sz w:val="18"/>
                <w:szCs w:val="18"/>
                <w:color w:val="auto"/>
              </w:rPr>
              <w:t>Equity Awards That Are Exercisable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w w:val="89"/>
              </w:rPr>
              <w:t>Average</w:t>
            </w: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7"/>
                <w:szCs w:val="17"/>
                <w:color w:val="auto"/>
                <w:w w:val="94"/>
              </w:rPr>
              <w:t>Aggregate</w:t>
            </w: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95"/>
              </w:rPr>
              <w:t>Remaining</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89"/>
              </w:rPr>
              <w:t>Average</w:t>
            </w: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7"/>
                <w:szCs w:val="17"/>
                <w:color w:val="auto"/>
                <w:w w:val="96"/>
              </w:rPr>
              <w:t>Aggregate</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0"/>
              </w:rPr>
              <w:t>Remaining</w:t>
            </w: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Awards</w:t>
            </w: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20"/>
              <w:spacing w:after="0" w:line="176" w:lineRule="exact"/>
              <w:rPr>
                <w:sz w:val="20"/>
                <w:szCs w:val="20"/>
                <w:color w:val="auto"/>
              </w:rPr>
            </w:pPr>
            <w:r>
              <w:rPr>
                <w:rFonts w:ascii="Arial" w:cs="Arial" w:eastAsia="Arial" w:hAnsi="Arial"/>
                <w:sz w:val="18"/>
                <w:szCs w:val="18"/>
                <w:color w:val="auto"/>
                <w:w w:val="96"/>
              </w:rPr>
              <w:t>Intrinsic</w:t>
            </w:r>
          </w:p>
        </w:tc>
        <w:tc>
          <w:tcPr>
            <w:tcW w:w="1100" w:type="dxa"/>
            <w:vAlign w:val="bottom"/>
            <w:gridSpan w:val="2"/>
            <w:vMerge w:val="continue"/>
          </w:tcPr>
          <w:p>
            <w:pPr>
              <w:spacing w:after="0"/>
              <w:rPr>
                <w:sz w:val="15"/>
                <w:szCs w:val="15"/>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8"/>
                <w:szCs w:val="18"/>
                <w:color w:val="auto"/>
              </w:rPr>
              <w:t>Awards</w:t>
            </w: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6"/>
              </w:rPr>
              <w:t>Intrinsic</w:t>
            </w: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Price*</w:t>
            </w:r>
          </w:p>
        </w:tc>
        <w:tc>
          <w:tcPr>
            <w:tcW w:w="120" w:type="dxa"/>
            <w:vAlign w:val="bottom"/>
          </w:tcPr>
          <w:p>
            <w:pPr>
              <w:spacing w:after="0"/>
              <w:rPr>
                <w:sz w:val="18"/>
                <w:szCs w:val="18"/>
                <w:color w:val="auto"/>
              </w:rPr>
            </w:pPr>
          </w:p>
        </w:tc>
        <w:tc>
          <w:tcPr>
            <w:tcW w:w="100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91"/>
              </w:rPr>
              <w:t>Value</w:t>
            </w:r>
          </w:p>
        </w:tc>
        <w:tc>
          <w:tcPr>
            <w:tcW w:w="11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Term**</w:t>
            </w: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95"/>
              </w:rPr>
              <w:t>Price*</w:t>
            </w:r>
          </w:p>
        </w:tc>
        <w:tc>
          <w:tcPr>
            <w:tcW w:w="120" w:type="dxa"/>
            <w:vAlign w:val="bottom"/>
          </w:tcPr>
          <w:p>
            <w:pPr>
              <w:spacing w:after="0"/>
              <w:rPr>
                <w:sz w:val="18"/>
                <w:szCs w:val="18"/>
                <w:color w:val="auto"/>
              </w:rPr>
            </w:pPr>
          </w:p>
        </w:tc>
        <w:tc>
          <w:tcPr>
            <w:tcW w:w="98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86"/>
              </w:rPr>
              <w:t>Value</w:t>
            </w:r>
          </w:p>
        </w:tc>
        <w:tc>
          <w:tcPr>
            <w:tcW w:w="100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Term**</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1,142,468</w:t>
            </w: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9.23</w:t>
            </w: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2,441</w:t>
            </w:r>
          </w:p>
        </w:tc>
        <w:tc>
          <w:tcPr>
            <w:tcW w:w="22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730,500</w:t>
            </w: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8.62</w:t>
            </w: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1,888</w:t>
            </w: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90,575</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994</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weighted average exercise price per share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weighted-average contractual remaining term in years</w:t>
      </w:r>
    </w:p>
    <w:p>
      <w:pPr>
        <w:spacing w:after="0" w:line="15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Shares that are issued upon exercise of employee stock awards are newly issued shares and not issued from treasury stock. As of December 31, 2019, unrecognized compensation cost related to non-vested equity awards granted under our stock incentive plans is approximately $1.5 million, which is expected to be recognized over a weighted average period of 2.1 years.</w:t>
      </w:r>
    </w:p>
    <w:p>
      <w:pPr>
        <w:sectPr>
          <w:pgSz w:w="11900" w:h="16838" w:orient="portrait"/>
          <w:cols w:equalWidth="0" w:num="1">
            <w:col w:w="11240"/>
          </w:cols>
          <w:pgMar w:left="320" w:top="108" w:right="339" w:bottom="1440" w:gutter="0" w:footer="0" w:header="0"/>
        </w:sect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1" w:name="page52"/>
    <w:bookmarkEnd w:id="51"/>
    <w:p>
      <w:pPr>
        <w:jc w:val="both"/>
        <w:spacing w:after="0" w:line="212" w:lineRule="auto"/>
        <w:rPr>
          <w:sz w:val="20"/>
          <w:szCs w:val="20"/>
          <w:color w:val="auto"/>
        </w:rPr>
      </w:pPr>
      <w:r>
        <w:rPr>
          <w:rFonts w:ascii="Arial" w:cs="Arial" w:eastAsia="Arial" w:hAnsi="Arial"/>
          <w:sz w:val="18"/>
          <w:szCs w:val="18"/>
          <w:color w:val="auto"/>
        </w:rPr>
        <w:t>The total fair value of awards vested during the years ended December 31, 2019, 2018, and 2017 was $1.6 million, $1.1 million, and $1.1 million, respectively. The total intrinsic value (which is the amount by which the stock price exceeded the exercise price on the date of exercise) of stock options exercised during the years ended December 31, 2018, and 2017 was $280 thousand and $958 thousand, respectively. No stock options were exercised during the year ended December 31, 2019. Cash received from option exercises was $0.4 million and $1 million for 2018 and 2017, respectively. We recorded a realized tax benefit in 2018 and 2017 from equity-based awards of $17 thousand and $150 thousand, respectively, related to options exercised. Upon adoption of ASU 2016-09 in 2017 tax benefits realized on stock options exercises are included in income tax expense and are no longer included as a component of cash flows.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11. Income taxes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5"/>
        </w:trPr>
        <w:tc>
          <w:tcPr>
            <w:tcW w:w="7320" w:type="dxa"/>
            <w:vAlign w:val="bottom"/>
          </w:tcPr>
          <w:p>
            <w:pPr>
              <w:spacing w:after="0"/>
              <w:rPr>
                <w:sz w:val="20"/>
                <w:szCs w:val="20"/>
                <w:color w:val="auto"/>
              </w:rPr>
            </w:pPr>
            <w:r>
              <w:rPr>
                <w:rFonts w:ascii="Arial" w:cs="Arial" w:eastAsia="Arial" w:hAnsi="Arial"/>
                <w:sz w:val="18"/>
                <w:szCs w:val="18"/>
                <w:color w:val="auto"/>
              </w:rPr>
              <w:t>The components of the income tax provision are as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color w:val="auto"/>
              </w:rPr>
              <w:t>Year Ended 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2,379</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1,147</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2,444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1,097</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1,117</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15"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On December 22, 2017, the United States enacted significant changes to U.S. tax law following the passage and signing of the Tax Reform Act. The legislation significantly changes U.S. tax law by, among other things, lowering corporate income tax rates, implementing a territorial tax system and imposing a one-time repatriation tax on undistributed foreign earnings. The Tax Reform Act permanently reduces the U.S. corporate income tax rate from a maximum of 35% to a flat 21% rate, effective January 1, 2018. Income tax effects resulting from changes in tax laws are accounted for by the Company in accordance with authoritative guidance, which requires that these tax effects be recognized in the period in which the law is enacted.</w:t>
      </w:r>
    </w:p>
    <w:p>
      <w:pPr>
        <w:spacing w:after="0" w:line="125"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The Company uses the asset and liability method of accounting for income taxes. Under this method, deferred tax assets and liabilities are recognized for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reverse. As a result of the reduction of TransAct's U.S. corporate income tax rate from 34% to 21% under the Tax Reform Act, the Company revalued its ending net deferred tax assets at December 31, 2017 and recognized a provisional $1.3 million charge to income tax expense in the Company's consolidated statement of income for the year ended December 31, 2017.</w:t>
      </w:r>
    </w:p>
    <w:p>
      <w:pPr>
        <w:spacing w:after="0" w:line="124"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The Tax Reform Act also provided for a one-time deemed mandatory repatriation of post-1986 undistributed foreign subsidiary earnings and profits ("E&amp;P") through the year ended December 31, 2017. The Company had no undistributed foreign E&amp;P subject to the one-time mandatory repatriation and, therefore, did not recognize any income tax expense related to undistributed foreign subsidiary E&amp;P for the year ended December 31, 2017.</w:t>
      </w:r>
    </w:p>
    <w:p>
      <w:pPr>
        <w:spacing w:after="0" w:line="123"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While the Tax Reform Act provides for a territorial tax system, beginning in 2018, it includes two new U.S. tax base erosion provisions, the global intangible low-taxed income ("GILTI") provisions and the base-erosion and anti-abuse tax ("BEAT") provisions. The GILTI provisions require the Company to include in its U.S. income tax return foreign subsidiary earnings in excess of an allowable return on the foreign subsidiary's tangible assets. The BEAT provisions in the Tax Reform Act eliminate the deduction of certain base-erosion payments made to related foreign corporations, and impose a minimum tax if greater than regular tax. The Company is not currently subject to these taxes and therefore has not included any tax impacts of GILTI or BEAT in its consolidated financial statements for the year ended December 31, 2019 or 2018.</w:t>
      </w:r>
    </w:p>
    <w:p>
      <w:pPr>
        <w:spacing w:after="0" w:line="12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At December 31, 2019, we have no federal or state net operating loss carryforwards, $111 thousand in R&amp;D credit carryforwards, and no state tax credit carryforwards. Foreign loss before taxes was $515 thousand, $286 thousand, and $563 thousand in 2019, 2018, and 2017, respectively.</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2" w:name="page53"/>
    <w:bookmarkEnd w:id="52"/>
    <w:p>
      <w:pPr>
        <w:spacing w:after="0" w:line="235" w:lineRule="auto"/>
        <w:rPr>
          <w:sz w:val="20"/>
          <w:szCs w:val="20"/>
          <w:color w:val="auto"/>
        </w:rPr>
      </w:pPr>
      <w:r>
        <w:rPr>
          <w:rFonts w:ascii="Arial" w:cs="Arial" w:eastAsia="Arial" w:hAnsi="Arial"/>
          <w:sz w:val="18"/>
          <w:szCs w:val="18"/>
          <w:color w:val="auto"/>
        </w:rPr>
        <w:t>Deferred income taxes arise from temporary differences between the tax basis of assets and liabilities and their reported amounts in the Consolidated Financial Statements. Our deferred tax assets and liabilities were comprised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Foreign net operating losses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538</w:t>
            </w:r>
          </w:p>
        </w:tc>
        <w:tc>
          <w:tcPr>
            <w:tcW w:w="3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Inventory reserves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Warranty reserve</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Stock compensation expense</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accrued compensation</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R&amp;D credit carryforward</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liabilities and reserves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3"/>
        </w:trPr>
        <w:tc>
          <w:tcPr>
            <w:tcW w:w="8680" w:type="dxa"/>
            <w:vAlign w:val="bottom"/>
          </w:tcPr>
          <w:p>
            <w:pPr>
              <w:ind w:left="340"/>
              <w:spacing w:after="0" w:line="202" w:lineRule="exact"/>
              <w:rPr>
                <w:sz w:val="20"/>
                <w:szCs w:val="20"/>
                <w:color w:val="auto"/>
              </w:rPr>
            </w:pPr>
            <w:r>
              <w:rPr>
                <w:rFonts w:ascii="Arial" w:cs="Arial" w:eastAsia="Arial" w:hAnsi="Arial"/>
                <w:sz w:val="18"/>
                <w:szCs w:val="18"/>
                <w:color w:val="auto"/>
              </w:rPr>
              <w:t>Gross deferred tax assets</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3,038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Valuation allowance</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9"/>
        </w:trPr>
        <w:tc>
          <w:tcPr>
            <w:tcW w:w="8680" w:type="dxa"/>
            <w:vAlign w:val="bottom"/>
          </w:tcPr>
          <w:p>
            <w:pPr>
              <w:ind w:left="500"/>
              <w:spacing w:after="0" w:line="202" w:lineRule="exact"/>
              <w:rPr>
                <w:sz w:val="20"/>
                <w:szCs w:val="20"/>
                <w:color w:val="auto"/>
              </w:rPr>
            </w:pPr>
            <w:r>
              <w:rPr>
                <w:rFonts w:ascii="Arial" w:cs="Arial" w:eastAsia="Arial" w:hAnsi="Arial"/>
                <w:sz w:val="18"/>
                <w:szCs w:val="18"/>
                <w:color w:val="auto"/>
              </w:rPr>
              <w:t>Net deferred tax assets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2,594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8680" w:type="dxa"/>
            <w:vAlign w:val="bottom"/>
          </w:tcPr>
          <w:p>
            <w:pPr>
              <w:ind w:left="500"/>
              <w:spacing w:after="0" w:line="202" w:lineRule="exact"/>
              <w:rPr>
                <w:sz w:val="20"/>
                <w:szCs w:val="20"/>
                <w:color w:val="auto"/>
              </w:rPr>
            </w:pPr>
            <w:r>
              <w:rPr>
                <w:rFonts w:ascii="Arial" w:cs="Arial" w:eastAsia="Arial" w:hAnsi="Arial"/>
                <w:sz w:val="18"/>
                <w:szCs w:val="18"/>
                <w:color w:val="auto"/>
              </w:rPr>
              <w:t>Net deferred tax liabilities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net deferred tax assets</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2,565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40"/>
        <w:spacing w:after="0" w:line="235" w:lineRule="auto"/>
        <w:rPr>
          <w:sz w:val="20"/>
          <w:szCs w:val="20"/>
          <w:color w:val="auto"/>
        </w:rPr>
      </w:pPr>
      <w:r>
        <w:rPr>
          <w:rFonts w:ascii="Arial" w:cs="Arial" w:eastAsia="Arial" w:hAnsi="Arial"/>
          <w:sz w:val="18"/>
          <w:szCs w:val="18"/>
          <w:color w:val="auto"/>
        </w:rPr>
        <w:t>As of December 31, 2019 a valuation allowance of $444 thousand has been established for foreign net operating loss carryforwards that are not expected to be used. The following table summarizes the activity recorded in the valuation allowance on the deferred tax assets: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44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color w:val="auto"/>
                <w:w w:val="88"/>
              </w:rPr>
              <w:t>Year Ended December 31,</w:t>
            </w:r>
          </w:p>
        </w:tc>
        <w:tc>
          <w:tcPr>
            <w:tcW w:w="8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2019</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2018</w:t>
            </w:r>
          </w:p>
        </w:tc>
        <w:tc>
          <w:tcPr>
            <w:tcW w:w="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390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328</w:t>
            </w:r>
          </w:p>
        </w:tc>
        <w:tc>
          <w:tcPr>
            <w:tcW w:w="1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Additions charged to income tax provision</w:t>
            </w:r>
          </w:p>
        </w:tc>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62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9"/>
        </w:trPr>
        <w:tc>
          <w:tcPr>
            <w:tcW w:w="44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Reductions credited to income tax provision</w:t>
            </w:r>
          </w:p>
        </w:tc>
        <w:tc>
          <w:tcPr>
            <w:tcW w:w="2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Balance, end of period</w:t>
            </w:r>
          </w:p>
        </w:tc>
        <w:tc>
          <w:tcPr>
            <w:tcW w:w="2880" w:type="dxa"/>
            <w:vAlign w:val="bottom"/>
            <w:gridSpan w:val="2"/>
          </w:tcPr>
          <w:p>
            <w:pPr>
              <w:spacing w:after="0"/>
              <w:rPr>
                <w:sz w:val="17"/>
                <w:szCs w:val="17"/>
                <w:color w:val="auto"/>
              </w:rPr>
            </w:pPr>
          </w:p>
        </w:tc>
        <w:tc>
          <w:tcPr>
            <w:tcW w:w="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3"/>
          </w:tcPr>
          <w:p>
            <w:pPr>
              <w:jc w:val="right"/>
              <w:ind w:right="30"/>
              <w:spacing w:after="0" w:line="202" w:lineRule="exact"/>
              <w:rPr>
                <w:sz w:val="20"/>
                <w:szCs w:val="20"/>
                <w:color w:val="auto"/>
              </w:rPr>
            </w:pPr>
            <w:r>
              <w:rPr>
                <w:rFonts w:ascii="Arial" w:cs="Arial" w:eastAsia="Arial" w:hAnsi="Arial"/>
                <w:sz w:val="18"/>
                <w:szCs w:val="18"/>
                <w:color w:val="auto"/>
              </w:rPr>
              <w:t>444</w:t>
            </w:r>
          </w:p>
        </w:tc>
        <w:tc>
          <w:tcPr>
            <w:tcW w:w="120" w:type="dxa"/>
            <w:vAlign w:val="bottom"/>
            <w:gridSpan w:val="2"/>
          </w:tcPr>
          <w:p>
            <w:pPr>
              <w:spacing w:after="0"/>
              <w:rPr>
                <w:sz w:val="17"/>
                <w:szCs w:val="17"/>
                <w:color w:val="auto"/>
              </w:rPr>
            </w:pPr>
          </w:p>
        </w:tc>
        <w:tc>
          <w:tcPr>
            <w:tcW w:w="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tcPr>
          <w:p>
            <w:pPr>
              <w:jc w:val="right"/>
              <w:ind w:right="30"/>
              <w:spacing w:after="0" w:line="202" w:lineRule="exact"/>
              <w:rPr>
                <w:sz w:val="20"/>
                <w:szCs w:val="20"/>
                <w:color w:val="auto"/>
              </w:rPr>
            </w:pPr>
            <w:r>
              <w:rPr>
                <w:rFonts w:ascii="Arial" w:cs="Arial" w:eastAsia="Arial" w:hAnsi="Arial"/>
                <w:sz w:val="18"/>
                <w:szCs w:val="18"/>
                <w:color w:val="auto"/>
              </w:rPr>
              <w:t>390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8580" w:type="dxa"/>
            <w:vAlign w:val="bottom"/>
            <w:gridSpan w:val="7"/>
          </w:tcPr>
          <w:p>
            <w:pPr>
              <w:spacing w:after="0"/>
              <w:rPr>
                <w:sz w:val="20"/>
                <w:szCs w:val="20"/>
                <w:color w:val="auto"/>
              </w:rPr>
            </w:pPr>
            <w:r>
              <w:rPr>
                <w:rFonts w:ascii="Arial" w:cs="Arial" w:eastAsia="Arial" w:hAnsi="Arial"/>
                <w:sz w:val="18"/>
                <w:szCs w:val="18"/>
                <w:color w:val="auto"/>
                <w:w w:val="92"/>
              </w:rPr>
              <w:t>Differences between the U.S. statutory federal income tax rate and our effective income tax rate are analyzed below:</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4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10"/>
          </w:tcPr>
          <w:p>
            <w:pPr>
              <w:jc w:val="right"/>
              <w:ind w:right="110"/>
              <w:spacing w:after="0"/>
              <w:rPr>
                <w:sz w:val="20"/>
                <w:szCs w:val="20"/>
                <w:color w:val="auto"/>
              </w:rPr>
            </w:pPr>
            <w:r>
              <w:rPr>
                <w:rFonts w:ascii="Arial" w:cs="Arial" w:eastAsia="Arial" w:hAnsi="Arial"/>
                <w:sz w:val="18"/>
                <w:szCs w:val="18"/>
                <w:color w:val="auto"/>
              </w:rPr>
              <w:t>Year Ended December 31,</w:t>
            </w:r>
          </w:p>
        </w:tc>
        <w:tc>
          <w:tcPr>
            <w:tcW w:w="8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4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w w:val="99"/>
              </w:rPr>
              <w:t>2019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statutory tax rate</w:t>
            </w:r>
          </w:p>
        </w:tc>
        <w:tc>
          <w:tcPr>
            <w:tcW w:w="2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21.0%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21.0%</w:t>
            </w:r>
          </w:p>
        </w:tc>
        <w:tc>
          <w:tcPr>
            <w:tcW w:w="1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Valuation allowance and tax accruals</w:t>
            </w:r>
          </w:p>
        </w:tc>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14.8</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income taxes, net of federal income taxes</w:t>
            </w:r>
          </w:p>
        </w:tc>
        <w:tc>
          <w:tcPr>
            <w:tcW w:w="2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1.2</w:t>
            </w:r>
          </w:p>
        </w:tc>
        <w:tc>
          <w:tcPr>
            <w:tcW w:w="1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Business meals and entertainment</w:t>
            </w:r>
          </w:p>
        </w:tc>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0.4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Miscellaneous permanent items</w:t>
            </w:r>
          </w:p>
        </w:tc>
        <w:tc>
          <w:tcPr>
            <w:tcW w:w="2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0.3</w:t>
            </w:r>
          </w:p>
        </w:tc>
        <w:tc>
          <w:tcPr>
            <w:tcW w:w="1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Uncertain tax positions</w:t>
            </w:r>
          </w:p>
        </w:tc>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 cancellations</w:t>
            </w:r>
          </w:p>
        </w:tc>
        <w:tc>
          <w:tcPr>
            <w:tcW w:w="2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U.S. corporate tax rate change</w:t>
            </w:r>
          </w:p>
        </w:tc>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3"/>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Foreign-derived intangible income deduction</w:t>
            </w:r>
          </w:p>
        </w:tc>
        <w:tc>
          <w:tcPr>
            <w:tcW w:w="2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(1.5)</w:t>
            </w:r>
          </w:p>
        </w:tc>
        <w:tc>
          <w:tcPr>
            <w:tcW w:w="1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Stock award excess tax benefit</w:t>
            </w:r>
          </w:p>
        </w:tc>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R&amp;D credit</w:t>
            </w:r>
          </w:p>
        </w:tc>
        <w:tc>
          <w:tcPr>
            <w:tcW w:w="2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(83.2)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(4.9)</w:t>
            </w:r>
          </w:p>
        </w:tc>
        <w:tc>
          <w:tcPr>
            <w:tcW w:w="1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gridSpan w:val="2"/>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tax rate</w:t>
            </w:r>
          </w:p>
        </w:tc>
        <w:tc>
          <w:tcPr>
            <w:tcW w:w="2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(40.6%)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16.1%</w:t>
            </w:r>
          </w:p>
        </w:tc>
        <w:tc>
          <w:tcPr>
            <w:tcW w:w="1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495"/>
        </w:trPr>
        <w:tc>
          <w:tcPr>
            <w:tcW w:w="4440" w:type="dxa"/>
            <w:vAlign w:val="bottom"/>
            <w:tcBorders>
              <w:top w:val="single" w:sz="8" w:color="CCEEFF"/>
            </w:tcBorders>
          </w:tcPr>
          <w:p>
            <w:pPr>
              <w:spacing w:after="0"/>
              <w:rPr>
                <w:sz w:val="24"/>
                <w:szCs w:val="24"/>
                <w:color w:val="auto"/>
              </w:rPr>
            </w:pPr>
          </w:p>
        </w:tc>
        <w:tc>
          <w:tcPr>
            <w:tcW w:w="2720" w:type="dxa"/>
            <w:vAlign w:val="bottom"/>
            <w:tcBorders>
              <w:top w:val="single" w:sz="8" w:color="CCEEFF"/>
            </w:tcBorders>
          </w:tcPr>
          <w:p>
            <w:pPr>
              <w:ind w:left="1040"/>
              <w:spacing w:after="0"/>
              <w:rPr>
                <w:sz w:val="20"/>
                <w:szCs w:val="20"/>
                <w:color w:val="auto"/>
              </w:rPr>
            </w:pPr>
            <w:r>
              <w:rPr>
                <w:rFonts w:ascii="Arial" w:cs="Arial" w:eastAsia="Arial" w:hAnsi="Arial"/>
                <w:sz w:val="14"/>
                <w:szCs w:val="14"/>
                <w:color w:val="auto"/>
              </w:rPr>
              <w:t>F-17</w:t>
            </w:r>
          </w:p>
        </w:tc>
        <w:tc>
          <w:tcPr>
            <w:tcW w:w="320" w:type="dxa"/>
            <w:vAlign w:val="bottom"/>
            <w:tcBorders>
              <w:top w:val="single" w:sz="8" w:color="auto"/>
            </w:tcBorders>
            <w:gridSpan w:val="2"/>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440" w:type="dxa"/>
            <w:vAlign w:val="bottom"/>
            <w:tcBorders>
              <w:bottom w:val="single" w:sz="8" w:color="auto"/>
            </w:tcBorders>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53" w:name="page54"/>
    <w:bookmarkEnd w:id="53"/>
    <w:p>
      <w:pPr>
        <w:jc w:val="both"/>
        <w:spacing w:after="0" w:line="235" w:lineRule="auto"/>
        <w:rPr>
          <w:sz w:val="20"/>
          <w:szCs w:val="20"/>
          <w:color w:val="auto"/>
        </w:rPr>
      </w:pPr>
      <w:r>
        <w:rPr>
          <w:rFonts w:ascii="Arial" w:cs="Arial" w:eastAsia="Arial" w:hAnsi="Arial"/>
          <w:sz w:val="18"/>
          <w:szCs w:val="18"/>
          <w:color w:val="auto"/>
        </w:rPr>
        <w:t>Our effective tax rates were -40.6%, 16.1%, and 52.6% for 2019, 2018, and 2017, respectively. We recorded a tax benefit in 2019 due to the impact of R&amp;D credits on a near break-even level of income before income tax.</w:t>
      </w:r>
    </w:p>
    <w:p>
      <w:pPr>
        <w:spacing w:after="0" w:line="270"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had $107 thousand and $104 thousand of total gross unrecognized tax benefits at December 31, 2019 and 2018, respectively that, if recognized, would favorably affect the effective income tax rate in any future periods. We are not aware of any events that could occur within the next twelve months that could cause a significant change in the total amount of unrecognized tax benefits. A tabular reconciliation of the gross amounts of unrecognized tax benefits at the beginning and end of the year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Unrecognized tax benefits as of January 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Tax positions taken during the current period</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Lapse of statute of limitations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Unrecognized tax benefits as of December 31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107</w:t>
            </w:r>
          </w:p>
        </w:tc>
        <w:tc>
          <w:tcPr>
            <w:tcW w:w="3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We expect $27 thousand of the $107 thousand of unrecognized tax benefits will reverse in 2020 upon the expiration of the statute of limitations.</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recognize interest and penalties related to uncertain tax positions in the income tax provision. We have accrued interest and penalties related to uncertain tax positions of $18 thousand and $17 thousand as of December 31, 2019 and 2018, respectively.</w:t>
      </w:r>
    </w:p>
    <w:p>
      <w:pPr>
        <w:spacing w:after="0" w:line="12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are subject to U.S. federal income tax as well as income tax of certain state and foreign jurisdictions. We have substantially concluded all U.S. federal income tax, state and local, and foreign tax matters through 2015. However, our federal tax returns for the years 2016 through 2018 remain open to examination. Various state and foreign tax jurisdiction tax years remain open to examination as well, though we believe that any additional assessment would be immaterial to the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For 2019, 2018, and 2017, earnings per share was computed as follows (in thousands, except per 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color w:val="auto"/>
              </w:rPr>
              <w:t>Year Ended December 31,</w:t>
            </w:r>
          </w:p>
        </w:tc>
        <w:tc>
          <w:tcPr>
            <w:tcW w:w="960" w:type="dxa"/>
            <w:vAlign w:val="bottom"/>
            <w:tcBorders>
              <w:bottom w:val="single" w:sz="8" w:color="auto"/>
            </w:tcBorders>
          </w:tcPr>
          <w:p>
            <w:pPr>
              <w:spacing w:after="0"/>
              <w:rPr>
                <w:sz w:val="18"/>
                <w:szCs w:val="18"/>
                <w:color w:val="auto"/>
              </w:rPr>
            </w:pPr>
          </w:p>
        </w:tc>
      </w:tr>
      <w:tr>
        <w:trPr>
          <w:trHeight w:val="210"/>
        </w:trPr>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2017</w:t>
            </w:r>
          </w:p>
        </w:tc>
      </w:tr>
      <w:tr>
        <w:trPr>
          <w:trHeight w:val="243"/>
        </w:trPr>
        <w:tc>
          <w:tcPr>
            <w:tcW w:w="73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5,426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3,211</w:t>
            </w:r>
          </w:p>
        </w:tc>
      </w:tr>
      <w:tr>
        <w:trPr>
          <w:trHeight w:val="196"/>
        </w:trPr>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2"/>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Basic: Weighted average common shares outstanding</w:t>
            </w:r>
          </w:p>
        </w:tc>
        <w:tc>
          <w:tcPr>
            <w:tcW w:w="24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7,466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7,444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7,423</w:t>
            </w:r>
          </w:p>
        </w:tc>
      </w:tr>
      <w:tr>
        <w:trPr>
          <w:trHeight w:val="210"/>
        </w:trPr>
        <w:tc>
          <w:tcPr>
            <w:tcW w:w="73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8"/>
              </w:rPr>
              <w:t>Add: Dilutive effect of outstanding equity awards as determined by the treasury stock method</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169</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Diluted: Weighted average common and common equivalent shares outstanding</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7,677</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7,759</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7,592</w:t>
            </w: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7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Net income per common share:</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7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0.07</w:t>
            </w:r>
          </w:p>
        </w:tc>
        <w:tc>
          <w:tcPr>
            <w:tcW w:w="3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0.73</w:t>
            </w:r>
          </w:p>
        </w:tc>
        <w:tc>
          <w:tcPr>
            <w:tcW w:w="36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0.43</w:t>
            </w: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0.42</w:t>
            </w:r>
          </w:p>
        </w:tc>
      </w:tr>
      <w:tr>
        <w:trPr>
          <w:trHeight w:val="473"/>
        </w:trPr>
        <w:tc>
          <w:tcPr>
            <w:tcW w:w="7320" w:type="dxa"/>
            <w:vAlign w:val="bottom"/>
          </w:tcPr>
          <w:p>
            <w:pPr>
              <w:ind w:left="5480"/>
              <w:spacing w:after="0"/>
              <w:rPr>
                <w:sz w:val="20"/>
                <w:szCs w:val="20"/>
                <w:color w:val="auto"/>
              </w:rPr>
            </w:pPr>
            <w:r>
              <w:rPr>
                <w:rFonts w:ascii="Arial" w:cs="Arial" w:eastAsia="Arial" w:hAnsi="Arial"/>
                <w:sz w:val="14"/>
                <w:szCs w:val="14"/>
                <w:color w:val="auto"/>
              </w:rPr>
              <w:t>F-18</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6"/>
        </w:trPr>
        <w:tc>
          <w:tcPr>
            <w:tcW w:w="73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2" w:right="339" w:bottom="1440" w:gutter="0" w:footer="0" w:header="0"/>
        </w:sectPr>
      </w:pPr>
    </w:p>
    <w:bookmarkStart w:id="54" w:name="page55"/>
    <w:bookmarkEnd w:id="54"/>
    <w:p>
      <w:pPr>
        <w:jc w:val="both"/>
        <w:spacing w:after="0" w:line="216" w:lineRule="auto"/>
        <w:rPr>
          <w:sz w:val="20"/>
          <w:szCs w:val="20"/>
          <w:color w:val="auto"/>
        </w:rPr>
      </w:pPr>
      <w:r>
        <w:rPr>
          <w:rFonts w:ascii="Arial" w:cs="Arial" w:eastAsia="Arial" w:hAnsi="Arial"/>
          <w:sz w:val="18"/>
          <w:szCs w:val="18"/>
          <w:color w:val="auto"/>
        </w:rPr>
        <w:t>The computation of diluted earnings per share excludes the effect of the potential exercise of stock awards, including stock options, restricted stock units and performance stock awards, when the average market price of the common stock is lower than the exercise price of the related stock award during the period. These outstanding stock awards are not included in the computation of diluted earnings per share because the effect would be anti-dilutive. Anti-dilutive stock awards excluded from the computation of earnings per dilutive share were 447,000, 149,000 and 341,000, at December 31, 2019, 2018 and 2017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repurchase program</w:t>
      </w:r>
    </w:p>
    <w:p>
      <w:pPr>
        <w:spacing w:after="0" w:line="148"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Prior to its expiration on December 31, 2019, we maintained a stock repurchase program (the "2018 Stock Repurchase Program") whereby we were authorized to repurchase up to $5 million of our outstanding shares of common stock from time to time in the open market at prevailing market prices based on market conditions, share price and other factors. We use the cost method to account for treasury stock purchases, under which the price paid for the stock is charged to the treasury stock account. Repurchases of our common stock are accounted for as of the settlement date. During 2019 we did not repurchase any shares of our common stock. From the start of the 2018 Stock Repurchase Program on March 1, 2018 through December 31, 2018, we repurchased 156,410 shares of our common stock for approximately $2.0 million at an average price per share of $12.79.</w:t>
      </w:r>
    </w:p>
    <w:p>
      <w:pPr>
        <w:spacing w:after="0" w:line="12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 2017, under a prior repurchase program that was in place from February 25, 2016 through December 31, 2017, we purchased 36,465 shares of our common stock for $0.4 million at an average price of $9.84 per share. From January 1, 2005 through December 31, 2019, we repurchased a total of 4,044,842 shares of common stock for $32.1 million, at an average price of $7.94 per share.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Geographic area information</w:t>
      </w:r>
    </w:p>
    <w:p>
      <w:pPr>
        <w:spacing w:after="0" w:line="14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Information regarding our operations by geographic area is contained in the following table. These amounts in the geographic area table are based on the location of the customer and asset.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color w:val="auto"/>
              </w:rPr>
              <w:t>Year Ended 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Net sales: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35,332</w:t>
            </w:r>
          </w:p>
        </w:tc>
        <w:tc>
          <w:tcPr>
            <w:tcW w:w="3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43,518</w:t>
            </w:r>
          </w:p>
        </w:tc>
        <w:tc>
          <w:tcPr>
            <w:tcW w:w="36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48,720</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10,416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11,069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7,591</w:t>
            </w:r>
          </w:p>
        </w:tc>
        <w:tc>
          <w:tcPr>
            <w:tcW w:w="0" w:type="dxa"/>
            <w:vAlign w:val="bottom"/>
          </w:tcPr>
          <w:p>
            <w:pPr>
              <w:spacing w:after="0"/>
              <w:rPr>
                <w:sz w:val="1"/>
                <w:szCs w:val="1"/>
                <w:color w:val="auto"/>
              </w:rPr>
            </w:pPr>
          </w:p>
        </w:tc>
      </w:tr>
      <w:tr>
        <w:trPr>
          <w:trHeight w:val="243"/>
        </w:trPr>
        <w:tc>
          <w:tcPr>
            <w:tcW w:w="732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45,748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54,587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56,311</w:t>
            </w:r>
          </w:p>
        </w:tc>
        <w:tc>
          <w:tcPr>
            <w:tcW w:w="0" w:type="dxa"/>
            <w:vAlign w:val="bottom"/>
          </w:tcPr>
          <w:p>
            <w:pPr>
              <w:spacing w:after="0"/>
              <w:rPr>
                <w:sz w:val="1"/>
                <w:szCs w:val="1"/>
                <w:color w:val="auto"/>
              </w:rPr>
            </w:pPr>
          </w:p>
        </w:tc>
      </w:tr>
      <w:tr>
        <w:trPr>
          <w:trHeight w:val="196"/>
        </w:trPr>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Fixed assets, net:</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1,326</w:t>
            </w:r>
          </w:p>
        </w:tc>
        <w:tc>
          <w:tcPr>
            <w:tcW w:w="3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1,767</w:t>
            </w:r>
          </w:p>
        </w:tc>
        <w:tc>
          <w:tcPr>
            <w:tcW w:w="3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918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03"/>
        </w:trPr>
        <w:tc>
          <w:tcPr>
            <w:tcW w:w="7320" w:type="dxa"/>
            <w:vAlign w:val="bottom"/>
          </w:tcPr>
          <w:p>
            <w:pPr>
              <w:ind w:left="340"/>
              <w:spacing w:after="0" w:line="202" w:lineRule="exact"/>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2,244</w:t>
            </w:r>
          </w:p>
        </w:tc>
        <w:tc>
          <w:tcPr>
            <w:tcW w:w="3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2,272</w:t>
            </w:r>
          </w:p>
        </w:tc>
        <w:tc>
          <w:tcPr>
            <w:tcW w:w="3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Sales to international customers were 23%, 20%, and 14% of total sales in 2019, 2018, and 2017 respectively. Sales to Europe represented 44%, 56%, and 44%, sales to the Pacific Rim (which includes Australia and Asia) represented 46%, 36%, and 32%, and sales to Canada represented 8%, 6%, and 18% of total international sales in 2019, 2018, and 2017 respectively. International long-lived assets consist of net fixed assets located at our foreign subsidiary in the UK as well as our contract manufacturers in China, Thailand, Malaysia and Mexico.</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15. Leases</w:t>
      </w:r>
    </w:p>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Operating lease expense for the year ended December 31, 2019, 2018 and 2017 was $1.0 million, $1.1 million and $1.1 million, respectively, and was included within Cost of sales, Engineering, design and product development expense, Selling and marketing expense, and General and administrative expense. Operating costs include short-term lease costs which were immaterial during the period.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tcPr>
          <w:p>
            <w:pPr>
              <w:spacing w:after="0"/>
              <w:rPr>
                <w:sz w:val="20"/>
                <w:szCs w:val="20"/>
                <w:color w:val="auto"/>
              </w:rPr>
            </w:pPr>
            <w:r>
              <w:rPr>
                <w:rFonts w:ascii="Arial" w:cs="Arial" w:eastAsia="Arial" w:hAnsi="Arial"/>
                <w:sz w:val="18"/>
                <w:szCs w:val="18"/>
                <w:color w:val="auto"/>
                <w:w w:val="92"/>
              </w:rPr>
              <w:t>The following information represents supplemental disclosure for the statement of cash flows related to operating leases (in thousands):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Year Ended</w:t>
            </w:r>
          </w:p>
        </w:tc>
        <w:tc>
          <w:tcPr>
            <w:tcW w:w="0" w:type="dxa"/>
            <w:vAlign w:val="bottom"/>
          </w:tcPr>
          <w:p>
            <w:pPr>
              <w:spacing w:after="0"/>
              <w:rPr>
                <w:sz w:val="1"/>
                <w:szCs w:val="1"/>
                <w:color w:val="auto"/>
              </w:rPr>
            </w:pPr>
          </w:p>
        </w:tc>
      </w:tr>
      <w:tr>
        <w:trPr>
          <w:trHeight w:val="175"/>
        </w:trPr>
        <w:tc>
          <w:tcPr>
            <w:tcW w:w="9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2"/>
          </w:tcPr>
          <w:p>
            <w:pPr>
              <w:jc w:val="center"/>
              <w:ind w:right="10"/>
              <w:spacing w:after="0" w:line="176" w:lineRule="exact"/>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09"/>
        </w:trPr>
        <w:tc>
          <w:tcPr>
            <w:tcW w:w="9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0"/>
              <w:spacing w:after="0" w:line="202" w:lineRule="exact"/>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03"/>
        </w:trPr>
        <w:tc>
          <w:tcPr>
            <w:tcW w:w="9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cash outflows from leases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378"/>
        </w:trPr>
        <w:tc>
          <w:tcPr>
            <w:tcW w:w="9980" w:type="dxa"/>
            <w:vAlign w:val="bottom"/>
          </w:tcPr>
          <w:p>
            <w:pPr>
              <w:spacing w:after="0"/>
              <w:rPr>
                <w:sz w:val="20"/>
                <w:szCs w:val="20"/>
                <w:color w:val="auto"/>
              </w:rPr>
            </w:pPr>
            <w:r>
              <w:rPr>
                <w:rFonts w:ascii="Arial" w:cs="Arial" w:eastAsia="Arial" w:hAnsi="Arial"/>
                <w:sz w:val="18"/>
                <w:szCs w:val="18"/>
                <w:color w:val="auto"/>
              </w:rPr>
              <w:t>The following summarizes additional information related to our leases as of December 31, 2019:</w:t>
            </w:r>
          </w:p>
        </w:tc>
        <w:tc>
          <w:tcPr>
            <w:tcW w:w="1260" w:type="dxa"/>
            <w:vAlign w:val="bottom"/>
            <w:gridSpan w:val="3"/>
            <w:vMerge w:val="restart"/>
          </w:tcPr>
          <w:p>
            <w:pPr>
              <w:jc w:val="right"/>
              <w:ind w:right="11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122"/>
        </w:trPr>
        <w:tc>
          <w:tcPr>
            <w:tcW w:w="99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99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3"/>
        </w:trPr>
        <w:tc>
          <w:tcPr>
            <w:tcW w:w="9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remaining lease term (in years)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ind w:left="74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99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ind w:left="740"/>
              <w:spacing w:after="0"/>
              <w:rPr>
                <w:sz w:val="20"/>
                <w:szCs w:val="20"/>
                <w:color w:val="auto"/>
              </w:rPr>
            </w:pPr>
            <w:r>
              <w:rPr>
                <w:rFonts w:ascii="Arial" w:cs="Arial" w:eastAsia="Arial" w:hAnsi="Arial"/>
                <w:sz w:val="18"/>
                <w:szCs w:val="18"/>
                <w:color w:val="auto"/>
                <w:w w:val="87"/>
              </w:rPr>
              <w:t>3.7%</w:t>
            </w:r>
          </w:p>
        </w:tc>
        <w:tc>
          <w:tcPr>
            <w:tcW w:w="0" w:type="dxa"/>
            <w:vAlign w:val="bottom"/>
          </w:tcPr>
          <w:p>
            <w:pPr>
              <w:spacing w:after="0"/>
              <w:rPr>
                <w:sz w:val="1"/>
                <w:szCs w:val="1"/>
                <w:color w:val="auto"/>
              </w:rPr>
            </w:pPr>
          </w:p>
        </w:tc>
      </w:tr>
      <w:tr>
        <w:trPr>
          <w:trHeight w:val="350"/>
        </w:trPr>
        <w:tc>
          <w:tcPr>
            <w:tcW w:w="9980" w:type="dxa"/>
            <w:vAlign w:val="bottom"/>
          </w:tcPr>
          <w:p>
            <w:pPr>
              <w:spacing w:after="0"/>
              <w:rPr>
                <w:sz w:val="20"/>
                <w:szCs w:val="20"/>
                <w:color w:val="auto"/>
              </w:rPr>
            </w:pPr>
            <w:r>
              <w:rPr>
                <w:rFonts w:ascii="Arial" w:cs="Arial" w:eastAsia="Arial" w:hAnsi="Arial"/>
                <w:sz w:val="18"/>
                <w:szCs w:val="18"/>
                <w:color w:val="auto"/>
              </w:rPr>
              <w:t>The maturity of the Company’s operating lease liabilities as of December 31, 2019 are as follows (in thousands):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09"/>
        </w:trPr>
        <w:tc>
          <w:tcPr>
            <w:tcW w:w="9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0"/>
              <w:spacing w:after="0" w:line="202" w:lineRule="exact"/>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03"/>
        </w:trPr>
        <w:tc>
          <w:tcPr>
            <w:tcW w:w="9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03"/>
        </w:trPr>
        <w:tc>
          <w:tcPr>
            <w:tcW w:w="998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03"/>
        </w:trPr>
        <w:tc>
          <w:tcPr>
            <w:tcW w:w="9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3"/>
        </w:trPr>
        <w:tc>
          <w:tcPr>
            <w:tcW w:w="998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3"/>
        </w:trPr>
        <w:tc>
          <w:tcPr>
            <w:tcW w:w="9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0"/>
        </w:trPr>
        <w:tc>
          <w:tcPr>
            <w:tcW w:w="998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3"/>
        </w:trPr>
        <w:tc>
          <w:tcPr>
            <w:tcW w:w="9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undiscounted lease payments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09"/>
        </w:trPr>
        <w:tc>
          <w:tcPr>
            <w:tcW w:w="998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43"/>
        </w:trPr>
        <w:tc>
          <w:tcPr>
            <w:tcW w:w="99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lease liabilities</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Prior to the adoption of ASC 842, rental commitments on an undiscounted basis were approximately $4.3 million at December 31, 2018 under non-cancelable operating leases and were payable as follows: $1.0 million in 2019; $1.0 million in 2020; $0.7 million in 2021; $0.4 million in 2022, $0.3 million in 2023 and $0.9 million thereafter.</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r>
              <w:rPr>
                <w:rFonts w:ascii="Arial" w:cs="Arial" w:eastAsia="Arial" w:hAnsi="Arial"/>
                <w:sz w:val="18"/>
                <w:szCs w:val="18"/>
                <w:b w:val="1"/>
                <w:bCs w:val="1"/>
                <w:color w:val="auto"/>
              </w:rPr>
              <w:t>16. Quarterly results of operations (unaudited)</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220" w:type="dxa"/>
            <w:vAlign w:val="bottom"/>
          </w:tcPr>
          <w:p>
            <w:pPr>
              <w:spacing w:after="0"/>
              <w:rPr>
                <w:sz w:val="20"/>
                <w:szCs w:val="20"/>
                <w:color w:val="auto"/>
              </w:rPr>
            </w:pPr>
            <w:r>
              <w:rPr>
                <w:rFonts w:ascii="Arial" w:cs="Arial" w:eastAsia="Arial" w:hAnsi="Arial"/>
                <w:sz w:val="18"/>
                <w:szCs w:val="18"/>
                <w:color w:val="auto"/>
                <w:w w:val="95"/>
              </w:rPr>
              <w:t>Our quarterly results of operations for 2019 and 2018 are as follows:</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2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Quarter Ended</w:t>
            </w: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8"/>
              </w:rPr>
              <w:t>March 31</w:t>
            </w:r>
          </w:p>
        </w:tc>
        <w:tc>
          <w:tcPr>
            <w:tcW w:w="180" w:type="dxa"/>
            <w:vAlign w:val="bottom"/>
          </w:tcPr>
          <w:p>
            <w:pPr>
              <w:spacing w:after="0"/>
              <w:rPr>
                <w:sz w:val="18"/>
                <w:szCs w:val="18"/>
                <w:color w:val="auto"/>
              </w:rPr>
            </w:pPr>
          </w:p>
        </w:tc>
        <w:tc>
          <w:tcPr>
            <w:tcW w:w="11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9"/>
              </w:rPr>
              <w:t>June 30</w:t>
            </w:r>
          </w:p>
        </w:tc>
        <w:tc>
          <w:tcPr>
            <w:tcW w:w="13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w w:val="91"/>
              </w:rPr>
              <w:t>September 30</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4"/>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7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sales</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11,550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11,350</w:t>
            </w:r>
          </w:p>
        </w:tc>
        <w:tc>
          <w:tcPr>
            <w:tcW w:w="50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11,686</w:t>
            </w:r>
          </w:p>
        </w:tc>
        <w:tc>
          <w:tcPr>
            <w:tcW w:w="3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11,162</w:t>
            </w:r>
          </w:p>
        </w:tc>
        <w:tc>
          <w:tcPr>
            <w:tcW w:w="0" w:type="dxa"/>
            <w:vAlign w:val="bottom"/>
          </w:tcPr>
          <w:p>
            <w:pPr>
              <w:spacing w:after="0"/>
              <w:rPr>
                <w:sz w:val="1"/>
                <w:szCs w:val="1"/>
                <w:color w:val="auto"/>
              </w:rPr>
            </w:pPr>
          </w:p>
        </w:tc>
      </w:tr>
      <w:tr>
        <w:trPr>
          <w:trHeight w:val="203"/>
        </w:trPr>
        <w:tc>
          <w:tcPr>
            <w:tcW w:w="5220" w:type="dxa"/>
            <w:vAlign w:val="bottom"/>
          </w:tcPr>
          <w:p>
            <w:pPr>
              <w:ind w:left="180"/>
              <w:spacing w:after="0" w:line="202" w:lineRule="exact"/>
              <w:rPr>
                <w:sz w:val="20"/>
                <w:szCs w:val="20"/>
                <w:color w:val="auto"/>
              </w:rPr>
            </w:pPr>
            <w:r>
              <w:rPr>
                <w:rFonts w:ascii="Arial" w:cs="Arial" w:eastAsia="Arial" w:hAnsi="Arial"/>
                <w:sz w:val="18"/>
                <w:szCs w:val="18"/>
                <w:color w:val="auto"/>
              </w:rPr>
              <w:t>Gross profit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6,086</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5,704</w:t>
            </w:r>
          </w:p>
        </w:tc>
        <w:tc>
          <w:tcPr>
            <w:tcW w:w="500" w:type="dxa"/>
            <w:vAlign w:val="bottom"/>
          </w:tcPr>
          <w:p>
            <w:pPr>
              <w:spacing w:after="0"/>
              <w:rPr>
                <w:sz w:val="17"/>
                <w:szCs w:val="17"/>
                <w:color w:val="auto"/>
              </w:rPr>
            </w:pP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5,546</w:t>
            </w:r>
          </w:p>
        </w:tc>
        <w:tc>
          <w:tcPr>
            <w:tcW w:w="3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4,599</w:t>
            </w: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 (loss)</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746</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186</w:t>
            </w:r>
          </w:p>
        </w:tc>
        <w:tc>
          <w:tcPr>
            <w:tcW w:w="5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384</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3"/>
        </w:trPr>
        <w:tc>
          <w:tcPr>
            <w:tcW w:w="5220" w:type="dxa"/>
            <w:vAlign w:val="bottom"/>
          </w:tcPr>
          <w:p>
            <w:pPr>
              <w:ind w:left="180"/>
              <w:spacing w:after="0" w:line="202" w:lineRule="exact"/>
              <w:rPr>
                <w:sz w:val="20"/>
                <w:szCs w:val="20"/>
                <w:color w:val="auto"/>
              </w:rPr>
            </w:pPr>
            <w:r>
              <w:rPr>
                <w:rFonts w:ascii="Arial" w:cs="Arial" w:eastAsia="Arial" w:hAnsi="Arial"/>
                <w:sz w:val="18"/>
                <w:szCs w:val="18"/>
                <w:color w:val="auto"/>
              </w:rPr>
              <w:t>Net income (loss) per common share:</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Basic</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0.10</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0.02</w:t>
            </w:r>
          </w:p>
        </w:tc>
        <w:tc>
          <w:tcPr>
            <w:tcW w:w="5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0.05</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30"/>
        </w:trPr>
        <w:tc>
          <w:tcPr>
            <w:tcW w:w="5220" w:type="dxa"/>
            <w:vAlign w:val="bottom"/>
          </w:tcPr>
          <w:p>
            <w:pPr>
              <w:ind w:left="340"/>
              <w:spacing w:after="0"/>
              <w:rPr>
                <w:sz w:val="20"/>
                <w:szCs w:val="20"/>
                <w:color w:val="auto"/>
              </w:rPr>
            </w:pPr>
            <w:r>
              <w:rPr>
                <w:rFonts w:ascii="Arial" w:cs="Arial" w:eastAsia="Arial" w:hAnsi="Arial"/>
                <w:sz w:val="18"/>
                <w:szCs w:val="18"/>
                <w:color w:val="auto"/>
              </w:rPr>
              <w:t>Diluted</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5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350"/>
        </w:trPr>
        <w:tc>
          <w:tcPr>
            <w:tcW w:w="5220" w:type="dxa"/>
            <w:vAlign w:val="bottom"/>
          </w:tcPr>
          <w:p>
            <w:pPr>
              <w:spacing w:after="0"/>
              <w:rPr>
                <w:sz w:val="20"/>
                <w:szCs w:val="20"/>
                <w:color w:val="auto"/>
              </w:rPr>
            </w:pPr>
            <w:r>
              <w:rPr>
                <w:rFonts w:ascii="Arial" w:cs="Arial" w:eastAsia="Arial" w:hAnsi="Arial"/>
                <w:sz w:val="18"/>
                <w:szCs w:val="18"/>
                <w:color w:val="auto"/>
              </w:rPr>
              <w:t>2018:</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sales</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12,243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14,751</w:t>
            </w:r>
          </w:p>
        </w:tc>
        <w:tc>
          <w:tcPr>
            <w:tcW w:w="50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15,838</w:t>
            </w:r>
          </w:p>
        </w:tc>
        <w:tc>
          <w:tcPr>
            <w:tcW w:w="3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11,755</w:t>
            </w:r>
          </w:p>
        </w:tc>
        <w:tc>
          <w:tcPr>
            <w:tcW w:w="0" w:type="dxa"/>
            <w:vAlign w:val="bottom"/>
          </w:tcPr>
          <w:p>
            <w:pPr>
              <w:spacing w:after="0"/>
              <w:rPr>
                <w:sz w:val="1"/>
                <w:szCs w:val="1"/>
                <w:color w:val="auto"/>
              </w:rPr>
            </w:pPr>
          </w:p>
        </w:tc>
      </w:tr>
      <w:tr>
        <w:trPr>
          <w:trHeight w:val="203"/>
        </w:trPr>
        <w:tc>
          <w:tcPr>
            <w:tcW w:w="5220" w:type="dxa"/>
            <w:vAlign w:val="bottom"/>
          </w:tcPr>
          <w:p>
            <w:pPr>
              <w:ind w:left="180"/>
              <w:spacing w:after="0" w:line="202" w:lineRule="exact"/>
              <w:rPr>
                <w:sz w:val="20"/>
                <w:szCs w:val="20"/>
                <w:color w:val="auto"/>
              </w:rPr>
            </w:pPr>
            <w:r>
              <w:rPr>
                <w:rFonts w:ascii="Arial" w:cs="Arial" w:eastAsia="Arial" w:hAnsi="Arial"/>
                <w:sz w:val="18"/>
                <w:szCs w:val="18"/>
                <w:color w:val="auto"/>
              </w:rPr>
              <w:t>Gross profit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5,862</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6,991</w:t>
            </w:r>
          </w:p>
        </w:tc>
        <w:tc>
          <w:tcPr>
            <w:tcW w:w="500" w:type="dxa"/>
            <w:vAlign w:val="bottom"/>
          </w:tcPr>
          <w:p>
            <w:pPr>
              <w:spacing w:after="0"/>
              <w:rPr>
                <w:sz w:val="17"/>
                <w:szCs w:val="17"/>
                <w:color w:val="auto"/>
              </w:rPr>
            </w:pP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8,004</w:t>
            </w:r>
          </w:p>
        </w:tc>
        <w:tc>
          <w:tcPr>
            <w:tcW w:w="3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5,886</w:t>
            </w: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680</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1,210</w:t>
            </w:r>
          </w:p>
        </w:tc>
        <w:tc>
          <w:tcPr>
            <w:tcW w:w="5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2,574</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03"/>
        </w:trPr>
        <w:tc>
          <w:tcPr>
            <w:tcW w:w="5220" w:type="dxa"/>
            <w:vAlign w:val="bottom"/>
          </w:tcPr>
          <w:p>
            <w:pPr>
              <w:ind w:left="180"/>
              <w:spacing w:after="0" w:line="202" w:lineRule="exact"/>
              <w:rPr>
                <w:sz w:val="20"/>
                <w:szCs w:val="20"/>
                <w:color w:val="auto"/>
              </w:rPr>
            </w:pPr>
            <w:r>
              <w:rPr>
                <w:rFonts w:ascii="Arial" w:cs="Arial" w:eastAsia="Arial" w:hAnsi="Arial"/>
                <w:sz w:val="18"/>
                <w:szCs w:val="18"/>
                <w:color w:val="auto"/>
              </w:rPr>
              <w:t>Net income per common share:</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Basic</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0.09</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0.16</w:t>
            </w:r>
          </w:p>
        </w:tc>
        <w:tc>
          <w:tcPr>
            <w:tcW w:w="5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0.35</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0"/>
        </w:trPr>
        <w:tc>
          <w:tcPr>
            <w:tcW w:w="5220" w:type="dxa"/>
            <w:vAlign w:val="bottom"/>
          </w:tcPr>
          <w:p>
            <w:pPr>
              <w:ind w:left="340"/>
              <w:spacing w:after="0"/>
              <w:rPr>
                <w:sz w:val="20"/>
                <w:szCs w:val="20"/>
                <w:color w:val="auto"/>
              </w:rPr>
            </w:pPr>
            <w:r>
              <w:rPr>
                <w:rFonts w:ascii="Arial" w:cs="Arial" w:eastAsia="Arial" w:hAnsi="Arial"/>
                <w:sz w:val="18"/>
                <w:szCs w:val="18"/>
                <w:color w:val="auto"/>
              </w:rPr>
              <w:t>Diluted</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0.09</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0.16</w:t>
            </w:r>
          </w:p>
        </w:tc>
        <w:tc>
          <w:tcPr>
            <w:tcW w:w="5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0.33</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473"/>
        </w:trPr>
        <w:tc>
          <w:tcPr>
            <w:tcW w:w="522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F-20</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17. Subsequent events</w:t>
      </w:r>
    </w:p>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On February 28, 2020, we entered into an amendment to extend the lease on our facility in Ithaca, New York. The lease, which was last amended on January 14, 2016, was scheduled to expire on May 31, 2021. The lease amendment provides for an extension of the lease for four additional years from June 1, 2021 to May 31, 2025.</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March 13, 2020, we entered into a new $10 million credit facility (the “Siena Credit Facility”) with Siena Lending Group LLC. The Siena Credit Facility replaced our TD Bank Credit Facility. The Siena Credit Facility provides for a $10 million revolving credit line expiring on March 13, 2023. Borrowings under the Siena Credit Facility bear a floating rate of interest equal to the greatest of (i) the prime rate plus 1.75%, (ii) the federal funds rate plus 2.25%, and (iii) 6.50%. We incurred a closing fee of $63 thousand payable 50% on the closing date and 50% on the first anniversary of the closing date. We also pay a fee of 0.50% on unused borrowings under the facility. Borrowings under the facility are secured by a lien on substantially all the assets of the Company. The Siena Credit Facility imposes certain financial covenants on the Company and borrowings are subject to a borrowing base based on (i) 85% of eligible accounts receivable plus the lesser of (a) $5 million and (b) 50% of eligible raw material and 60% of finished good inventory.</w:t>
      </w:r>
    </w:p>
    <w:p>
      <w:pPr>
        <w:spacing w:after="0" w:line="9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On March 13, 2020 we loaned an additional $0.6 million to a third party increasing the total note receivable principal balance to $1.6 million. Repayment is expected to occur in 12 months or less of original issuance and the terms of the loan are the same as the original loan disclosed in Note 3-Note receivable above.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ectPr>
          <w:pgSz w:w="11900" w:h="16838" w:orient="portrait"/>
          <w:cols w:equalWidth="0" w:num="1">
            <w:col w:w="11240"/>
          </w:cols>
          <w:pgMar w:left="320" w:top="108"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 CHIEF EXECUTIVE OFFICER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ACCORDANCE WITH SECTION 302 OF THE SARBANES-OXLEY ACT OF 2002</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 Bart C. Shuldman, certify that:</w:t>
      </w:r>
    </w:p>
    <w:p>
      <w:pPr>
        <w:spacing w:after="0" w:line="198"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TransAct Technologies Incorporated;</w:t>
      </w:r>
    </w:p>
    <w:p>
      <w:pPr>
        <w:spacing w:after="0" w:line="21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2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2020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6867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9">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243"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 CHIEF FINANCIAL OFFICER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ACCORANCE WITH SECTION 302 OF THE SARBANES-OXLEY ACT OF 2002</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198"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TransAct Technologies Incorporated;</w:t>
      </w:r>
    </w:p>
    <w:p>
      <w:pPr>
        <w:spacing w:after="0" w:line="21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2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5153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p>
      <w:pPr>
        <w:sectPr>
          <w:pgSz w:w="11900" w:h="16838" w:orient="portrait"/>
          <w:cols w:equalWidth="0" w:num="1">
            <w:col w:w="11240"/>
          </w:cols>
          <w:pgMar w:left="320" w:top="243"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Exhibit 32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Annual Report of TransAct Technologies Incorporated (the “Company”) on Form 10-K/A for the period ending December 31, 2019, as filed with the Securities and Exchange Commission on the date hereof (the “Report”), each of the undersigned officers of the Company, certify, pursuant to 18 U.S.C. § 1350, as adopted pursuant to § 906 of the Sarbanes-Oxley Act of 2002, that to the best of his knowledge:</w:t>
      </w:r>
    </w:p>
    <w:p>
      <w:pPr>
        <w:spacing w:after="0" w:line="150" w:lineRule="exact"/>
        <w:rPr>
          <w:sz w:val="20"/>
          <w:szCs w:val="20"/>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2020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6867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3">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2020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604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4">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sectPr>
      <w:pgSz w:w="11900" w:h="16838" w:orient="portrait"/>
      <w:cols w:equalWidth="0" w:num="1">
        <w:col w:w="11240"/>
      </w:cols>
      <w:pgMar w:left="320" w:top="2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lowerRoman"/>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2"/>
    </w:lvl>
  </w:abstractNum>
  <w:abstractNum w:abstractNumId="14">
    <w:nsid w:val="7C83E458"/>
    <w:multiLevelType w:val="hybridMultilevel"/>
    <w:lvl w:ilvl="0">
      <w:lvlJc w:val="left"/>
      <w:lvlText w:val="%1"/>
      <w:numFmt w:val="decimal"/>
      <w:start w:val="21"/>
    </w:lvl>
  </w:abstractNum>
  <w:abstractNum w:abstractNumId="15">
    <w:nsid w:val="257130A3"/>
    <w:multiLevelType w:val="hybridMultilevel"/>
    <w:lvl w:ilvl="0">
      <w:lvlJc w:val="left"/>
      <w:lvlText w:val="%1"/>
      <w:numFmt w:val="decimal"/>
      <w:start w:val="23"/>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lowerLetter"/>
      <w:start w:val="24"/>
    </w:lvl>
    <w:lvl w:ilvl="1">
      <w:lvlJc w:val="left"/>
      <w:lvlText w:val="(%2)"/>
      <w:numFmt w:val="lowerLetter"/>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71" Type="http://schemas.openxmlformats.org/officeDocument/2006/relationships/image" Target="media/image32.png"/><Relationship Id="rId73" Type="http://schemas.openxmlformats.org/officeDocument/2006/relationships/image" Target="media/image33.png"/><Relationship Id="rId74" Type="http://schemas.openxmlformats.org/officeDocument/2006/relationships/image" Target="media/image34.png"/><Relationship Id="rId75" Type="http://schemas.openxmlformats.org/officeDocument/2006/relationships/image" Target="media/image35.png"/><Relationship Id="rId76" Type="http://schemas.openxmlformats.org/officeDocument/2006/relationships/image" Target="media/image36.png"/><Relationship Id="rId77" Type="http://schemas.openxmlformats.org/officeDocument/2006/relationships/image" Target="media/image37.png"/><Relationship Id="rId78" Type="http://schemas.openxmlformats.org/officeDocument/2006/relationships/image" Target="media/image38.png"/><Relationship Id="rId79" Type="http://schemas.openxmlformats.org/officeDocument/2006/relationships/image" Target="media/image39.png"/><Relationship Id="rId80" Type="http://schemas.openxmlformats.org/officeDocument/2006/relationships/image" Target="media/image40.png"/><Relationship Id="rId81" Type="http://schemas.openxmlformats.org/officeDocument/2006/relationships/image" Target="media/image41.png"/><Relationship Id="rId82" Type="http://schemas.openxmlformats.org/officeDocument/2006/relationships/image" Target="media/image42.png"/><Relationship Id="rId83" Type="http://schemas.openxmlformats.org/officeDocument/2006/relationships/image" Target="media/image43.png"/><Relationship Id="rId84" Type="http://schemas.openxmlformats.org/officeDocument/2006/relationships/image" Target="media/image44.png"/><Relationship Id="rId85" Type="http://schemas.openxmlformats.org/officeDocument/2006/relationships/image" Target="media/image45.png"/><Relationship Id="rId86" Type="http://schemas.openxmlformats.org/officeDocument/2006/relationships/image" Target="media/image46.png"/><Relationship Id="rId87" Type="http://schemas.openxmlformats.org/officeDocument/2006/relationships/image" Target="media/image47.png"/><Relationship Id="rId88" Type="http://schemas.openxmlformats.org/officeDocument/2006/relationships/image" Target="media/image48.png"/><Relationship Id="rId89" Type="http://schemas.openxmlformats.org/officeDocument/2006/relationships/image" Target="media/image49.png"/><Relationship Id="rId90" Type="http://schemas.openxmlformats.org/officeDocument/2006/relationships/image" Target="media/image50.png"/><Relationship Id="rId91" Type="http://schemas.openxmlformats.org/officeDocument/2006/relationships/image" Target="media/image51.png"/><Relationship Id="rId92" Type="http://schemas.openxmlformats.org/officeDocument/2006/relationships/image" Target="media/image52.png"/><Relationship Id="rId93" Type="http://schemas.openxmlformats.org/officeDocument/2006/relationships/image" Target="media/image53.png"/><Relationship Id="rId94" Type="http://schemas.openxmlformats.org/officeDocument/2006/relationships/image" Target="media/image54.png"/><Relationship Id="rId39" Type="http://schemas.openxmlformats.org/officeDocument/2006/relationships/hyperlink" Target="http://www.sec.gov/Archives/edgar/data/1017303/000101730319000054/certificateofincorporation.htm" TargetMode="External"/><Relationship Id="rId40" Type="http://schemas.openxmlformats.org/officeDocument/2006/relationships/hyperlink" Target="http://www.sec.gov/Archives/edgar/data/1017303/0000914039-99-000055.txt" TargetMode="External"/><Relationship Id="rId41" Type="http://schemas.openxmlformats.org/officeDocument/2006/relationships/hyperlink" Target="http://www.sec.gov/Archives/edgar/data/1017303/000091403900000221/0000914039-00-000221.txt" TargetMode="External"/><Relationship Id="rId42" Type="http://schemas.openxmlformats.org/officeDocument/2006/relationships/hyperlink" Target="http://www.sec.gov/Archives/edgar/data/1017303/000101730319000050/exhibit31.htm" TargetMode="External"/><Relationship Id="rId43" Type="http://schemas.openxmlformats.org/officeDocument/2006/relationships/hyperlink" Target="http://www.sec.gov/Archives/edgar/data/1017303/0000950135-96-003298.txt" TargetMode="External"/><Relationship Id="rId44" Type="http://schemas.openxmlformats.org/officeDocument/2006/relationships/hyperlink" Target="http://www.sec.gov/Archives/edgar/data/1017303/000101730320000012/exhibit42.htm" TargetMode="External"/><Relationship Id="rId45" Type="http://schemas.openxmlformats.org/officeDocument/2006/relationships/hyperlink" Target="http://www.sec.gov/Archives/edgar/data/1017303/000095012305006988/y09630exv99w1.txt" TargetMode="External"/><Relationship Id="rId46" Type="http://schemas.openxmlformats.org/officeDocument/2006/relationships/hyperlink" Target="http://www.sec.gov/Archives/edgar/data/1017303/000101730314000027/exhibit10-01.htm" TargetMode="External"/><Relationship Id="rId47" Type="http://schemas.openxmlformats.org/officeDocument/2006/relationships/hyperlink" Target="http://www.sec.gov/Archives/edgar/data/1017303/000101730317000052/exhibit101.htm" TargetMode="External"/><Relationship Id="rId48" Type="http://schemas.openxmlformats.org/officeDocument/2006/relationships/hyperlink" Target="http://www.sec.gov/Archives/edgar/data/1017303/000101730316000100/exhibit102.htm" TargetMode="External"/><Relationship Id="rId49" Type="http://schemas.openxmlformats.org/officeDocument/2006/relationships/hyperlink" Target="http://www.sec.gov/Archives/edgar/data/1017303/000101730316000112/exhibit101.htm" TargetMode="External"/><Relationship Id="rId50" Type="http://schemas.openxmlformats.org/officeDocument/2006/relationships/hyperlink" Target="http://www.sec.gov/Archives/edgar/data/1017303/000095012305003228/y06777exv10w8wx.txt" TargetMode="External"/><Relationship Id="rId51" Type="http://schemas.openxmlformats.org/officeDocument/2006/relationships/hyperlink" Target="http://www.sec.gov/Archives/edgar/data/1017303/000119312508057494/dex109x.htm" TargetMode="External"/><Relationship Id="rId52" Type="http://schemas.openxmlformats.org/officeDocument/2006/relationships/hyperlink" Target="http://www.sec.gov/Archives/edgar/data/1017303/000101730309000003/exhibit1010x.htm" TargetMode="External"/><Relationship Id="rId53" Type="http://schemas.openxmlformats.org/officeDocument/2006/relationships/hyperlink" Target="http://www.sec.gov/Archives/edgar/data/1017303/000101730309000003/exhibit1012x.htm" TargetMode="External"/><Relationship Id="rId54" Type="http://schemas.openxmlformats.org/officeDocument/2006/relationships/hyperlink" Target="http://www.sec.gov/Archives/edgar/data/1017303/000101730309000003/exhibit1014x.htm" TargetMode="External"/><Relationship Id="rId55" Type="http://schemas.openxmlformats.org/officeDocument/2006/relationships/hyperlink" Target="http://www.sec.gov/Archives/edgar/data/1017303/0000950135-96-002813.txt" TargetMode="External"/><Relationship Id="rId56" Type="http://schemas.openxmlformats.org/officeDocument/2006/relationships/hyperlink" Target="http://www.sec.gov/Archives/edgar/data/1017303/0000914039-98-000134.txt" TargetMode="External"/><Relationship Id="rId57" Type="http://schemas.openxmlformats.org/officeDocument/2006/relationships/hyperlink" Target="http://www.sec.gov/Archives/edgar/data/1017303/000091403902000121/y58940ex10-8.txt" TargetMode="External"/><Relationship Id="rId58" Type="http://schemas.openxmlformats.org/officeDocument/2006/relationships/hyperlink" Target="http://www.sec.gov/Archives/edgar/data/1017303/000101730312000026/exhibit1016.htm" TargetMode="External"/><Relationship Id="rId59" Type="http://schemas.openxmlformats.org/officeDocument/2006/relationships/hyperlink" Target="http://www.sec.gov/Archives/edgar/data/1017303/000101730316000085/exhibit1013.htm" TargetMode="External"/><Relationship Id="rId60" Type="http://schemas.openxmlformats.org/officeDocument/2006/relationships/hyperlink" Target="http://www.sec.gov/Archives/edgar/data/1017303/000101730320000006/exhibit101.htm" TargetMode="External"/><Relationship Id="rId61" Type="http://schemas.openxmlformats.org/officeDocument/2006/relationships/hyperlink" Target="http://www.sec.gov/Archives/edgar/data/1017303/000095012305003228/y06777exv10w13.txt" TargetMode="External"/><Relationship Id="rId62" Type="http://schemas.openxmlformats.org/officeDocument/2006/relationships/hyperlink" Target="http://www.sec.gov/Archives/edgar/data/1017303/000101730310000006/exhibit1019.htm" TargetMode="External"/><Relationship Id="rId63" Type="http://schemas.openxmlformats.org/officeDocument/2006/relationships/hyperlink" Target="http://www.sec.gov/Archives/edgar/data/1017303/000101730315000047/exhibit102.htm" TargetMode="External"/><Relationship Id="rId64" Type="http://schemas.openxmlformats.org/officeDocument/2006/relationships/hyperlink" Target="http://www.sec.gov/Archives/edgar/data/1017303/000095012307003917/y31948exv10w14.txt" TargetMode="External"/><Relationship Id="rId65" Type="http://schemas.openxmlformats.org/officeDocument/2006/relationships/hyperlink" Target="http://www.sec.gov/Archives/edgar/data/1017303/000101730317000014/exhibit1020.htm" TargetMode="External"/><Relationship Id="rId66" Type="http://schemas.openxmlformats.org/officeDocument/2006/relationships/hyperlink" Target="http://www.sec.gov/Archives/edgar/data/1017303/000095012307003917/y31948exv10w18.txt" TargetMode="External"/><Relationship Id="rId67" Type="http://schemas.openxmlformats.org/officeDocument/2006/relationships/hyperlink" Target="http://www.sec.gov/Archives/edgar/data/1017303/000095012307015233/y42402exv10w20.txt" TargetMode="External"/><Relationship Id="rId68" Type="http://schemas.openxmlformats.org/officeDocument/2006/relationships/hyperlink" Target="http://www.sec.gov/Archives/edgar/data/1017303/000101730312000013/exhibit1025.htm" TargetMode="External"/><Relationship Id="rId69" Type="http://schemas.openxmlformats.org/officeDocument/2006/relationships/hyperlink" Target="http://www.sec.gov/Archives/edgar/data/1017303/000101730312000044/exhibit1026.htm" TargetMode="External"/><Relationship Id="rId70" Type="http://schemas.openxmlformats.org/officeDocument/2006/relationships/hyperlink" Target="http://www.sec.gov/Archives/edgar/data/1017303/000101730314000058/exhibit991.htm" TargetMode="External"/><Relationship Id="rId72" Type="http://schemas.openxmlformats.org/officeDocument/2006/relationships/hyperlink" Target="http://www.sec.gov/Archives/edgar/data/1017303/000101730317000075/exhibit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2020-03-17T17:38:55Z</dcterms:created>
  <dcterms:modified xsi:type="dcterms:W3CDTF">2020-03-17T17:38:55Z</dcterms:modified>
</cp:coreProperties>
</file>