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137160</wp:posOffset>
            </wp:positionV>
            <wp:extent cx="3025775" cy="882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5775"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Delaware</w:t>
            </w:r>
          </w:p>
        </w:tc>
        <w:tc>
          <w:tcPr>
            <w:tcW w:w="5340" w:type="dxa"/>
            <w:vAlign w:val="bottom"/>
          </w:tcPr>
          <w:p>
            <w:pPr>
              <w:jc w:val="right"/>
              <w:ind w:right="2248"/>
              <w:spacing w:after="0"/>
              <w:rPr>
                <w:sz w:val="20"/>
                <w:szCs w:val="20"/>
                <w:color w:val="auto"/>
              </w:rPr>
            </w:pPr>
            <w:r>
              <w:rPr>
                <w:rFonts w:ascii="Arial" w:cs="Arial" w:eastAsia="Arial" w:hAnsi="Arial"/>
                <w:sz w:val="14"/>
                <w:szCs w:val="14"/>
                <w:b w:val="1"/>
                <w:bCs w:val="1"/>
                <w:color w:val="auto"/>
              </w:rPr>
              <w:t>06-1456680</w:t>
            </w:r>
          </w:p>
        </w:tc>
      </w:tr>
      <w:tr>
        <w:trPr>
          <w:trHeight w:val="33"/>
        </w:trPr>
        <w:tc>
          <w:tcPr>
            <w:tcW w:w="5900" w:type="dxa"/>
            <w:vAlign w:val="bottom"/>
            <w:gridSpan w:val="2"/>
          </w:tcPr>
          <w:p>
            <w:pPr>
              <w:spacing w:after="0"/>
              <w:rPr>
                <w:sz w:val="2"/>
                <w:szCs w:val="2"/>
                <w:color w:val="auto"/>
              </w:rPr>
            </w:pPr>
          </w:p>
        </w:tc>
        <w:tc>
          <w:tcPr>
            <w:tcW w:w="5340" w:type="dxa"/>
            <w:vAlign w:val="bottom"/>
          </w:tcPr>
          <w:p>
            <w:pPr>
              <w:spacing w:after="0"/>
              <w:rPr>
                <w:sz w:val="2"/>
                <w:szCs w:val="2"/>
                <w:color w:val="auto"/>
              </w:rPr>
            </w:pPr>
          </w:p>
        </w:tc>
      </w:tr>
      <w:tr>
        <w:trPr>
          <w:trHeight w:val="182"/>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60" w:type="dxa"/>
            <w:vAlign w:val="bottom"/>
          </w:tcPr>
          <w:p>
            <w:pPr>
              <w:spacing w:after="0"/>
              <w:rPr>
                <w:sz w:val="15"/>
                <w:szCs w:val="15"/>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5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One Hamden Center, 2319 Whitney Avenue, Suite 3B, Hamden, CT</w:t>
            </w:r>
          </w:p>
        </w:tc>
        <w:tc>
          <w:tcPr>
            <w:tcW w:w="5340" w:type="dxa"/>
            <w:vAlign w:val="bottom"/>
          </w:tcPr>
          <w:p>
            <w:pPr>
              <w:jc w:val="right"/>
              <w:ind w:right="2428"/>
              <w:spacing w:after="0"/>
              <w:rPr>
                <w:sz w:val="20"/>
                <w:szCs w:val="20"/>
                <w:color w:val="auto"/>
              </w:rPr>
            </w:pPr>
            <w:r>
              <w:rPr>
                <w:rFonts w:ascii="Arial" w:cs="Arial" w:eastAsia="Arial" w:hAnsi="Arial"/>
                <w:sz w:val="14"/>
                <w:szCs w:val="14"/>
                <w:b w:val="1"/>
                <w:bCs w:val="1"/>
                <w:color w:val="auto"/>
              </w:rPr>
              <w:t>06518</w:t>
            </w:r>
          </w:p>
        </w:tc>
      </w:tr>
      <w:tr>
        <w:trPr>
          <w:trHeight w:val="182"/>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60" w:type="dxa"/>
            <w:vAlign w:val="bottom"/>
          </w:tcPr>
          <w:p>
            <w:pPr>
              <w:spacing w:after="0"/>
              <w:rPr>
                <w:sz w:val="15"/>
                <w:szCs w:val="15"/>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Title of each class</w:t>
            </w:r>
          </w:p>
        </w:tc>
        <w:tc>
          <w:tcPr>
            <w:tcW w:w="29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Trading Symbol(s)</w:t>
            </w:r>
          </w:p>
        </w:tc>
        <w:tc>
          <w:tcPr>
            <w:tcW w:w="3980" w:type="dxa"/>
            <w:vAlign w:val="bottom"/>
          </w:tcPr>
          <w:p>
            <w:pPr>
              <w:jc w:val="center"/>
              <w:ind w:right="119"/>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0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TACT</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center"/>
              <w:ind w:right="119"/>
              <w:spacing w:after="0"/>
              <w:rPr>
                <w:sz w:val="20"/>
                <w:szCs w:val="20"/>
                <w:color w:val="auto"/>
              </w:rPr>
            </w:pPr>
            <w:r>
              <w:rPr>
                <w:rFonts w:ascii="Arial" w:cs="Arial" w:eastAsia="Arial" w:hAnsi="Arial"/>
                <w:sz w:val="18"/>
                <w:szCs w:val="18"/>
                <w:color w:val="auto"/>
                <w:w w:val="96"/>
              </w:rPr>
              <w:t>NASDAQ Global Market</w:t>
            </w:r>
          </w:p>
        </w:tc>
      </w:tr>
      <w:tr>
        <w:trPr>
          <w:trHeight w:val="323"/>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12(g) of the Act: None</w:t>
            </w:r>
          </w:p>
        </w:tc>
      </w:tr>
      <w:tr>
        <w:trPr>
          <w:trHeight w:val="274"/>
        </w:trPr>
        <w:tc>
          <w:tcPr>
            <w:tcW w:w="726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w:t>
            </w:r>
          </w:p>
        </w:tc>
        <w:tc>
          <w:tcPr>
            <w:tcW w:w="398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84"/>
        </w:trPr>
        <w:tc>
          <w:tcPr>
            <w:tcW w:w="726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398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r>
    </w:tbl>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5" w:right="3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w:t>
      </w:r>
    </w:p>
    <w:p>
      <w:pPr>
        <w:spacing w:after="0" w:line="2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38" w:lineRule="exact"/>
        <w:rPr>
          <w:sz w:val="24"/>
          <w:szCs w:val="24"/>
          <w:color w:val="auto"/>
        </w:rPr>
      </w:pPr>
    </w:p>
    <w:p>
      <w:pPr>
        <w:sectPr>
          <w:pgSz w:w="11900" w:h="16838" w:orient="portrait"/>
          <w:cols w:equalWidth="0" w:num="2">
            <w:col w:w="5760" w:space="720"/>
            <w:col w:w="4760"/>
          </w:cols>
          <w:pgMar w:left="320" w:top="225" w:right="339" w:bottom="1440" w:gutter="0" w:footer="0" w:header="0"/>
          <w:type w:val="continuous"/>
        </w:sectPr>
      </w:pPr>
    </w:p>
    <w:p>
      <w:pPr>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98"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$119,400,000 based on the last sale price on June 30, 2021.</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2022, the number of shares outstanding of the Registrant’s common stock, $0.01 par value, was 9,889,745.</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Portions of the Registrant’s Definitive Proxy Statement related to its 2022 Annual Meeting of Stockholders (the “Proxy Statement”) to be filed with the Securities and Exchange Commission within 120 days after the Registrant’s fiscal year end of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90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rPr>
              <w:t>TRANSACT TECHNOLOGIES INCORPORATED</w:t>
            </w:r>
          </w:p>
        </w:tc>
        <w:tc>
          <w:tcPr>
            <w:tcW w:w="1460" w:type="dxa"/>
            <w:vAlign w:val="bottom"/>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7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1"/>
              </w:rPr>
              <w:t>PART I.</w:t>
            </w:r>
          </w:p>
        </w:tc>
        <w:tc>
          <w:tcPr>
            <w:tcW w:w="1460" w:type="dxa"/>
            <w:vAlign w:val="bottom"/>
          </w:tcPr>
          <w:p>
            <w:pPr>
              <w:spacing w:after="0"/>
              <w:rPr>
                <w:sz w:val="24"/>
                <w:szCs w:val="24"/>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Business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1</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1A.</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Risk Factors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1B.</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Unresolved Staff Comments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19</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2.</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Properties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19</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Legal Proceedings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19</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4.</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Mine Safety Disclosures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19</w:t>
            </w: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160" w:type="dxa"/>
            <w:vAlign w:val="bottom"/>
            <w:gridSpan w:val="4"/>
          </w:tcPr>
          <w:p>
            <w:pPr>
              <w:jc w:val="center"/>
              <w:ind w:right="2240"/>
              <w:spacing w:after="0" w:line="202" w:lineRule="exact"/>
              <w:rPr>
                <w:sz w:val="20"/>
                <w:szCs w:val="20"/>
                <w:color w:val="auto"/>
              </w:rPr>
            </w:pPr>
            <w:r>
              <w:rPr>
                <w:rFonts w:ascii="Arial" w:cs="Arial" w:eastAsia="Arial" w:hAnsi="Arial"/>
                <w:sz w:val="18"/>
                <w:szCs w:val="18"/>
                <w:color w:val="auto"/>
                <w:w w:val="94"/>
              </w:rPr>
              <w:t>PART II.</w:t>
            </w: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20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6.</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[Reserved]</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20</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7.</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20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7A.</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8.</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9A.</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 and Procedures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9B.</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Other Information</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31</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9C.</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Disclosure Regarding Foreign Jurisdiction that Prevent Inspections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31</w:t>
            </w: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jc w:val="center"/>
              <w:ind w:right="2260"/>
              <w:spacing w:after="0" w:line="202" w:lineRule="exact"/>
              <w:rPr>
                <w:sz w:val="20"/>
                <w:szCs w:val="20"/>
                <w:color w:val="auto"/>
              </w:rPr>
            </w:pPr>
            <w:r>
              <w:rPr>
                <w:rFonts w:ascii="Arial" w:cs="Arial" w:eastAsia="Arial" w:hAnsi="Arial"/>
                <w:sz w:val="18"/>
                <w:szCs w:val="18"/>
                <w:color w:val="auto"/>
                <w:w w:val="95"/>
              </w:rPr>
              <w:t>PART III.</w:t>
            </w: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11.</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Executive Compensation</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12.</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13.</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14.</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160" w:type="dxa"/>
            <w:vAlign w:val="bottom"/>
            <w:gridSpan w:val="4"/>
          </w:tcPr>
          <w:p>
            <w:pPr>
              <w:jc w:val="center"/>
              <w:ind w:right="2240"/>
              <w:spacing w:after="0" w:line="202" w:lineRule="exact"/>
              <w:rPr>
                <w:sz w:val="20"/>
                <w:szCs w:val="20"/>
                <w:color w:val="auto"/>
              </w:rPr>
            </w:pPr>
            <w:r>
              <w:rPr>
                <w:rFonts w:ascii="Arial" w:cs="Arial" w:eastAsia="Arial" w:hAnsi="Arial"/>
                <w:sz w:val="18"/>
                <w:szCs w:val="18"/>
                <w:color w:val="auto"/>
                <w:w w:val="90"/>
              </w:rPr>
              <w:t>PART IV.</w:t>
            </w: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15.</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Exhibits and Financial Statement Schedules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33</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16.</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Form 10-K Summary</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35</w:t>
            </w:r>
          </w:p>
        </w:tc>
      </w:tr>
      <w:tr>
        <w:trPr>
          <w:trHeight w:val="203"/>
        </w:trPr>
        <w:tc>
          <w:tcPr>
            <w:tcW w:w="3620" w:type="dxa"/>
            <w:vAlign w:val="bottom"/>
            <w:gridSpan w:val="2"/>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2"/>
        </w:trPr>
        <w:tc>
          <w:tcPr>
            <w:tcW w:w="9780" w:type="dxa"/>
            <w:vAlign w:val="bottom"/>
            <w:gridSpan w:val="6"/>
          </w:tcPr>
          <w:p>
            <w:pPr>
              <w:spacing w:after="0" w:line="202" w:lineRule="exact"/>
              <w:rPr>
                <w:sz w:val="20"/>
                <w:szCs w:val="20"/>
                <w:color w:val="auto"/>
              </w:rPr>
            </w:pPr>
            <w:r>
              <w:rPr>
                <w:rFonts w:ascii="Arial" w:cs="Arial" w:eastAsia="Arial" w:hAnsi="Arial"/>
                <w:sz w:val="18"/>
                <w:szCs w:val="18"/>
                <w:color w:val="auto"/>
              </w:rPr>
              <w:t>SIGNATURES</w:t>
            </w: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w w:val="88"/>
              </w:rPr>
              <w:t>Signatures</w:t>
            </w:r>
          </w:p>
        </w:tc>
        <w:tc>
          <w:tcPr>
            <w:tcW w:w="2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36</w:t>
            </w:r>
          </w:p>
        </w:tc>
      </w:tr>
      <w:tr>
        <w:trPr>
          <w:trHeight w:val="203"/>
        </w:trPr>
        <w:tc>
          <w:tcPr>
            <w:tcW w:w="3620" w:type="dxa"/>
            <w:vAlign w:val="bottom"/>
            <w:gridSpan w:val="2"/>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9780" w:type="dxa"/>
            <w:vAlign w:val="bottom"/>
            <w:gridSpan w:val="6"/>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1460" w:type="dxa"/>
            <w:vAlign w:val="bottom"/>
          </w:tcPr>
          <w:p>
            <w:pPr>
              <w:spacing w:after="0"/>
              <w:rPr>
                <w:sz w:val="17"/>
                <w:szCs w:val="17"/>
                <w:color w:val="auto"/>
              </w:rPr>
            </w:pPr>
          </w:p>
        </w:tc>
      </w:tr>
      <w:tr>
        <w:trPr>
          <w:trHeight w:val="203"/>
        </w:trPr>
        <w:tc>
          <w:tcPr>
            <w:tcW w:w="3620" w:type="dxa"/>
            <w:vAlign w:val="bottom"/>
            <w:gridSpan w:val="2"/>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9780" w:type="dxa"/>
            <w:vAlign w:val="bottom"/>
            <w:gridSpan w:val="6"/>
          </w:tcPr>
          <w:p>
            <w:pPr>
              <w:spacing w:after="0"/>
              <w:rPr>
                <w:sz w:val="20"/>
                <w:szCs w:val="20"/>
                <w:color w:val="auto"/>
              </w:rPr>
            </w:pPr>
            <w:r>
              <w:rPr>
                <w:rFonts w:ascii="Arial" w:cs="Arial" w:eastAsia="Arial" w:hAnsi="Arial"/>
                <w:sz w:val="18"/>
                <w:szCs w:val="18"/>
                <w:color w:val="auto"/>
              </w:rPr>
              <w:t>Index to Consolidated Financial Statements</w:t>
            </w:r>
          </w:p>
        </w:tc>
        <w:tc>
          <w:tcPr>
            <w:tcW w:w="1460" w:type="dxa"/>
            <w:vAlign w:val="bottom"/>
          </w:tcPr>
          <w:p>
            <w:pPr>
              <w:ind w:left="880"/>
              <w:spacing w:after="0"/>
              <w:rPr>
                <w:sz w:val="20"/>
                <w:szCs w:val="20"/>
                <w:color w:val="auto"/>
              </w:rPr>
            </w:pPr>
            <w:r>
              <w:rPr>
                <w:rFonts w:ascii="Arial" w:cs="Arial" w:eastAsia="Arial" w:hAnsi="Arial"/>
                <w:sz w:val="18"/>
                <w:szCs w:val="18"/>
                <w:color w:val="auto"/>
              </w:rPr>
              <w:t>F-1</w:t>
            </w:r>
          </w:p>
        </w:tc>
      </w:tr>
      <w:tr>
        <w:trPr>
          <w:trHeight w:val="546"/>
        </w:trPr>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Smaller Reporting Company—Scaled Disclosure</w:t>
      </w:r>
    </w:p>
    <w:p>
      <w:pPr>
        <w:jc w:val="both"/>
        <w:spacing w:after="0" w:line="218" w:lineRule="auto"/>
        <w:rPr>
          <w:sz w:val="20"/>
          <w:szCs w:val="20"/>
          <w:color w:val="auto"/>
        </w:rPr>
      </w:pPr>
      <w:r>
        <w:rPr>
          <w:rFonts w:ascii="Arial" w:cs="Arial" w:eastAsia="Arial" w:hAnsi="Arial"/>
          <w:sz w:val="18"/>
          <w:szCs w:val="18"/>
          <w:color w:val="auto"/>
        </w:rPr>
        <w:t>Pursuant to Item 10(f) of Regulation S K promulgated under the Securities Act of 1933, as amended (the “Securities Act”), as indicated herein, we have elected to comply with certain scaled disclosure requirements applicable to “smaller reporting companies” in this Annual Report on Form 10-K for the year ended December 31, 2021 (this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jc w:val="both"/>
        <w:spacing w:after="0" w:line="209" w:lineRule="auto"/>
        <w:rPr>
          <w:sz w:val="20"/>
          <w:szCs w:val="20"/>
          <w:color w:val="auto"/>
        </w:rPr>
      </w:pPr>
      <w:r>
        <w:rPr>
          <w:rFonts w:ascii="Arial" w:cs="Arial" w:eastAsia="Arial" w:hAnsi="Arial"/>
          <w:sz w:val="18"/>
          <w:szCs w:val="18"/>
          <w:i w:val="1"/>
          <w:iCs w:val="1"/>
          <w:color w:val="auto"/>
        </w:rPr>
        <w:t>Certain statements included in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12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color w:val="auto"/>
        </w:rPr>
        <w:t xml:space="preserve">Important factors and uncertainties that could cause actual results to differ materially from those expressed or implied by the forward-looking statements include, but are not limited to, the following: the adverse effects of the COVID-19 pandemic on our business, operations, financial condition, results of operations and capital resources, including difficulties or delays in manufacturing or delivery of inventory or other supply chain disruptions, shutdowns and/or operational restrictions imposed on our customers, an inability of our customers to make payments on time or at all, diversion of management attention, necessary modifications to our business practices and operations, cost cutting measures we have made and may continue to make, a possible future reduction in the value of goodwill or other intangible assets, inadequate manufacturing capacity or a shortfall or excess of inventory as a result of difficulty in predicting manufacturing requirements due to volatile economic conditions, price increases or decreased availability of component parts or raw materials, exchange rate fluctuations, volatility of, and decreases in, trading prices of our common stock and the availability of needed financing on acceptable terms or at all; our ability to successfully develop new products that garner customer acceptance and generate sales, both domestically and internationally, in the face of substantial competition; our reliance on an unrelated third-party to develop, maintain and host certain web-based food service application software and develop and maintain selected components of our downloadable software applications pursuant to a non-exclusive license agreement, and the risk that interruptions in our relationship with that third-party could materially impair our ability to provide services to our food service technology customers on a timely basis or at all and could require substantial expenditures to find or develop alternative software products; our ability to successfully transition our business into the food service technology market; risks associated with potential future acquisitions; general economic conditions; our dependence on contract manufacturers for the assembly of a large portion of our products in Asia; our dependence on significant suppliers; our ability to recruit and retain quality employees as the Company grows; our dependence on third-parties for sales outside the United States; marketplace acceptance of new products; risks associated with foreign operations; the availability of third-party components at reasonable prices; price wars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the effect of the United Kingdom’s withdrawal from the European Union; and other risk factors identified and discussed in Part I, Item 1A, </w:t>
      </w:r>
      <w:r>
        <w:rPr>
          <w:rFonts w:ascii="Arial" w:cs="Arial" w:eastAsia="Arial" w:hAnsi="Arial"/>
          <w:sz w:val="16"/>
          <w:szCs w:val="16"/>
          <w:color w:val="auto"/>
        </w:rPr>
        <w:t>Risk Factors</w:t>
      </w:r>
      <w:r>
        <w:rPr>
          <w:rFonts w:ascii="Arial" w:cs="Arial" w:eastAsia="Arial" w:hAnsi="Arial"/>
          <w:sz w:val="16"/>
          <w:szCs w:val="16"/>
          <w:i w:val="1"/>
          <w:iCs w:val="1"/>
          <w:color w:val="auto"/>
        </w:rPr>
        <w:t xml:space="preserve">, and Part II, Item 7, </w:t>
      </w:r>
      <w:r>
        <w:rPr>
          <w:rFonts w:ascii="Arial" w:cs="Arial" w:eastAsia="Arial" w:hAnsi="Arial"/>
          <w:sz w:val="16"/>
          <w:szCs w:val="16"/>
          <w:color w:val="auto"/>
        </w:rPr>
        <w:t>Management’s Discussion and Analysis of Financial Condition and Results of Operations</w:t>
      </w:r>
      <w:r>
        <w:rPr>
          <w:rFonts w:ascii="Arial" w:cs="Arial" w:eastAsia="Arial" w:hAnsi="Arial"/>
          <w:sz w:val="16"/>
          <w:szCs w:val="16"/>
          <w:i w:val="1"/>
          <w:iCs w:val="1"/>
          <w:color w:val="auto"/>
        </w:rPr>
        <w:t>, of this Form 10-K and that may be detailed from time to time in the Company’s other reports filed with the Securities and Exchange Commission (the “SEC”).</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We caution readers not to place undue reliance on forward-looking statements, which speak only as of the date of this Form 10-K. We undertake no obligation to publicly or otherwise revise any forward-looking statements, whether as a result of new information, future events or other factors, except where we are expressly required to do so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TransAct is a global leader in developing and selling software-driven technology and printing solutions for high growth markets including food service technology, point of sale (“POS”) automation and casino and gaming. Our world-class products are designed from the ground up based on market and customer requirements and are sold under the BOHA!™, AccuDate™, Epic, EPICENTRAL® Ithaca®, and Printrex® brand names. During 2019, we launched a new line of products for the food service technology market, the BOHA! branded suite of cloud-based applications and companion hardware solutions. The BOHA! software and hardware products help restaurants, convenience stores and food service operators of all sizes automate food production in the back-of-house operations. Known and respected worldwide for innovative designs and real-world service reliability, our thermal printers and terminals generate top-quality labels, coupons and transaction records such as receipts, tickets and other documents, as well as printed logging and plotting of data. We sell our technology to original equipment manufacturers (“OEMs”), value-added resellers, select distributors and directly to end-users.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government and oil and gas exploration markets. Through our webstore, www.transactsupplies.com, and our direct selling team, we address the demand for these products. Our primary operating, hardware research and development, and U.S. service center is located in Ithaca, New York. In addition, we have a casino and gaming sales headquarters and software research and development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Impact of the COVID-19 Pandemic</w:t>
      </w:r>
    </w:p>
    <w:p>
      <w:pPr>
        <w:jc w:val="both"/>
        <w:spacing w:after="0" w:line="210" w:lineRule="auto"/>
        <w:rPr>
          <w:sz w:val="20"/>
          <w:szCs w:val="20"/>
          <w:color w:val="auto"/>
        </w:rPr>
      </w:pPr>
      <w:r>
        <w:rPr>
          <w:rFonts w:ascii="Arial" w:cs="Arial" w:eastAsia="Arial" w:hAnsi="Arial"/>
          <w:sz w:val="18"/>
          <w:szCs w:val="18"/>
          <w:color w:val="auto"/>
        </w:rPr>
        <w:t>During the first two months of 2020 our business trends were in line with internal expectations; however, the challenges posed by the COVID-19 pandemic on the United States and global economy increased significantly as the first quarter of 2020 progressed and continued throughout the remainder of 2020 and into 2021. Though we have begun to experience some recovery during 2021, unfortunately, the massive economic and social disruptions across the world persist due to COVID-19, including the emergence of virus variants, and the measures implemented to mitigate its spread. The food service, casino and gaming, and oil and gas industries have been particularly affected by the pandemic, and we expect such disruptions to continue to negatively impact our overall business for the foreseeable future.</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a result of the COVID-19 pandemic and measures implemented to mitigate its spread, we experienced decreased demand for our products and lower than anticipated sales beginning in the second half of March 2020 and continuing through 2021, particularly in our food service technology and casino and gaming markets. We experienced some improvement in demand during the second half of 2020 through 2021 compared to the second quarter of 2020, as state and local governments lifted certain measures implemented earlier in 2020 to mitigate the spread of the virus, but demand remained lower than 2019. While we expect this improvement to continue during 2022, the exact timing and pace of recovery is unknown. We have also experienced supply chain disruptions, including delayed product shipments from our two contract manufacturers located in Thailand and China that conduct almost all of our printer and BOHA! hardware manufacturing, due to reduced operations and part shortages at these facilities. Our inventory levels decreased significantly during 2021 due to these supply chain disruptions and if these delays are sustained or additional disruptions occur we may have insufficient inventory levels and our ability to deliver products to our customers on time or at all may be impaired. Below is a discussion of the impact we have experienced from the COVID-19 pandemic, and that we believe will continue to experience for the foreseeable future in each of our markets.</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7"/>
          <w:szCs w:val="17"/>
          <w:b w:val="1"/>
          <w:bCs w:val="1"/>
          <w:i w:val="1"/>
          <w:iCs w:val="1"/>
          <w:color w:val="auto"/>
        </w:rPr>
        <w:t>Food service technology and POS automation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both our food service technology and POS automation markets, many restaurants and food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establishments that were closed during much of the second quarter of 2020 started to reopen in the third quarter of 2020 as state and local governments began to ease restrictions put in place in response to the pandemic. Many of our customers initially opened under restrictions that limited them to providing drive-through, take-out or delivery service without dine-in options, as well as limiting the volume of customers and employees on site at any one time. During the second half of 2020 and throughout 2021 as these food service customers reopened for business, we experienced sales improvement compared to the second quarter of 2020. However, during the fourth quarter of 2020 and early in 2021, restaurants were again impacted by a resurgence of the pandemic. Notwithstanding the gradual resumption of operations that began in the third quarter of 2020, our food service technology and POS automation customers continue to recover from the financial impact of the pandemic and we expect new capital expenditures to be a lower priority for them in the near term, which we believe will continue to negatively impact sales of BOHA! hardware, software and label products, as well as sales of POS printers. However, food service providers have been and are likely to continue to be required to develop and implement new or enhanced policies and operating procedures regarding cleaning, sanitizing and social distancing to ensure the safety of their employees and customers. Additionally, our markets have experienced labor shortages and inflation in their food and labor costs. We believe that our BOHA! hardware, software and label products could prove to be helpful to our food service customers in efficiently and effectively managing and complying with these new procedures, while also helping to overcome staffing issues and inflation, especially as many establishments are and will likely continue to be operating with reduced staff levels due to the continuing labor shortage.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auto"/>
        </w:rPr>
        <w:t>Casino and gaming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casino and gaming market, most casinos and other gaming establishments were closed worldwide during most of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2020. Many casinos began to reopen in late May and early June 2020, but similar to restaurants, casino openings were slow and measured, starting with reduced capacity and limited gameplay based on social distancing guidelines. During the fourth quarter of 2020, some casinos re-closed due to a resurgence of the pandemic. However, many casinos in the U.S. reopened during the first quarter of 2021 with limited capacity and continued to remain open and further expand capacity during the remainder of 2021. We anticipate that casinos will continue to increase capacity over time, barring any new closures or reduced capacity requirements in response to any new resurgence of the pandemic, including the emergence of variants. Though sales of our casino and gaming products increased during 2021, and we expect this trend to continue into 2022, casinos continue to recover from the financial impact of the COVID-19 pandemic, and therefore we expect that certain casinos’ appetite for purchases of new slot machines may be diminished, which may negatively impact sales of casino and gaming printers purchased by slot manufacturers for use in slot machines at casinos during 2022.</w:t>
      </w:r>
    </w:p>
    <w:p>
      <w:pPr>
        <w:spacing w:after="0" w:line="12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Lottery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exited the lottery market at the end of 2019 and IGT made a final purchase of our lottery printer during the second quarter of 2020. Therefore,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has not had an impact on our lottery printer sales, and we do not anticipate that it will have an impact on our future lottery printer sales.</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Printrex</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oil and gas market was negatively impacted by the decline in worldwide oil prices attributable to the COVID-19 pandemic during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latter half 2021, oil and gas prices began to rise again, resulting in slowly improving sales to our oil and gas customers. However, we made a strategic decision to exit the Printrex market as of December 31, 2021 and expect to have no future sales in this market beyond 2021.</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TSG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closures and reduced operating capacity of restaurants, retail establishments, casinos and other gaming establishments resulting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COVID-19 pandemic, sales of spare parts, service and consumable products have declined, and we expect such sales to remain at reduced levels, due to lower usage while customers continue to recover from the impact of the pandemic.</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gross margin has been negatively impacted and we expect our gross margin to continue to be negatively impacted while the COVID-19 pandemic and its economic effects on the markets we serve persists. As a result of an expected lower sales level, as well as increased material and shipping costs resulting from worldwide supply disruptions caused by the COVID-19 pandemic, we believe our gross margin will remain lower than pre-pandemic levels due to fixed manufacturing overhead expenses (such as facility costs, depreciation, etc.) that cannot be reduced or eliminated even with the lower sales level.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 w:name="page5"/>
    <w:bookmarkEnd w:id="4"/>
    <w:p>
      <w:pPr>
        <w:jc w:val="both"/>
        <w:spacing w:after="0" w:line="228" w:lineRule="auto"/>
        <w:rPr>
          <w:sz w:val="20"/>
          <w:szCs w:val="20"/>
          <w:color w:val="auto"/>
        </w:rPr>
      </w:pPr>
      <w:r>
        <w:rPr>
          <w:rFonts w:ascii="Arial" w:cs="Arial" w:eastAsia="Arial" w:hAnsi="Arial"/>
          <w:sz w:val="17"/>
          <w:szCs w:val="17"/>
          <w:color w:val="auto"/>
        </w:rPr>
        <w:t>While we began to experience a modest recovery starting in the second half of 2020 and continuing into 2021 and expect this recovery to continue during 2022, the exact timing and pace of recovery is unknown given uncertainty surrounding responsive measures to potential future resurgences of the virus, vaccination rates, the emergence of virus variants and the significant disruption that our customers and suppliers have already experienced and may continue to experience. In light of this uncertainty, we implemented a number of cost saving measures during 2020 to help mitigate the impact on our financial position and operations and continued to limit discretionary spending during 2021.</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expense management actions implemented during 2020, we took the following actions to increase liquidity and strengthen our financial position:</w:t>
      </w:r>
    </w:p>
    <w:p>
      <w:pPr>
        <w:spacing w:after="0" w:line="135"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Offerings – On October 16, 2020 and August 16, 2021, the Company raised net proceeds of $8.7 million and $11.2 million (including the exercise of the underwriters’ overallotment options on October 16, 2020 and August 20, 2021), respectively, after deducting underwriting discounts, commissions and offering expenses, through underwritten public offerings and sold an aggregate of 1,380,000 and 842,375 shares of common stock, respectively.</w:t>
      </w:r>
    </w:p>
    <w:p>
      <w:pPr>
        <w:spacing w:after="0" w:line="14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PPP Loan – On May 1, 2020,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employees we furloughed earlier in 2020 to full time employment and to restore employees to full pay following certain pay cuts. On July 8, 2021, we received notice that the PPP Loan had been forgiven as of July 1, 2021.</w:t>
      </w:r>
    </w:p>
    <w:p>
      <w:pPr>
        <w:spacing w:after="0" w:line="11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Retention Credit – Under the provisions of the CARES Act, the Company is eligible for a refundable employee retention credit subject to certain criteria. In connection with the CARES Act, the Company recognized the employee retention credit during the fourth quarter of 2021 and recorded $1.5 million as “Gain from employee retention credit” in the Consolidated Statement of Operations and the related receivable as “Employee retention credit receivable”” in the Consolidated Balance Sheet as of December 31, 2021. We expect to receive these funds during 2022.</w:t>
      </w:r>
    </w:p>
    <w:p>
      <w:pPr>
        <w:spacing w:after="0" w:line="14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Credit Facility – On March 13, 2020, we entered into a new credit facility with Siena Lending Group LLC that provides a revolving credit line of up to $10.0 million, subject to a borrowing base.</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 and gradually increased expenses during 2021 as our sales improved.</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Since the onset of the pandemic, our top priority has been to ensure the health and safety of our employees while continuing to provide our customers with high-quality, personalized service. On March 20, 2020, we instituted work-from-home practices for the majority of our employees to reduce the spread of COVID-19 and to comply with government mandates. Because most of our employees already had laptop computers with remote access into our IT systems, we experienced only minor reductions in productivity and minimal costs related to the implementation of our work-from-home practices. In addition, even with the move to a work-from-home environment, our internal control structure remained operational and unchanged.</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October 4, 2021, all of our employees were fully vaccinated against COVID-19 and, as a result, we implemented a return-to-work plan, reopening all of our facilities and ending our work-from-home practices. Our distribution centers, deemed an essential service, remained operational throughout the pandemic. During 2020, we implemented new COVID-19 policies, most of which were still in place prior to ending our work-from-home practices, to specifically address health and safety guidelines for employees to adhere to and follow when at work. These policies were based on the COVID-19 safety guidelines recommended by the Centers for Disease Control and Prevention.</w:t>
      </w:r>
    </w:p>
    <w:p>
      <w:pPr>
        <w:spacing w:after="0" w:line="13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have evaluated the recoverability of the assets on our Consolidated Balance Sheet as of December 31, 2021 in accordance with relevant authoritative accounting literature. We considered the disruptions caused by the COVID-19 pandemic, including lower than previously forecasted sales and customer demand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Report and reflected accordingly in the accompanying consolidated financial statements.</w:t>
      </w:r>
    </w:p>
    <w:p>
      <w:pPr>
        <w:spacing w:after="0" w:line="12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Notwithstanding the foregoing, there is no assurance that the actions we have taken in response to the pandemic are sufficient or adequate, and we may be required to take additional preventive or responsive measures, as the ultimate extent of the effects of the COVID-19 pandemic on the Company, our financial condition, results of operations, liquidity, and cash flows are uncertain and are dependent on evolving developments which cannot be predicted at this time. See Part I, Item 1A, Risk Factors, of this Form 10-K for further discussion of risks related to COVID-19.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Printers, terminals and other hardware: </w:t>
      </w:r>
      <w:r>
        <w:rPr>
          <w:rFonts w:ascii="Arial" w:cs="Arial" w:eastAsia="Arial" w:hAnsi="Arial"/>
          <w:sz w:val="17"/>
          <w:szCs w:val="17"/>
          <w:color w:val="auto"/>
        </w:rPr>
        <w:t>TransAct designs, develops and markets a broad array of transaction-based and specialty printers and terminals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thermal printing technology for applications, primarily in the food service technology, POS automation, casino and gaming, and prior to exiting the market on December 31, 2021, the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service technology terminals also offer software configurable menu options. Our food service technology market also includes sales of hardware products including temperature probes, temperature sensors and gateways.</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7"/>
          <w:szCs w:val="17"/>
          <w:b w:val="1"/>
          <w:bCs w:val="1"/>
          <w:i w:val="1"/>
          <w:iCs w:val="1"/>
          <w:color w:val="auto"/>
        </w:rPr>
        <w:t xml:space="preserve">Food Service Technology (“FST”): </w:t>
      </w:r>
      <w:r>
        <w:rPr>
          <w:rFonts w:ascii="Arial" w:cs="Arial" w:eastAsia="Arial" w:hAnsi="Arial"/>
          <w:sz w:val="17"/>
          <w:szCs w:val="17"/>
          <w:color w:val="auto"/>
        </w:rPr>
        <w:t>The primary offering in the FST market is our BOHA! ecosystem, which combines our latest generation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terminal/workstation, cloud-based software applications and related hardware into a unique solution to automate back-of-house operations in restaurants, convenience stores and food service operations. The software component of BOHA! consists of a suite of software-as-a-service (“SaaS”)-based applications, including applications for temperature monitoring of food and equipment, timers, food safety labeling, media libraries, checklists and task lists and equipment service management. Any and all of these applications can be chosen by our customer and packaged into a single platform with the associated hardware, which includes the BOHA! terminal, handheld devices, tablets, temperature probes and temperature sensors and gateways. The BOHA! terminal combines the software and hardware components in a device that includes an operating system, touchscreen and one or two thermal print mechanisms that print easy-to-read food rotation labels, grab-and-go labels for prepared foods, nutritional labels and “enjoy by” date labels. The BOHA! Workstation is a hardware device that pairs two mechanisms with an Apple iPad utilizing an iOS operating system. Both the BOHA! terminal and BOHA! workstation are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to solicit sales directly from end users.</w:t>
      </w:r>
    </w:p>
    <w:p>
      <w:pPr>
        <w:spacing w:after="0" w:line="1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POS automation: </w:t>
      </w:r>
      <w:r>
        <w:rPr>
          <w:rFonts w:ascii="Arial" w:cs="Arial" w:eastAsia="Arial" w:hAnsi="Arial"/>
          <w:sz w:val="17"/>
          <w:szCs w:val="17"/>
          <w:color w:val="auto"/>
        </w:rPr>
        <w:t>In the POS market, we sell a printer utilizing thermal printing technology. Our POS printer is used primarily by McDonald’s, and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lesser extent, other quick-serve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w:t>
      </w:r>
    </w:p>
    <w:p>
      <w:pPr>
        <w:spacing w:after="0" w:line="12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w:t>
      </w:r>
    </w:p>
    <w:p>
      <w:pPr>
        <w:spacing w:after="0" w:line="12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also offer a software solution, the EPICENTRAL Print System, including annual software maintenance, that enables casino operators to create promotional coupons and marketing messages and to print them in real time at the slot machine. With EPICENTRAL, casinos can utilize the system to create multiple promotions and incentives to either increase customer time spent on the casino floor or encourage additional visits to generate more revenue to the casinos.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Our lottery printers were designed for high-volume, high-speed printing of lottery tickets for various lottery applications. We previously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lottery printers to International Gaming Technology and its subsidiaries (“IGT”), our largest customer and the world’s largest provider of lottery terminals. During 2019, we decided to exit this business and we expect no future sales beyond 2020. Sales of our lottery products were made directly to IGT and were managed by an internal sales representative before we exited the business in 2019.</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Printrex: </w:t>
      </w:r>
      <w:r>
        <w:rPr>
          <w:rFonts w:ascii="Arial" w:cs="Arial" w:eastAsia="Arial" w:hAnsi="Arial"/>
          <w:sz w:val="18"/>
          <w:szCs w:val="18"/>
          <w:color w:val="auto"/>
        </w:rPr>
        <w:t>Printrex printers include wide format, desktop and rack-mounted and vehicle-mounted black and white thermal printers used by customers to 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plot oil field, seismic and down hole well drilling data in the oil and gas exploration industry. The Printrex brand of printers also includes high-speed color inkjet desktop printers used by oil and gas field service companies to print logs at data centers of the oil and gas field service companies. We primarily sell our Printrex products directly to oil field service and drilling companies and OEM’s, as well as through regional distributors in the United States, Europe, Canada and Asia. During 2021, we decided to exit this business and in the fourth quarter of 2021 fulfilled last buy orders to our legacy customers. We expect no future sales of our Printrex products beyond 2021.</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TSG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TSG, we proactively market the sale of consumable products (including POS receipt paper, ribbons and other printing supplies),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parts, maintenance and repair services, and shipping and handling charges. Our maintenance services include the sale of extended warranties, multi-year maintenance contracts, a 24-hour guaranteed replacement product service called TransAct Xpress™ and other repair services for our non-FST products.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6"/>
          <w:szCs w:val="16"/>
          <w:color w:val="auto"/>
        </w:rPr>
        <w:t xml:space="preserve">We also provide customers with telephone sales and technical support, and a personal account representative to handle orders, shipping and general information. Technical and sales support personnel receive training on all our manufactured products and services. In addition to personalized telephone and technical support, we also market and sell consumable products 24 hours a day, seven days a week, via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Almost all of our printers and terminals are produced by two third-party manufacturers located in Thailand and China. A small portion of our products are assembled in our Ithaca, New York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hardware products in Ithaca, New York. Critical component parts and subassemblies include thermal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currently buy a majority of our thermal print mechanisms, an important component of our thermal printers, and fully assembled printers for several of our printer and food service technology terminal models, from one foreign contract manufacturer in Thailand and to a lesser extent, one other foreign contract manufacturer in China.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both remain strong and we have no reason to believe that either will discontinue their supply of thermal print mechanisms or fully assembled printers to us during 2022 or that their terms to us will be substantially less favorable than they have been historically. Due to the impact from Chinese tariffs starting in 2019, during 2020 and 2021, we increasingly transferred production from our contract manufacturer in China to our contract manufacturer in Thailand. We plan to continue transferring production to our Thailand-based contract manufacturer during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third-party nondisclosure agreements, copyright laws and contractual rights to establish and protect its proprietary rights in its products. As of February 28, 2022, we hold 37 United States and 33 foreign patents and have 3 foreign patent applications pending pertaining to our products. The remaining duration of these patents ranges from 1 to 18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37"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Form 10-K are the property of their</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7"/>
          <w:szCs w:val="17"/>
          <w:color w:val="auto"/>
        </w:rPr>
        <w:t>respective owners. The trademarks we own include TransAct®, BOHA!</w:t>
      </w:r>
      <w:r>
        <w:rPr>
          <w:rFonts w:ascii="Arial" w:cs="Arial" w:eastAsia="Arial" w:hAnsi="Arial"/>
          <w:sz w:val="28"/>
          <w:szCs w:val="28"/>
          <w:color w:val="auto"/>
          <w:vertAlign w:val="superscript"/>
        </w:rPr>
        <w:t>TM</w:t>
      </w:r>
      <w:r>
        <w:rPr>
          <w:rFonts w:ascii="Arial" w:cs="Arial" w:eastAsia="Arial" w:hAnsi="Arial"/>
          <w:sz w:val="17"/>
          <w:szCs w:val="17"/>
          <w:color w:val="auto"/>
        </w:rPr>
        <w:t>, AccuDate™, Epic, EPICENTRAL®, Ithaca® and Printrex®. Solely for convenience, some of the trademarks, service marks, trade names and copyrights referred to in this Form 10-K are listed without the ©, ® and ™ symbols, but we will assert, to the fullest extent under applicable law, our rights to our trademarks, service marks, trade names and copyrights.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food service technology products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18" w:lineRule="auto"/>
        <w:rPr>
          <w:sz w:val="20"/>
          <w:szCs w:val="20"/>
          <w:color w:val="auto"/>
        </w:rPr>
      </w:pPr>
      <w:r>
        <w:rPr>
          <w:rFonts w:ascii="Arial" w:cs="Arial" w:eastAsia="Arial" w:hAnsi="Arial"/>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Certain Significant Customers</w:t>
      </w:r>
    </w:p>
    <w:p>
      <w:pPr>
        <w:jc w:val="both"/>
        <w:spacing w:after="0" w:line="212" w:lineRule="auto"/>
        <w:rPr>
          <w:sz w:val="20"/>
          <w:szCs w:val="20"/>
          <w:color w:val="auto"/>
        </w:rPr>
      </w:pPr>
      <w:r>
        <w:rPr>
          <w:rFonts w:ascii="Arial" w:cs="Arial" w:eastAsia="Arial" w:hAnsi="Arial"/>
          <w:sz w:val="18"/>
          <w:szCs w:val="18"/>
          <w:color w:val="auto"/>
        </w:rPr>
        <w:t>IGT is our most significant customer, although to a lesser extent than in previous years, and has been since 1995. We sell casino and gaming printers and, prior to 2021, on-line lottery printers to IGT. On May 29, 2015, we signed an agreement with IGT to sell on-line lottery and casino printers to IGT on a non-exclusive basis through December 31, 2019. We decided not to renew the agreement upon its expiration and to exit the on-line lottery market. Although we no longer have an agreement with IGT, we expect to continue selling casino and gaming printers to IGT, as well as spare parts for our remaining, but declining, installed base of lottery printers,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Sales to IGT represented 9% and 15% of our total net sales for the years ended December 31, 2021 and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jc w:val="both"/>
        <w:spacing w:after="0" w:line="212" w:lineRule="auto"/>
        <w:rPr>
          <w:sz w:val="20"/>
          <w:szCs w:val="20"/>
          <w:color w:val="auto"/>
        </w:rPr>
      </w:pPr>
      <w:r>
        <w:rPr>
          <w:rFonts w:ascii="Arial" w:cs="Arial" w:eastAsia="Arial" w:hAnsi="Arial"/>
          <w:sz w:val="18"/>
          <w:szCs w:val="18"/>
          <w:color w:val="auto"/>
        </w:rPr>
        <w:t>Our backlog of firm orders was approximately $14.2 million as of February 28, 2022, compared to $3.4 million as of February 28, 2021. The increase in firm orders as of February 28, 2022 compared to February 28, 2021 is due primarily to advance orders placed by our casino and gaming customers due to increased production lead time, resulting from worldwide supply chain shortages caused by the pandemic. Based on customers’ current delivery requirements, we expect to fill and recognize as revenue $13.7 million of our current backlog during 2022, $0.4 million during 2023 and the remaining balance of the amount during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jc w:val="both"/>
        <w:spacing w:after="0" w:line="222" w:lineRule="auto"/>
        <w:rPr>
          <w:sz w:val="20"/>
          <w:szCs w:val="20"/>
          <w:color w:val="auto"/>
        </w:rPr>
      </w:pPr>
      <w:r>
        <w:rPr>
          <w:rFonts w:ascii="Arial" w:cs="Arial" w:eastAsia="Arial" w:hAnsi="Arial"/>
          <w:sz w:val="17"/>
          <w:szCs w:val="17"/>
          <w:color w:val="auto"/>
        </w:rPr>
        <w:t>The market for transaction-based and specialty printers and food service technology terminals is extremely competitive, and we expect such competition to continue in the future. However, we experience less competition for EPICENTRAL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the food service technology market, we primarily compete with Zenput, Squadle Inc., Jolt Software, Avery Dennison Corporation, Ecolab Inc., ITD Food Safety, CMC Daymark, Integrated Control Corp, Digi International, and Toast. We compete in this market based largely on our ability to provide highly specialized software and purpose-built hardware products and ongoing technical support. We rely upon third-party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Certain portions of our food service technology software are licensed from a third-party developer on a non-exclusive basis through 2031 and are subject to a revenue sharing arrangement with the developer. We are reliant upon the third-party developer to further develop and maintain its developed software, and the developer controls the software source code. The license agreement does not preclude the developer from working with others on similar products. Also, the third-party developer hosts the web-based applications. Therefore, presently, we are highly dependent upon this third-party developer for continued service to our customers and the further development of our food service technology software products.</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POS automation market, we primarily compete with Epson America, Inc., which holds a dominant market position. We also compete, to a much lesser extent, with Star Micronics America, Inc. and Citizen -- CBM America Corporation. Certain competitors of ours have greater financial resources and lower costs attributable to higher volume production which enables them to occasionally offer lower prices than us. However, we will continue to deemphasize efforts in the POS automation market going forward as we have shifted our focus toward our higher-value, technology-enabled food service technology and casino and gaming products.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w:t>
      </w:r>
    </w:p>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lottery market (consisting principally of on-line lottery transaction printing), we competed with other lottery printer providers such as Custom Engineering SPA, Star Micronics and Wincor Nixdorf. However, we exited the lottery market in 2019 and shifted our focus toward our higher-value, technology enabled food service technology and casino and gaming products.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oil and gas market, our Printrex products competed primarily with the products of Imaging Systems Group, Inc. and Neuralog Inc. However, we exited the oil and gas market at the end of 2021 in order to shift our focus toward our higher-value, technology enabled food service technology and gaming products.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Our strategy for competing in our markets is to continually develop and/or license new products (hardware and software), such as launching BOHA! in 2019,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products could become obsolete, which could have a significant negative impact on our business.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Environmental Compliance</w:t>
      </w:r>
    </w:p>
    <w:p>
      <w:pPr>
        <w:jc w:val="both"/>
        <w:spacing w:after="0" w:line="218" w:lineRule="auto"/>
        <w:rPr>
          <w:sz w:val="20"/>
          <w:szCs w:val="20"/>
          <w:color w:val="auto"/>
        </w:rPr>
      </w:pPr>
      <w:r>
        <w:rPr>
          <w:rFonts w:ascii="Arial" w:cs="Arial" w:eastAsia="Arial" w:hAnsi="Arial"/>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10" w:lineRule="auto"/>
        <w:rPr>
          <w:sz w:val="20"/>
          <w:szCs w:val="20"/>
          <w:color w:val="auto"/>
        </w:rPr>
      </w:pPr>
      <w:r>
        <w:rPr>
          <w:rFonts w:ascii="Arial" w:cs="Arial" w:eastAsia="Arial" w:hAnsi="Arial"/>
          <w:sz w:val="18"/>
          <w:szCs w:val="18"/>
          <w:color w:val="auto"/>
        </w:rPr>
        <w:t>We make available free of charge through the “Investor Relations” tab on our Internet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Securities Exchange Act of 1934, as amended (the “Exchange Act”). The SEC maintains an internet site that contains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jc w:val="both"/>
        <w:spacing w:after="0" w:line="226" w:lineRule="auto"/>
        <w:rPr>
          <w:sz w:val="20"/>
          <w:szCs w:val="20"/>
          <w:color w:val="auto"/>
        </w:rPr>
      </w:pPr>
      <w:r>
        <w:rPr>
          <w:rFonts w:ascii="Arial" w:cs="Arial" w:eastAsia="Arial" w:hAnsi="Arial"/>
          <w:sz w:val="18"/>
          <w:szCs w:val="18"/>
          <w:color w:val="auto"/>
        </w:rPr>
        <w:t>As of December 31, 2021, TransAct and our subsidiaries employed 118 persons, all of whom were full-time employees. None of our employees are unionized, and we consider our relationships with our employees to be good.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34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189"/>
        </w:trPr>
        <w:tc>
          <w:tcPr>
            <w:tcW w:w="2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Bart C. Shuldman</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64</w:t>
            </w:r>
          </w:p>
        </w:tc>
        <w:tc>
          <w:tcPr>
            <w:tcW w:w="220" w:type="dxa"/>
            <w:vAlign w:val="bottom"/>
            <w:tcBorders>
              <w:top w:val="single" w:sz="8" w:color="CCEEFF"/>
            </w:tcBorders>
            <w:shd w:val="clear" w:color="auto" w:fill="CCEEFF"/>
          </w:tcPr>
          <w:p>
            <w:pPr>
              <w:spacing w:after="0"/>
              <w:rPr>
                <w:sz w:val="16"/>
                <w:szCs w:val="16"/>
                <w:color w:val="auto"/>
              </w:rPr>
            </w:pPr>
          </w:p>
        </w:tc>
        <w:tc>
          <w:tcPr>
            <w:tcW w:w="7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Steven A. DeMartino</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52</w:t>
            </w:r>
          </w:p>
        </w:tc>
        <w:tc>
          <w:tcPr>
            <w:tcW w:w="73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Tracey S. Chernay</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62</w:t>
            </w:r>
          </w:p>
        </w:tc>
        <w:tc>
          <w:tcPr>
            <w:tcW w:w="7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Senior Vice President, Casino, Gaming and Lottery Sales</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Andrew J. Hoffman</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73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 Operations</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 Peters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c>
          <w:tcPr>
            <w:tcW w:w="7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Vice President and Chief Accounting Officer</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Brent Richtsmeier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340" w:type="dxa"/>
            <w:vAlign w:val="bottom"/>
            <w:gridSpan w:val="2"/>
          </w:tcPr>
          <w:p>
            <w:pPr>
              <w:ind w:left="220"/>
              <w:spacing w:after="0"/>
              <w:rPr>
                <w:sz w:val="20"/>
                <w:szCs w:val="20"/>
                <w:color w:val="auto"/>
              </w:rPr>
            </w:pPr>
            <w:r>
              <w:rPr>
                <w:rFonts w:ascii="Arial" w:cs="Arial" w:eastAsia="Arial" w:hAnsi="Arial"/>
                <w:sz w:val="18"/>
                <w:szCs w:val="18"/>
                <w:color w:val="auto"/>
              </w:rPr>
              <w:t>Chief Technology Officer</w:t>
            </w:r>
          </w:p>
        </w:tc>
      </w:tr>
    </w:tbl>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and a Director of the Company since its formation in June 1996. In February 2001, Mr. Shuldman was elected Chairman of the Board. Mr. Shuldman served as President of the Company from its formation until June 2010, when he relinquished the President title to focus on new products and markets, international expansion and potential acquisitions.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in November 2004. He served as Vice President, Operations from September 1994 to November 2004.</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Brent Richtsmeier was named as Chief Technology Officer in September 2021. Previously, Mr. Richtsmeier served as Senior Vice President, Software Engineering since joining TransAct in December 2019 and was appointed as an officer of the Company in January 2021. Prior to joining TransAct, Mr. Richtsmeier was employed with Samsung, an electronics corporation, from May 2004 until November 2017 as the VP of Development where he was responsible for software strategy, software development at scale and business development. In November 2017, Samsung Electronics sold their business products division to HP Inc, and Mr. Richtsmeier transferred to HP Inc to become the Global Head of Cloud and Mobile Software Solutions until joining TransAct in 2021.</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Investors should carefully consider the risks, uncertainties and other factors described below, as well as other disclosures in Item 7.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and results of operations could be materially adversely affected.</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experienced a net loss in 2020 and 2021, anticipate increasing expenses in the future, and we may not be able to achieve, maintain or increase profitability in the future.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incurred a net loss of $5.6 million and $4.1 million in 2020 and 2021, respectively,, we anticipate increasing expenses in the future, and we may not be able to achieve, maintain or increase profitability in the future. We expect our costs to increase over time and our losses to continue as we expect to invest significant additional funds towards growing our food service technology business and transitioning away from other lines of business. We have expended and expect to continue to expend substantial financial and other resources on developing our food service technology business, including expanding our offerings, developing or acquiring new products and services and increasing our sales and marketing efforts. These efforts may be more costly than we expect and may not result in increased revenue or growth in our food service technology business. Any failure to increase our revenue sufficiently to keep pace with our investments and other expenses could prevent us from achieving, maintaining or increasing profitability or positive cash flow on a consistent basis. If we are unable to successfully address these risks and challenges as we encounter them, our business, financial condition, and results of operations could be adversely affected. If we are unable to generate adequate revenue growth and manage our expenses, we may continue to incur significant losses in the future and may not be able to achieve, maintain or increase profitability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quarter-to-quarter and year-to-year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below and throughout this “Risk Factors” section:</w:t>
      </w:r>
    </w:p>
    <w:p>
      <w:pPr>
        <w:spacing w:after="0" w:line="136"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distribution of our sales and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of our supply chain on a few, foreign third-party manufacturers and suppliers and the impact on our supply chain of product or component shortages and cost increases due to events beyond our control, including the COVID-19 pandemic and political or social instability such as the ongoing Russia-Ukraine conflict;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events, public health crises, military actions and other external events out of our control that can disrupt our operations or the operations of our customers’ or suppliers’ facilities;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Form 10-K, quarter-to-quarter comparisons of our operating results may not be an indicator of future performance.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jc w:val="both"/>
        <w:spacing w:after="0" w:line="220" w:lineRule="auto"/>
        <w:rPr>
          <w:sz w:val="20"/>
          <w:szCs w:val="20"/>
          <w:color w:val="auto"/>
        </w:rPr>
      </w:pPr>
      <w:r>
        <w:rPr>
          <w:rFonts w:ascii="Arial" w:cs="Arial" w:eastAsia="Arial" w:hAnsi="Arial"/>
          <w:sz w:val="17"/>
          <w:szCs w:val="17"/>
          <w:b w:val="1"/>
          <w:bCs w:val="1"/>
          <w:i w:val="1"/>
          <w:iCs w:val="1"/>
          <w:color w:val="auto"/>
        </w:rPr>
        <w:t>The COVID-19 pandemic has had, and is likely to continue to have, an adverse impact on our business, operations, financial condition, results of operations and capital resources, as well as on the operations and financial performance of many of our customers and suppliers. We are unable to predict the ultimate extent to which the pandemic and related effects will adversely impact our business, operations, financial condition, results of operations, capital resources and the achievement of our strategic objectives.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As a result of the COVID-19 pandemic and the numerous disease control measures taken to limit the spread of COVID-19, we have experienced, and can be expected to continue to experience, disruptions to our business, our operations, the delivery of our products and customer demand for our products, including the following:</w:t>
      </w:r>
    </w:p>
    <w:p>
      <w:pPr>
        <w:spacing w:after="0" w:line="135" w:lineRule="exact"/>
        <w:rPr>
          <w:sz w:val="20"/>
          <w:szCs w:val="20"/>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losses in excess of those we anticipated in transitioning our business focus toward the food service technology market, which, in addition to the factors discussed below, may require us to seek to obtain additional capital through debt or equity financings or other arrangements to fund operations, or if such arrangements are not available, to take additional significant cost-cutting measures;</w:t>
      </w:r>
    </w:p>
    <w:p>
      <w:pPr>
        <w:jc w:val="both"/>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supply chain disruptions, including delayed product shipments from two contract manufacturers located in Thailand and China that conduct substantially all of our printer and BOHA! hardware manufacturing, which, if sustained, could lead to insufficient inventory levels and harm our ability to deliver products to our customers on time or at all, and cost increases as a result of such supply chain disruptions;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or new restrictions on the operations of our customers in the casino industry and food service industry, including, in some cases, partial or complete business shutdowns, which have resulted in, and are likely to continue to result in, reduced demand for our products in the two primary markets that we serve;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inability of our customers to make payments in a timely fashion or at all, in the event that the downturn in economic conditions persist;</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devotion of significant time, management attention and resources to monitoring the COVID-19 pandemic and its impacts, and anticipated impacts, on our business, and seeking to mitigate the effects of the pandemic on our business and workforce, which diverts management’s attention and resources away from strategic initiatives, new business opportunities, the transition of our business toward the food service and casino and gaming markets, and the overall profitability of our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possible future reduction in the value of goodwill or other intangible assets causing the carrying value of such assets to exceed their fair value, which could require us to recognize asset impairment;</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predicting our manufacturing requirements accurately due to volatile economic conditions, which could result, in the case of an underestimate, in inadequate manufacturing capacity or inventory, interruptions in production and delayed deliveries to customers (with resulting losses in orders or customers lowering our net sales), or in the case of an overestimate, in an excess inventory of component parts or manufactured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prices and/or decreases in availability of component parts and raw materials needed to produce our products;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foreign exchange rate fluctuations due to volatile global economic conditions, which could negatively affect earnings and the value of our assets held outside the United States, and if we increase prices to absorb a portion of the currency impact, could cause demand to decrease;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of, and decreases in, trading prices of our common stock; and</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may need to raise additional capital through an equity or debt financing to support operations but are unable to do so due to, among other things, global economic conditions, conditions in the global financing markets, trading prices of our common stock and the outlook for the industries that we serve, all of which could be negatively impacted by the COVID-19 pandemic, such that there can be no assurance that such financing would be available to us.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If we issue equity or debt securities to raise additional funding, our existing shareholders may experience dilution and we may incur significant financing costs. If we issue debt securities or otherwise incur additional debt, we would have additional debt service obligations, could become subject to additional restrictions limiting our ability to operate our business, and may be required to further encumber our assets.</w:t>
      </w:r>
    </w:p>
    <w:p>
      <w:pPr>
        <w:spacing w:after="0" w:line="12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resulting impacts from the COVID-19 pandemic continue to evolve rapidly, and additional material impacts and disruptions may occur. The factors described above, which may worsen, have had and, along with other factors that we cannot predict, can be expected to continue to have, a material adverse impact on our business, operations, financial condition, results of operations and capital resources. The ultimate impact of the COVID-19 pandemic on the Company is highly uncertain and subject to change and will depend on future developments, which cannot be accurately predicted, including the duration of the pandemic, additional or modified government actions, new information that may emerge concerning the severity and impact of the COVID-19 pandemic, newly identified strains of COVID-19, vaccination rates and effectiveness of vaccines and treatments and the actions taken to contain COVID-19 or address its impact in the short and long term, among others. We do not yet know and cannot predict the full extent of potential impacts on our business, operations, financial condition, results of operations and capital resources.</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addition, any of the risks and uncertainties set forth in this Form 10-K can be expected to be further heightened by the COVID-19 pandemic and have a material adverse effect on the Company’s business, prospects, financial condition, results of operations and capital resources and the achievement of our strategic objectives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jc w:val="both"/>
        <w:spacing w:after="0" w:line="212" w:lineRule="auto"/>
        <w:rPr>
          <w:sz w:val="20"/>
          <w:szCs w:val="20"/>
          <w:color w:val="auto"/>
        </w:rPr>
      </w:pPr>
      <w:r>
        <w:rPr>
          <w:rFonts w:ascii="Arial" w:cs="Arial" w:eastAsia="Arial" w:hAnsi="Arial"/>
          <w:sz w:val="18"/>
          <w:szCs w:val="18"/>
          <w:b w:val="1"/>
          <w:bCs w:val="1"/>
          <w:i w:val="1"/>
          <w:iCs w:val="1"/>
          <w:color w:val="auto"/>
        </w:rPr>
        <w:t>We purchase component parts and consumable products from third-party and sole source suppliers, and any interference with this supply chain may impact our ability to manufacture and sell our products.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We rely on third-party or sole source suppliers to provide certain key components for our products including BOHA! labels. We do not have guaranteed supply contracts with any of our component suppliers, and our suppliers could delay shipments, increase prices or cease manufacturing or selling such components to us at any time, including as a result of the current global microchip shortage. For example, in December 2021, one of our suppliers of certain printer components notified us that they would not fulfill an order. Although we were able to source the component from another supplier, the disruption resulted in a delay. These supply chain disruptions have impacted, and are expected to continue to impact, our ability to maintain sufficient inventory on hand, which has necessitated payment of increased shipping charges to expedite products. In addition, we have incurred increased costs to obtain certain products and components from alternate suppliers when our usual suppliers did not have products available for us. Cost increases and component shortages may be exacerbated by events beyond our control, such as changing economic conditions, inflation, currency and commodity price fluctuations, tariffs, resource availability, transportation costs, weather conditions and natural disasters, political unrest and instability, war (such as the ongoing military conflict between Russia and Ukraine) and other factors impacting supply and demand pressures. In particular, the conflict between Russia and Ukraine may materially and adversely affect our supply chain for materials, parts and components. Continued or worsening disruptions in the supply chain of such component parts and consumable products could delay our production or release of our new products, cause us to incur additional freight costs and hinder our ability to meet our commitments to customers. If we are unable to obtain sufficient quantity of these components on commercially reasonable terms or in a timely manner, or if we are unable to obtain alternative sources for the components, sales of our products could be delayed or halted entirely or we may be required to redesign our products. There can be no assurance that any cost increases attributable to supply chain disruptions can be fully offset by price increases, or that we will continue to be able to fulfill orders on time or at all, and continued or prolonged impacts on our supply chain may result in lost sales, reduced gross margins or damage to our end-customer relationships, which would have a material adverse effect on our financial results.</w:t>
      </w:r>
    </w:p>
    <w:p>
      <w:pPr>
        <w:spacing w:after="0" w:line="123"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jc w:val="both"/>
        <w:spacing w:after="0" w:line="227" w:lineRule="auto"/>
        <w:rPr>
          <w:sz w:val="20"/>
          <w:szCs w:val="20"/>
          <w:color w:val="auto"/>
        </w:rPr>
      </w:pPr>
      <w:r>
        <w:rPr>
          <w:rFonts w:ascii="Arial" w:cs="Arial" w:eastAsia="Arial" w:hAnsi="Arial"/>
          <w:sz w:val="17"/>
          <w:szCs w:val="17"/>
          <w:color w:val="auto"/>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addition, even if we, or developers on our behalf, successfully develop such products, there is no assurance that our innovations will be accepted by our customers. Developing and marketing new products, such as our BOHA! ecosystem, is costly, and our business could be materially adversely affected if we are unable to generate sales of such products or if our existing or new customers do not quickly accept such products. Customer acceptance is crucial because new products typically have little competition and market penetration due to their novelty. Customer acceptance of new products is never assured and may take time to materialize, even with respect to products developed with customer input.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spacing w:after="0" w:line="12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We rely on an unrelated third-party to develop, maintain and host certain portions of our food service technology software, and any disruption in the relationship with that third-party, or any defects in the software provided by that third-party, could have a material adverse effect on our reputation, business, financial condition and results of operations.</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We rely upon third-party developed software and hosting services combined with our own proprietary hardware and software to offer our unique BOHA! branded solution to support back-of-house operations in the food service industry. Certain web-based food service application software and selected components of our downloadable software applications are licensed from a third-party developer on a non-exclusive basis through 2031 and are subject to a revenue sharing arrangement with the developer. We are reliant upon the third-party developer to further develop and maintain its developed software, and the developer controls the software source code. Therefore, presently, we are highly dependent on this third-party developer for continued service to our customers and the further development of our food service technology software products. If the software provider were to terminate operations or otherwise be unavailable to provide maintenance, hosting and development services to us and our customers, the availability or usage of our software products could be disrupted and our customers could be adversely affected. In any such case, we may need to seek comparable software and services from other third-parties or develop it internally, which could require significant time and expense. There can be no assurance that such software or services would be available from other sources, or that if available, they would be of comparable quality and cost. Moreover, any efforts to develop new software, whether internal or by third-parties, would require significant lead time, and there could be an interruption in service during any period in which the software provider ceases to provide products and services and new products remain under development. Any such occurrence could materially and adversely impact our business, financial condition and results of operations.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errors or defects in, or failures of, third-party software or applications could result in errors or defects in or failures of our food service technology products and services, which could be costly to correct and have a material adverse effect on our reputation, business, financial condition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technologically advanced products that satisfy user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15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which may include relationships with our software developer. Any of these factors could reduce our earnings.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14" w:lineRule="auto"/>
        <w:rPr>
          <w:sz w:val="20"/>
          <w:szCs w:val="20"/>
          <w:color w:val="auto"/>
        </w:rPr>
      </w:pPr>
      <w:r>
        <w:rPr>
          <w:rFonts w:ascii="Arial" w:cs="Arial" w:eastAsia="Arial" w:hAnsi="Arial"/>
          <w:sz w:val="18"/>
          <w:szCs w:val="18"/>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and marketing, customer service and support, and the continued implementation and improvement of our operational, financial and management information systems.</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transaction-related expenses for unsuccessful acquisition attempts that could adversely affect our results of operations in the period in which they are incurred.</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23"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 xml:space="preserve">We are dependent on sales to one large customer; the loss of this customer or reduction in orders from this customer could materially affect our sales. </w:t>
      </w:r>
      <w:r>
        <w:rPr>
          <w:rFonts w:ascii="Arial" w:cs="Arial" w:eastAsia="Arial" w:hAnsi="Arial"/>
          <w:sz w:val="18"/>
          <w:szCs w:val="18"/>
          <w:color w:val="auto"/>
        </w:rPr>
        <w:t>Casino and gaming sales and lottery spare part sales to IGT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09" w:lineRule="auto"/>
        <w:rPr>
          <w:sz w:val="20"/>
          <w:szCs w:val="20"/>
          <w:color w:val="auto"/>
        </w:rPr>
      </w:pPr>
      <w:r>
        <w:rPr>
          <w:rFonts w:ascii="Arial" w:cs="Arial" w:eastAsia="Arial" w:hAnsi="Arial"/>
          <w:sz w:val="18"/>
          <w:szCs w:val="18"/>
          <w:color w:val="auto"/>
        </w:rPr>
        <w:t>Our business is subject to general economic conditions. Uncertainty or negative trends in U.S. or international economic and investment climates, including the impact of developments in U.S.-China trade relations (discussed separately below), as well as economic impacts from the Russia-Ukraine conflict (including increased fuel prices) and the current inflation surge attributable to supply chain disruptions due to the COVID-19 pandemic,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ind w:right="20"/>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1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concentration of credit risk, including disruption in distribution should the distributors, and / or resellers’ financial condition deteriorate;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distributors or resellers leveraging their buying power to change the terms of pricing, payment and product delivery schedules;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b w:val="1"/>
          <w:bCs w:val="1"/>
          <w:i w:val="1"/>
          <w:iCs w:val="1"/>
          <w:color w:val="auto"/>
        </w:rPr>
        <w:t>We are dependent upon two manufacturers located in Thailand and China for the manufacturing and assembly of our printers and terminals, and their operations were disrupted by the outbreak of COVID-19. The disruption adversely affected the Company’s business, financial conditions and results of operations, and any further or future disruption in their businesses or operations, such as those caused by political, social or economic instability, war, trade restrictions or tariffs, severe weather, additional public health crises and other events out of our control, could materially adversely affect our business, financial condition and results of operations.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an effort to maximize cost savings and operation benefits, we have outsourced substantially all of the manufacturing and assembly of our printers and terminals to two contract manufacturers located in Thailand and China. As a result, we are dependent on them for the manufacturing of our products, and any disruption in such manufacturing or the export of products from these manufacturers to the U.S. may adversely affect our business, financial condition and results of operations.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Risks affecting the businesses and operations of our two manufacturers in Asia include: political and regional strife; war; labor shortages; severe weather and natural disasters such as earthquakes, hurricanes, fires, and floods; lengthy power outages; increased pricing, financial instability and capacity constraints of shippers; and concerns with or threats of public health crises, contagious diseases or health epidemics. The risk to our business posed by any disruption in manufacturing is exacerbated by the concentration of our manufacturing operations in two manufacturers both located in Asia.</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response to COVID-19, the Chinese government placed restrictions on travel and mandated business closures. Such restrictions and closures disrupted our supply chain by delaying product shipments from our contract manufacturers during 2020 and is continuing into 2022.</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ultimate impact of COVID-19 on our operations will depend on future developments, which are highly uncertain and cannot be predicted with confidence, including the duration of the outbreak and any resurgences, new information which may emerge concerning the severity of COVID-19 and newly identified strains, the rollout and effectiveness of vaccines and treatments and the actions to contain the virus or treat its impact, among others.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may also incur increased business continuity and reputational risks to the extent that we continue to outsource the manufacturing and assembly of our products to foreign third-party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manufacturers are located in Asia, there is no guarantee that our intellectual property rights will be protected or enforced to the same extent as under U.S. federal and state laws. Consequently, we may not be able to prevent third-parties from developing or selling products made using our technologies.</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Overestimates or underestimates in our manufacturing forecasts could cause us to hold excess inventory or result in delays in the manufacturing and delivery of our products, which could cause us to lose orders or customers.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important that we accurately predict both the demand for our products and the lead-time required to obtain the necessary components and raw materials.</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Lead times for materials and components that we order vary significantly and depend on factors such as the specific supplier, the size of the order, contract terms, and demand for each component at a given time, as well as supply shortages with respect to raw materials needed to produce the components. If we underestimate our requirements, or if we are unable to obtain components on time due to supply shortages, as has occurred in the wake of the COVID-19 pandemic, we may have inadequate manufacturing capacity or inventory, which could interrupt manufacturing of our products and result in delays in shipments and net sales. If we overestimate our requirements, we could have excess inventory of parts and finished products. In addition, delays in the manufacturing of our products could cause us to lose orders or customers.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14" w:name="page15"/>
    <w:bookmarkEnd w:id="14"/>
    <w:p>
      <w:pPr>
        <w:jc w:val="both"/>
        <w:spacing w:after="0" w:line="209" w:lineRule="auto"/>
        <w:rPr>
          <w:sz w:val="20"/>
          <w:szCs w:val="20"/>
          <w:color w:val="auto"/>
        </w:rPr>
      </w:pPr>
      <w:r>
        <w:rPr>
          <w:rFonts w:ascii="Arial" w:cs="Arial" w:eastAsia="Arial" w:hAnsi="Arial"/>
          <w:sz w:val="18"/>
          <w:szCs w:val="18"/>
          <w:b w:val="1"/>
          <w:bCs w:val="1"/>
          <w:i w:val="1"/>
          <w:iCs w:val="1"/>
          <w:color w:val="auto"/>
        </w:rPr>
        <w:t>In addition to maintaining offices in the UK and Macau, we sell and ship a significant portion of our products internationally and rely on third-parties that make up our global salesforce. The international nature of our operations may expose us to certain risks associated with doing business outside of the U.S., including risks posed by tariffs and changes in trade relations.</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In addition, our manufacturers and suppliers are largely located in Asia. As a result, our products are largely exported to one of our facilities in the United States, which makes our operations vulnerable to disruptions in trade that could adversely affect our business results.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international operations, including our reliance on manufacturers and suppliers located in Asia, our worldwide sales team, and our sales to customers located outside the United States, expose us to disruptions in trade and other associated risks such as:</w:t>
      </w:r>
    </w:p>
    <w:p>
      <w:pPr>
        <w:spacing w:after="0" w:line="134"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duties, tariffs, quotas, taxes, trade barriers, capital flow restrictions and other charges on imports and exports by the United States or the governments of the countries in which we or our manufacturers and suppliers operate;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 which could restrict sales, or increase costs of purchasing, in foreign countries;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any of the countries in which we or our manufacturers or suppliers operate, which could result in a reduction in demand for our products due to political and economic instability or impair our foreign assets;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reduced ability or inability to sell in or purchase from certain markets as a result of export or import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or a downturn in economic conditions may disrupt our business.</w:t>
      </w:r>
    </w:p>
    <w:p>
      <w:pPr>
        <w:jc w:val="both"/>
        <w:spacing w:after="0" w:line="232" w:lineRule="auto"/>
        <w:rPr>
          <w:sz w:val="20"/>
          <w:szCs w:val="20"/>
          <w:color w:val="auto"/>
        </w:rPr>
      </w:pPr>
      <w:r>
        <w:rPr>
          <w:rFonts w:ascii="Arial" w:cs="Arial" w:eastAsia="Arial" w:hAnsi="Arial"/>
          <w:sz w:val="16"/>
          <w:szCs w:val="16"/>
          <w:color w:val="auto"/>
        </w:rPr>
        <w:t>Geopolitical events, social unrest, war, including repercussions of the recent military conflict between Russia and Ukraine, terrorism, political instability, acts of public violence, boycotts, labor discord or disruptions, hostilities, social unrest, pandemics (in addition to the COVID-19 pandemic), natural disasters or other catastrophic events may cause damage or disruption to our operations, international commerce, and the global economy, and thus could harm our business. In particular, the reactions of governments, markets, and the general public to such events, many of which are beyond our control, may result in a number of adverse consequences for our customers, business, operations, and results of operations. 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 Any downturn in the economy in general, including the current economic impacts of the COVID-19 pandemic (including inflation relating to supply chain disruptions caused by the pandemic) and the impact on fuel prices of the Russia–Ukraine conflict, or in the food service or gaming industry in particular could result in a reduced demand for our products and could adversely affect our business and results of operations. In addition, heightened security measures or responses to hostilities may cause certain governments to restrict the import or export of goods, as has occurred with respect to the export of oil from Russia, which may have an adverse effect on our ability to buy and sell goods or on the cost to obtain components.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jc w:val="both"/>
        <w:spacing w:after="0" w:line="209" w:lineRule="auto"/>
        <w:rPr>
          <w:sz w:val="20"/>
          <w:szCs w:val="20"/>
          <w:color w:val="auto"/>
        </w:rPr>
      </w:pPr>
      <w:r>
        <w:rPr>
          <w:rFonts w:ascii="Arial" w:cs="Arial" w:eastAsia="Arial" w:hAnsi="Arial"/>
          <w:sz w:val="18"/>
          <w:szCs w:val="18"/>
          <w:b w:val="1"/>
          <w:bCs w:val="1"/>
          <w:i w:val="1"/>
          <w:iCs w:val="1"/>
          <w:color w:val="auto"/>
        </w:rPr>
        <w:t>The inability to protect our intellectual property rights could harm our reputation, damage our business or interfere with our competitive position, and infringement on the intellectual property rights of others, or claims thereof, could put us at a competitive disadvantage, and any related litigation could be time consuming and costly.</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third-parties to copy aspects of our products or, without authorization, to obtain and use information which we regard as trade secrets.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addition, prosecuting and defending infringement lawsuits is expensive. We are committed to aggressively asserting and defending our technology and related intellectual property rights, which we have spent a significant amount of money to develop. Similarly, third-parties may claim, from time to time, that we have violated their intellectual property rights. To the extent we violate a third-party’s patent or other intellectual property rights, we may be prevented from operating our business as planned and may be required to pay damages, to obtain a license, if available, or to use a non-infringing method, if possible, to accomplish our objectives. Any such claims could result in costly litigation and, if successful, could result in costly judgments or settlements.</w:t>
      </w:r>
    </w:p>
    <w:p>
      <w:pPr>
        <w:spacing w:after="0" w:line="11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expense of prosecuting or defending any future infringement lawsuits could have a material adverse effect on our business, financial condition and results of operations. Intellectual property litigation is generally complex, costly, protracted, and highly disruptive to business operations by diverting the attention and energies of management and key technical personnel.</w:t>
      </w:r>
    </w:p>
    <w:p>
      <w:pPr>
        <w:spacing w:after="0" w:line="12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We currently rely on third-party service providers to host our food service technology software and deliver certain services, and any interruptions or delays in services from these third-parties could impair the delivery of our products and services, and our business, results of operations, and financial condition could be materially adversely affected.</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rely on a third-party service provider to host our food service technology software. Third-parties also provide services to key aspects of our operations, including Internet connections and networking, data storage and processing, trust and safety and security infrastructure. We do not control the operation, physical security, or data security of any of these third-party providers. Our efforts to use commercially reasonable diligence in the selection and retention of such third-party providers may be insufficient or inadequate to prevent or remediate such operational and security risks. Our third-party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third-parties from providing services to us or our customers on our behalf. In addition, these third-parties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spacing w:after="0" w:line="12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Our food service technology business depends substantially on our customers renewing their subscriptions with the Company. Any decline in our customer renewals would harm our food service technology business, results of operations and financial condition.</w:t>
      </w:r>
    </w:p>
    <w:p>
      <w:pPr>
        <w:jc w:val="both"/>
        <w:spacing w:after="0" w:line="234" w:lineRule="auto"/>
        <w:rPr>
          <w:sz w:val="20"/>
          <w:szCs w:val="20"/>
          <w:color w:val="auto"/>
        </w:rPr>
      </w:pPr>
      <w:r>
        <w:rPr>
          <w:rFonts w:ascii="Arial" w:cs="Arial" w:eastAsia="Arial" w:hAnsi="Arial"/>
          <w:sz w:val="16"/>
          <w:szCs w:val="16"/>
          <w:color w:val="auto"/>
        </w:rPr>
        <w:t>Our subscription offerings are term-based, and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food service technology customers will renew subscriptions. If our customers do not renew their subscriptions or renew on less favorable terms, our business, results of operations and financial condition may be adversely affected.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jc w:val="both"/>
        <w:spacing w:after="0" w:line="225" w:lineRule="auto"/>
        <w:rPr>
          <w:sz w:val="20"/>
          <w:szCs w:val="20"/>
          <w:color w:val="auto"/>
        </w:rPr>
      </w:pPr>
      <w:r>
        <w:rPr>
          <w:rFonts w:ascii="Arial" w:cs="Arial" w:eastAsia="Arial" w:hAnsi="Arial"/>
          <w:sz w:val="17"/>
          <w:szCs w:val="17"/>
          <w:color w:val="auto"/>
        </w:rPr>
        <w:t>Our customers rely on us and our third-party service providers for support of our software and services included in our food service technology subscription packages. High-quality support is important for the renewal and expansion of our agreements with existing customers. The importance of high-quality support will increase as we expand our business and pursue new customers. If we or our third-party service providers do not help our customers quickly resolve issues and provide effective ongoing support, our ability to sell new food service technology products to existing and new customers could suffer and our reputation and relationships with existing or potential customers could be harmed.</w:t>
      </w:r>
    </w:p>
    <w:p>
      <w:pPr>
        <w:spacing w:after="0" w:line="121" w:lineRule="exact"/>
        <w:rPr>
          <w:sz w:val="20"/>
          <w:szCs w:val="20"/>
          <w:color w:val="auto"/>
        </w:rPr>
      </w:pPr>
    </w:p>
    <w:p>
      <w:pPr>
        <w:spacing w:after="0" w:line="220" w:lineRule="auto"/>
        <w:rPr>
          <w:sz w:val="20"/>
          <w:szCs w:val="20"/>
          <w:color w:val="auto"/>
        </w:rPr>
      </w:pPr>
      <w:r>
        <w:rPr>
          <w:rFonts w:ascii="Arial" w:cs="Arial" w:eastAsia="Arial" w:hAnsi="Arial"/>
          <w:sz w:val="17"/>
          <w:szCs w:val="17"/>
          <w:b w:val="1"/>
          <w:bCs w:val="1"/>
          <w:i w:val="1"/>
          <w:iCs w:val="1"/>
          <w:color w:val="auto"/>
        </w:rPr>
        <w:t xml:space="preserve">Cyber-security and privacy breaches, cyber-attacks, or other disruptions could expose us to liability, affect our business, and damage our reputation. </w:t>
      </w: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Our operations are subject to laws, rules, regulations, including environmental regulations, government policies and other requirements in each of the jurisdictions in which we conduct business. Changes in such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48"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i w:val="1"/>
          <w:iCs w:val="1"/>
          <w:color w:val="auto"/>
        </w:rPr>
        <w:t>The agreement governing our credit facility contains restrictions and limitations that could significantly affect our ability to operate our business, as well as significantly affect our liquidity.</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The loan and security agreement (the “Loan Agreement”) governing the Siena Credit Facility contains a number of significant covenants that could adversely affect our ability to operate our business, our liquidity, and our results of operations. These covenants restrict, among other things, our ability, and the ability of any future domestic subsidiary, to:</w:t>
      </w:r>
    </w:p>
    <w:p>
      <w:pPr>
        <w:spacing w:after="0" w:line="1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form subsidiaries or dispose of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assets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other transactions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transfer, return or dispose of collateral;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to or investments in, or 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indebtedness,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 equity interests while borrowings are outstanding under the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our capital structure;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dissolve, divide, change our line of business or cease or suffer a disruption to all or a material portion of our business.</w:t>
      </w:r>
    </w:p>
    <w:p>
      <w:pPr>
        <w:spacing w:after="0" w:line="15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Additionally, the Loan Agreement requires us to comply with a minimum excess availability covenant, which requires excess borrowing availability of at least $750 thousand.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ability to comply with the covenants under the Loan Agreement or to maintain our borrowing base may be affected by events beyond our control, including deteriorating economic conditions and consequences of the COVID-19 crisis. For example, reductions in the value of accounts receivable and inventory have occurred and may occur in the future due to decreases in sales and production resulting from the impact of the COVID-19 pandemic.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such as the decline that has occurred in the casino and food service industries in connection with the COVID-19 pandemic, has impacted and may continue to negatively impact the borrowing base both by decreasing the value of existing accounts and reducing the number and amount of new accounts. If we overestimate our inventory needs due to the uncertainty surrounding the COVID-19 pandemic and the duration of its impact on customer closures and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General Risk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153"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 and conditions in the industries we serve, including current market volatility and the economic impact of COVID-19 and resulting shutdowns on the casino and food service industries and on the U.S. and global economies;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business conditions faced by customers, or bankruptcies or store closures of our customers resulting from adverse economic conditions due to COVID-19 or otherwise;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or strategic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or reduced analyst coverage.</w:t>
      </w:r>
    </w:p>
    <w:p>
      <w:pPr>
        <w:spacing w:after="0" w:line="15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The limited trading volume of our common stock may contribute to its price volatility. The trading market for our common stock also relies in part on the research and reports that industry or financial analysts may publish about us, our business, our markets and our competitors. We currently have limited analyst coverage.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common stock is traded on the Nasdaq Global Market. During the year ended December 31, 2021, the average daily trading volume for our common stock as reported by the Nasdaq Global Market was approximately 25,000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their shares at their desired prices, or at all, and sales of large blocks of shares may adversely affect the price of our common stock.</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we raise additional capital in the future, existing shareholder ownership interest in the Company could be diluted or otherwise adversely impacted, and future sales of our common stock or other financing arrangements may cause our stock price to decline.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lenders under our existing debt agreements have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both"/>
        <w:spacing w:after="0" w:line="220" w:lineRule="auto"/>
        <w:rPr>
          <w:sz w:val="20"/>
          <w:szCs w:val="20"/>
          <w:color w:val="auto"/>
        </w:rPr>
      </w:pPr>
      <w:r>
        <w:rPr>
          <w:rFonts w:ascii="Arial" w:cs="Arial" w:eastAsia="Arial" w:hAnsi="Arial"/>
          <w:sz w:val="17"/>
          <w:szCs w:val="17"/>
          <w:b w:val="1"/>
          <w:bCs w:val="1"/>
          <w:i w:val="1"/>
          <w:iCs w:val="1"/>
          <w:color w:val="auto"/>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We are a “smaller reporting company,” as defined in Item 10(f)(1) of Regulation S-K. As a smaller reporting company, we take advantage of specified scaled disclosure and other requirements that are otherwise applicable generally to public companies.</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intend to continue to take advantage of certain of the scaled disclosure requirements of smaller reporting companies and may continue to do so until we are no longer a smaller reporting company. We will cease to be a smaller reporting company if we have (i) more than $250 million in market value of our shares held by non-affiliates as of the last business day of our second fiscal quarter or (ii) more than $100 million of annual revenues in our most recent fiscal year completed before the last business day of our second fiscal quarter and a market value of our shares held by non-affiliates more than $700 million as of the last business day of our second fiscal quarter. We choose to take advantage of some but not all of these scaled disclosure requirements; therefore, the information that we provide stockholders may be different than one might get from other public companies. Further, if some investors find our shares of common stock less attractive as a result, there may be a less active trading market for our shares of common stock and the market price of such shares of common stock may be more volatile.</w:t>
      </w:r>
    </w:p>
    <w:p>
      <w:pPr>
        <w:spacing w:after="0" w:line="167"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b w:val="1"/>
          <w:bCs w:val="1"/>
          <w:i w:val="1"/>
          <w:iCs w:val="1"/>
          <w:color w:val="auto"/>
        </w:rPr>
        <w:t>Our Amended and Restated By-Laws designate certain Delaware courts as the sole and exclusive forum for certain types of actions and proceedings that may be initiated by our stockholders, which could limit our stockholders’ ability to obtain a favorable judicial forum for disputes with us or our directors, officers or stockholders.</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Amended and Restated By-Laws (the “By-Laws”) provide that, unless we consent in writing to the selection of an alternative forum, to the fullest extent permitted by law, all Internal Corporate Claims must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 By-Laws define “Internal Corporate Claims” to mean claims, including claims in the right of the Company,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spacing w:after="0" w:line="16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This choice of forum provision may increase costs to bring a claim, discourage claims or limit a stockholder’s ability to bring a claim in a judicial forum that it finds favorable for disputes with us or our directors, officers or other stockholders, which may discourage such lawsuits against us and our directors, officers and stockholders.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 The choice of forum provision in the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spacing w:after="0" w:line="226" w:lineRule="auto"/>
        <w:rPr>
          <w:sz w:val="20"/>
          <w:szCs w:val="20"/>
          <w:color w:val="auto"/>
        </w:rPr>
      </w:pPr>
      <w:r>
        <w:rPr>
          <w:rFonts w:ascii="Arial" w:cs="Arial" w:eastAsia="Arial" w:hAnsi="Arial"/>
          <w:sz w:val="18"/>
          <w:szCs w:val="18"/>
          <w:color w:val="auto"/>
        </w:rPr>
        <w:t>Our principal facilities as of December 31, 2021 are listed below.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280" w:type="dxa"/>
            <w:vAlign w:val="bottom"/>
          </w:tcPr>
          <w:p>
            <w:pPr>
              <w:spacing w:after="0"/>
              <w:rPr>
                <w:sz w:val="17"/>
                <w:szCs w:val="17"/>
                <w:color w:val="auto"/>
              </w:rPr>
            </w:pPr>
          </w:p>
        </w:tc>
        <w:tc>
          <w:tcPr>
            <w:tcW w:w="4100" w:type="dxa"/>
            <w:vAlign w:val="bottom"/>
            <w:gridSpan w:val="2"/>
            <w:vMerge w:val="restart"/>
          </w:tcPr>
          <w:p>
            <w:pPr>
              <w:ind w:left="1120"/>
              <w:spacing w:after="0"/>
              <w:rPr>
                <w:sz w:val="20"/>
                <w:szCs w:val="20"/>
                <w:color w:val="auto"/>
              </w:rPr>
            </w:pPr>
            <w:r>
              <w:rPr>
                <w:rFonts w:ascii="Arial" w:cs="Arial" w:eastAsia="Arial" w:hAnsi="Arial"/>
                <w:sz w:val="18"/>
                <w:szCs w:val="18"/>
                <w:b w:val="1"/>
                <w:bCs w:val="1"/>
                <w:color w:val="auto"/>
              </w:rPr>
              <w:t>Operations Conducted</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Size</w:t>
            </w: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Lease Expiration</w:t>
            </w: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14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auto"/>
                <w:w w:val="92"/>
              </w:rPr>
              <w:t>(Approx. Sq. Ft.)</w:t>
            </w:r>
          </w:p>
        </w:tc>
        <w:tc>
          <w:tcPr>
            <w:tcW w:w="80" w:type="dxa"/>
            <w:vAlign w:val="bottom"/>
          </w:tcPr>
          <w:p>
            <w:pPr>
              <w:spacing w:after="0"/>
              <w:rPr>
                <w:sz w:val="18"/>
                <w:szCs w:val="18"/>
                <w:color w:val="auto"/>
              </w:rPr>
            </w:pPr>
          </w:p>
        </w:tc>
        <w:tc>
          <w:tcPr>
            <w:tcW w:w="11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or Leased</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Hamden, Connecticut</w:t>
            </w:r>
          </w:p>
        </w:tc>
        <w:tc>
          <w:tcPr>
            <w:tcW w:w="28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Executive offices and sales office</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1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October 31, 2025</w:t>
            </w: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18"/>
                <w:szCs w:val="18"/>
                <w:color w:val="auto"/>
              </w:rPr>
              <w:t>Ithaca, New York</w:t>
            </w:r>
          </w:p>
        </w:tc>
        <w:tc>
          <w:tcPr>
            <w:tcW w:w="4380" w:type="dxa"/>
            <w:vAlign w:val="bottom"/>
            <w:gridSpan w:val="3"/>
          </w:tcPr>
          <w:p>
            <w:pPr>
              <w:ind w:left="280"/>
              <w:spacing w:after="0" w:line="149" w:lineRule="exact"/>
              <w:rPr>
                <w:sz w:val="20"/>
                <w:szCs w:val="20"/>
                <w:color w:val="auto"/>
              </w:rPr>
            </w:pPr>
            <w:r>
              <w:rPr>
                <w:rFonts w:ascii="Arial" w:cs="Arial" w:eastAsia="Arial" w:hAnsi="Arial"/>
                <w:sz w:val="17"/>
                <w:szCs w:val="17"/>
                <w:color w:val="auto"/>
              </w:rPr>
              <w:t>Hardware design and development, assembly and</w:t>
            </w:r>
          </w:p>
        </w:tc>
        <w:tc>
          <w:tcPr>
            <w:tcW w:w="1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73,900</w:t>
            </w:r>
          </w:p>
        </w:tc>
        <w:tc>
          <w:tcPr>
            <w:tcW w:w="8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4"/>
              </w:rPr>
              <w:t>Leased</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2025</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4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service facility</w:t>
            </w:r>
          </w:p>
        </w:tc>
        <w:tc>
          <w:tcPr>
            <w:tcW w:w="1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43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7"/>
                <w:szCs w:val="17"/>
                <w:color w:val="auto"/>
              </w:rPr>
              <w:t>Software design and development and casino and</w:t>
            </w:r>
          </w:p>
        </w:tc>
        <w:tc>
          <w:tcPr>
            <w:tcW w:w="1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19,600</w:t>
            </w: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3"/>
        </w:trPr>
        <w:tc>
          <w:tcPr>
            <w:tcW w:w="2580" w:type="dxa"/>
            <w:vAlign w:val="bottom"/>
            <w:vMerge w:val="continue"/>
            <w:shd w:val="clear" w:color="auto" w:fill="CCEEFF"/>
          </w:tcPr>
          <w:p>
            <w:pPr>
              <w:spacing w:after="0"/>
              <w:rPr>
                <w:sz w:val="17"/>
                <w:szCs w:val="17"/>
                <w:color w:val="auto"/>
              </w:rPr>
            </w:pPr>
          </w:p>
        </w:tc>
        <w:tc>
          <w:tcPr>
            <w:tcW w:w="438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gaming sales office</w:t>
            </w:r>
          </w:p>
        </w:tc>
        <w:tc>
          <w:tcPr>
            <w:tcW w:w="1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Doncaster, UK</w:t>
            </w:r>
          </w:p>
        </w:tc>
        <w:tc>
          <w:tcPr>
            <w:tcW w:w="4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Sales office and service center</w:t>
            </w: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w:t>
            </w:r>
          </w:p>
        </w:tc>
        <w:tc>
          <w:tcPr>
            <w:tcW w:w="80" w:type="dxa"/>
            <w:vAlign w:val="bottom"/>
          </w:tcPr>
          <w:p>
            <w:pPr>
              <w:spacing w:after="0"/>
              <w:rPr>
                <w:sz w:val="17"/>
                <w:szCs w:val="17"/>
                <w:color w:val="auto"/>
              </w:rPr>
            </w:pPr>
          </w:p>
        </w:tc>
        <w:tc>
          <w:tcPr>
            <w:tcW w:w="11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4"/>
              </w:rPr>
              <w:t>Leased</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Macau, China</w:t>
            </w:r>
          </w:p>
        </w:tc>
        <w:tc>
          <w:tcPr>
            <w:tcW w:w="438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Sales office</w:t>
            </w:r>
          </w:p>
        </w:tc>
        <w:tc>
          <w:tcPr>
            <w:tcW w:w="1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84"/>
              </w:rPr>
              <w:t>Leased</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June 30, 2022</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110,780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jc w:val="both"/>
        <w:spacing w:after="0" w:line="218"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As of December 31, 2021, we are unaware of any material legal proceedings pending or threatened against us, or any material legal proceedings contemplated by governmental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1" w:name="page22"/>
    <w:bookmarkEnd w:id="21"/>
    <w:p>
      <w:pPr>
        <w:ind w:left="53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spacing w:after="0" w:line="226" w:lineRule="auto"/>
        <w:rPr>
          <w:sz w:val="20"/>
          <w:szCs w:val="20"/>
          <w:color w:val="auto"/>
        </w:rPr>
      </w:pPr>
      <w:r>
        <w:rPr>
          <w:rFonts w:ascii="Arial" w:cs="Arial" w:eastAsia="Arial" w:hAnsi="Arial"/>
          <w:sz w:val="18"/>
          <w:szCs w:val="18"/>
          <w:color w:val="auto"/>
        </w:rPr>
        <w:t>Our common stock is traded on the Nasdaq Global Market under the symbol TACT. As of February 28, 2022, there were 246 holders of record of the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rPr>
          <w:sz w:val="20"/>
          <w:szCs w:val="20"/>
          <w:color w:val="auto"/>
        </w:rPr>
      </w:pPr>
      <w:r>
        <w:rPr>
          <w:rFonts w:ascii="Arial" w:cs="Arial" w:eastAsia="Arial" w:hAnsi="Arial"/>
          <w:sz w:val="18"/>
          <w:szCs w:val="18"/>
          <w:color w:val="auto"/>
        </w:rPr>
        <w:t>During the fourth quarter of 2021, we did not repurchase any shares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jc w:val="both"/>
        <w:spacing w:after="0" w:line="248" w:lineRule="auto"/>
        <w:rPr>
          <w:sz w:val="20"/>
          <w:szCs w:val="20"/>
          <w:color w:val="auto"/>
        </w:rPr>
      </w:pPr>
      <w:r>
        <w:rPr>
          <w:rFonts w:ascii="Arial" w:cs="Arial" w:eastAsia="Arial" w:hAnsi="Arial"/>
          <w:sz w:val="16"/>
          <w:szCs w:val="16"/>
          <w:color w:val="auto"/>
        </w:rPr>
        <w:t>In 2012, our Board of Directors initiated a quarterly cash dividend program subject to the Board’s approval each quarter.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rPr>
          <w:sz w:val="20"/>
          <w:szCs w:val="20"/>
          <w:color w:val="auto"/>
        </w:rPr>
      </w:pPr>
      <w:r>
        <w:rPr>
          <w:rFonts w:ascii="Arial" w:cs="Arial" w:eastAsia="Arial" w:hAnsi="Arial"/>
          <w:sz w:val="18"/>
          <w:szCs w:val="18"/>
          <w:color w:val="auto"/>
        </w:rPr>
        <w:t>None.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During the year ended December 31, 2021, we continued to experience recovery from the negative impacts COVID-19 had on our business during 2020. While we have experienced recovery in most of our markets, there are still uncertainties on how COVID-19 will continue to impact our business, operations, supply chain, customer and vendors. During 2021, we continued to focus our efforts on the sales execution and growing revenue of BOHA! software-as-a-service (“SaaS”)-based software and hardware ecosystem launched in 2019. Despite the negative impact from COVID-19, food service technology sales increased 63% in 2021 compared to 2020 due primarily to sales of our BOHA! software, labels and other recurring revenue to both new customers and our existing installed base of BOHA! terminals.</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During 2021, all markets other than lottery and TSG increased compared to 2020 as we have started to see recovery from the negative impacts from the COVID-19 pandemic. POS automation sales increased primarily due to higher sales of our Ithaca 9000 printer to McDonald’s in 2021 compared to 2020. Casino and gaming sales were higher in 2021 due to casinos continuing to reopen and increase capacity during 2021 after being closed in 2020 in response to the COVID-19 pandemic. Printrex sales increased in 2021 after being negatively impacted by lower worldwide oil prices largely attributable to the COVID-19 pandemic during 2020. We had no lottery market sales during 2021 as we exited the lottery market in 2019 and completed our final sale of lottery printers in 2020. TSG sales decreased in 2021 compared to 2020 primarily due to lower service sales due to exiting the banking market in 2018, lower replacement part sales and lower sales of our legacy consumable products.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the year ended December 31, 2021, our total net sales increased 29% to approximately $39.4 million compared to the year ended December 31, 2020. See the table below for a breakdown of our sales by market: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Food service technology (“FST”)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12,625</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7,734</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63.2%</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POS automation</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4,825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3,770</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1,055</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15,302</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10,979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4,323</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39.4%</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tcPr>
          <w:p>
            <w:pPr>
              <w:spacing w:after="0"/>
              <w:rPr>
                <w:sz w:val="17"/>
                <w:szCs w:val="17"/>
                <w:color w:val="auto"/>
              </w:rPr>
            </w:pPr>
          </w:p>
        </w:tc>
        <w:tc>
          <w:tcPr>
            <w:tcW w:w="166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817</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(817)</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6,995</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22.8%</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(992)</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39,386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28.7%</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Sales of our food service technology products increased 63% in the year ended December 31, 2021 compared to the year ended December 31, 2020. In the food service technology market, we focus on providing hardware products, which include terminals/workstations, temperature probes, temperature sensors and gateways in addition to cloud-based software applications, labels and other recurring revenue items. Food service technology sales increased in 2021 primarily due to a 95% increase in BOHA! recurring revenue, which include subscriptions for the software applications, as well as sales of labels, extended warranty and service contracts, and technical support services. Our FST hardware sales also increased by 33% as we increased our total installed base by 4,130 terminals and workstations during 2021 resulting in a total installed base of 9,818 terminals at the end of 2021.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jc w:val="both"/>
        <w:spacing w:after="0" w:line="249" w:lineRule="auto"/>
        <w:rPr>
          <w:sz w:val="20"/>
          <w:szCs w:val="20"/>
          <w:color w:val="auto"/>
        </w:rPr>
      </w:pPr>
      <w:r>
        <w:rPr>
          <w:rFonts w:ascii="Arial" w:cs="Arial" w:eastAsia="Arial" w:hAnsi="Arial"/>
          <w:sz w:val="16"/>
          <w:szCs w:val="16"/>
          <w:color w:val="auto"/>
        </w:rPr>
        <w:t>Sales of our POS automation products increased 28% in the year ended December 31, 2021 compared to the year ended December 31, 2020. In the POS automation market, we focus primarily on supplying printers that print receipts or linerless labels to McDonald’s, and to a lesser extent other customers in the restaurant and quick serve markets. During the year ended December 31, 2021, sales of our Ithaca 9000 printer to McDonald’s recovered from the unusually low level we experienced in 2020 due to the significant negative impact of the COVID-19 pandemic on the POS automation market.</w:t>
      </w:r>
    </w:p>
    <w:p>
      <w:pPr>
        <w:spacing w:after="0" w:line="11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Sales of our casino and gaming products increased 39% in 2021 compared to 2020.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in real time at the slot machine. The increase of casino and gaming printers was due to the recovery of the domestic and international casino and gaming market during 2021, as casinos continued to reopen compared to 2020 when the market was severely impacted by the COVID-19 pandemic and the related closures of casinos.</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December 31, 2019, we ended our non-exclusive agreement with IGT and exited the lottery market as we shifted our focus to our higher-value, technology-enabled market for food service technology and casino and gaming products. During 2020, IGT made a final purchase of lottery printers and we expect no future sales of our lottery printer.</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Sales of our Printrex branded printers include wide format, rack-mounted and vehicle-mounted thermal printers used by customers to log and plot oil field and down hole well drilling data in the oil and gas exploration industry. During the year ended December 31, 2021, we experienced a 110% increase in Printrex oil and gas printer sales, as the oil and gas market recovered from the negative impact during 2020 of lower worldwide oil prices as a result of the COVID-19 pandemic. Additionally, we fulfilled last buy orders to legacy customers during the fourth quarter of 2021, as we decided to exit this market as of December 31, 2021. We expect no future Printrex sales as we have shifted our focus away from this market and towards our higher value, technology-enabled food service technology terminals and casino and gaming products.</w:t>
      </w:r>
    </w:p>
    <w:p>
      <w:pPr>
        <w:spacing w:after="0" w:line="12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TSG, which sells service, replacement parts and consumable products, including receipt paper, ribbons and other printing supplies, continues to offer a recurring revenue stream from mostly our legacy products. TSG sales decreased 14% in 2021 compared to 2020, primarily due to declining service revenue from a legacy banking customer whose service contract is expected to end during 2022, as well as lower replacement part and consumable product sales. We expect TSG sales to continue to decline in 2022 due to the ending of the service contract with a legacy banking customer and lower expected sales of our lottery printer spare parts to IGT for our legacy lottery printer.</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Operationally, our gross margin was 38.7% in 2021, a decrease of 360 basis points from 2020, due largely to lower margin on our BOHA! hardware sales during 2021 compared to 2020, as we have reduced prices to accelerate the growth of our BOHA! installed base, as well as higher material and shipping costs resulting from worldwide supply disruptions caused by the COVID-19 pandemic.</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During 2021, our operating margin improved to negative 24.1% compared to negative 26.7% in 2020 as the 29% increase in sales more than offset the 360 basis point decrease in gross margin and increased operating expenses. Operating expenses increased by 17% as we gradually returned to more normalized pre-COVID-19 spending levels. During 2022, we expect operating expenses to continue to increase compared to 2021, due to the continued investment in our food service technology products.</w:t>
      </w:r>
    </w:p>
    <w:p>
      <w:pPr>
        <w:spacing w:after="0" w:line="122"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We reported a net loss of $4.1 million and net loss per diluted share of $0.45 for 2021, compared to a net loss of $5.6 million and net loss per diluted share of $0.72 for 2020. In terms of cash flow, for 2021 we used $2.5 million of cash in operating activities. During 2021, we also successfully completed an underwritten public offering of our common stock which raised net proceeds of $11.2 million. We ended the year with cash and cash equivalents of $19.5 million and no debt outstanding on our Consolidated Balance Sheet at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jc w:val="both"/>
        <w:spacing w:after="0" w:line="22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use of estimates, judgments and assumptions that affect both Balance Sheet items and Statement of Operations categories. Such estimates and judgments are based upon historical experience and certain assumptions that are believed to be reasonable in the particular circumstances; however, due to the inherent uncertainties in developing estimates, actual results could differ from the original estimates, requiring adjustments to these balances in future periods.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Refer to Note 2 – Summary of significant accounting policies in the accompanying Consolidated Financial Statements for a complete listing of our significant accounting policies.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Application of GAAP related to the measurement and recognition of revenue requires us to make judgments and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Specifically, the determination of whether revenues related to our revenue contracts should be recognized over time or at a point in time. Other significant judgments include contracts that contain multiple performance obligations (most commonly when contracts include a hardware product, software and extended warranties) which require a contract’s transaction price to be allocated to each distinct performance obligation and recognized as revenue when, or as, the performance obligation is satisfied. Both of these determinations impact the timing and amount of our reported revenues and net income and loss.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2021 was $219 thousand, or 2.8%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Our inventories are stated at the lower of cost (principally standard cost, which approximates actual cost on a first-in, first-out basis) or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(as of December 31)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As of December 31, 2021, upon the completion of our annual assessment for impairment, we have determined that no goodwill or intangible asset impairment has occurred and the fair value of goodwill was substantially higher than our carrying value.</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11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account for income taxes in accordance with ASC 740, “Income Taxes” (“ASC 740”).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 We calculate share-based compensation expense in accordance with ASC 718, “Compensation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Year Ended December 31, 2021 Compared to Year Ended December 31, 2020</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2021 and 2020 are detailed in the below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12,625</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7,734</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63.2%</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POS automation</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4,825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3,770</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1,055</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15,302</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10,979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4,323</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39.4%</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tcPr>
          <w:p>
            <w:pPr>
              <w:spacing w:after="0"/>
              <w:rPr>
                <w:sz w:val="17"/>
                <w:szCs w:val="17"/>
                <w:color w:val="auto"/>
              </w:rPr>
            </w:pPr>
          </w:p>
        </w:tc>
        <w:tc>
          <w:tcPr>
            <w:tcW w:w="166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817</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(817)</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6,995</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22.8%</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(992)</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43"/>
        </w:trPr>
        <w:tc>
          <w:tcPr>
            <w:tcW w:w="3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39,386</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8,791</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28.7%</w:t>
            </w:r>
          </w:p>
        </w:tc>
      </w:tr>
      <w:tr>
        <w:trPr>
          <w:trHeight w:val="196"/>
        </w:trPr>
        <w:tc>
          <w:tcPr>
            <w:tcW w:w="3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gridSpan w:val="2"/>
          </w:tcPr>
          <w:p>
            <w:pPr>
              <w:spacing w:after="0"/>
              <w:rPr>
                <w:sz w:val="17"/>
                <w:szCs w:val="17"/>
                <w:color w:val="auto"/>
              </w:rPr>
            </w:pPr>
          </w:p>
        </w:tc>
      </w:tr>
      <w:tr>
        <w:trPr>
          <w:trHeight w:val="22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5,862</w:t>
            </w: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1,124</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to domestic distributors or other customers who in turn ship those products to international destinations.</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2021 increased $8.8 million, or 29%, from 2020. Printer, terminal and other hardware sales volume increased by 33% to approximately 82,000 units for 2021, driven by volume increases in all our markets except the lottery market, which we exited in 2020. The primary volume increases were a 42% increase in unit volume from the casino and gaming market and, to a lesser extent, a 26% unit volume increase in our POS automation market and a 44% increase in unit volume from the FST market. The average selling price of our printers, terminals and other hardware increased 1% during 2021 compared to 2020. Additionally, sales of our software, labels and other recurring revenue from our FST market increased $3.6 million, or 95%, during 2021 compared to 2020.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sales for 2021 increased $1.1 million, or 19%, compared to 2020, primarily due to a 24% increase in international casino and gaming sales.</w:t>
      </w:r>
    </w:p>
    <w:p>
      <w:pPr>
        <w:spacing w:after="0" w:line="34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Food service technology: </w:t>
      </w:r>
      <w:r>
        <w:rPr>
          <w:rFonts w:ascii="Arial" w:cs="Arial" w:eastAsia="Arial" w:hAnsi="Arial"/>
          <w:sz w:val="16"/>
          <w:szCs w:val="16"/>
          <w:color w:val="auto"/>
        </w:rPr>
        <w:t>Our primary offering in the food service technology market is our BOHA! ecosystem, which combines our latest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terminal/workstation, cloud-based software applications and related hardware into a unique solution to automate back-of-house operations in restaurants, convenience stores and food service operations. The software component of BOHA! consists of a suite of software-as-a-service (“SaaS”)-based applications for both Android and iOS operating systems, including applications for temperature monitoring of food and equipment, timers, food safety labeling, media libraries, checklists and task lists, and equipment service management. These applications are combined into a single platform with the associated hardware, which includes the BOHA! terminal/workstation, handheld devices, tablets, temperature probes and temperature sensors. The BOHA! terminal combines the software and hardware components in a device that includes an operating system, touchscreen and one or two thermal print mechanisms that print easy-to-read food rotation labels, grab-and-go labels for prepared foods, and “enjoy by” date labels. The BOHA! workstation uses an iPad instead of an integrated touchscreen. Both the BOHA! terminal and BOHA! workstation are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Sales of our worldwide food service technology products for the years ended December 31, 2021 and 2020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11,738</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6,956</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89.9%</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778</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Hardware</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41.4%</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3,938</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7,399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3,796</w:t>
            </w:r>
          </w:p>
        </w:tc>
        <w:tc>
          <w:tcPr>
            <w:tcW w:w="64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3,603</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6"/>
          <w:szCs w:val="16"/>
          <w:color w:val="auto"/>
        </w:rPr>
        <w:t>The increase in food service technology sales in 2021 compared to 2020 was driven by an increase in sales of both hardware and BOHA! software, labels and other recurring revenue. Hardware sales increased 33% during 2021 compared to 2020 due largely to sales to an existing national convenience store customer and a new national travel center customer, as well as higher sales of our AccuDate 9700 terminal to McDonald’s. These increases in hardware sales were partially offset by a large sale completed in 2020 to a grab-and-go sushi chain that did not reoccur in 2021. Sales of BOHA! software recognized on a SaaS subscription basis, labels and other recurring revenue increased by 95%, primarily due to increased label sales and, to a lesser extent, increased software sales, compared to the prior year period due principally to the growth of the installed base of our BOHA! terminals and workstations.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POS automation: </w:t>
      </w:r>
      <w:r>
        <w:rPr>
          <w:rFonts w:ascii="Arial" w:cs="Arial" w:eastAsia="Arial" w:hAnsi="Arial"/>
          <w:sz w:val="18"/>
          <w:szCs w:val="18"/>
          <w:color w:val="auto"/>
        </w:rPr>
        <w:t>Revenue from the POS automation market includes sales of thermal printers used primarily by McDonald’s, and to a lesser extent,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quick serve restaurants either at the checkout counter or within self-service kiosks to print receipts for consumers or print on linerless labels. Sales of our worldwide POS automation products for the years ended December 31,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4,817</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3,763</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w:t>
            </w: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23"/>
        </w:trPr>
        <w:tc>
          <w:tcPr>
            <w:tcW w:w="3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POS automation product revenue during 2021 compared to 2020 was driven by a 28% increase in sales of our Ithaca® 9000 printer, primarily to McDonald’s, as POS automation sales continually improved during 2021 compared to the significant negative impact from the COVID-19 pandemic on POS automation sales during the final nine months of 2020.</w:t>
      </w:r>
    </w:p>
    <w:p>
      <w:pPr>
        <w:spacing w:after="0" w:line="12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 xml:space="preserve">Casino and Gaming: </w:t>
      </w:r>
      <w:r>
        <w:rPr>
          <w:rFonts w:ascii="Arial" w:cs="Arial" w:eastAsia="Arial" w:hAnsi="Arial"/>
          <w:sz w:val="17"/>
          <w:szCs w:val="17"/>
          <w:color w:val="auto"/>
        </w:rPr>
        <w:t>Revenue from the casino and gaming market includes sales of thermal ticket printers used in slot machines, video lottery terminals,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and sports betting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 time at the slot machine. Sales of our worldwide casino and gaming products for the years ended December 31, 2021 and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6,852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48.5%</w:t>
            </w:r>
          </w:p>
        </w:tc>
      </w:tr>
      <w:tr>
        <w:trPr>
          <w:trHeight w:val="209"/>
        </w:trPr>
        <w:tc>
          <w:tcPr>
            <w:tcW w:w="3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5,129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1,002</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r>
      <w:tr>
        <w:trPr>
          <w:trHeight w:val="243"/>
        </w:trPr>
        <w:tc>
          <w:tcPr>
            <w:tcW w:w="3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39.4%</w:t>
            </w: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increase in domestic sales of our casino and gaming products during 2021 compared to 2020 was primarily due to a 57% increase in domestic sales of our thermal casino printers, as we have experienced some recovery during 2021 compared to 2020, particularly the second quarter of 2020, when the casino and gaming market was most severely impacted by the COVID-19 pandemic. This increase was partially offset by an 81% decrease in domestic EPICENTRAL sales to an existing EPICENTRAL customer during 2020 to expand its slot machine floor that did not reoccur in 2021. Sales of EPICENTRAL are project based, and as a result, may fluctuate significantly quarter-to-quarter and year-to-year.</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International sales of our casino and gaming products increased during 2021 compared to 2020, primarily due to a 40% increase in sales of our thermal casino printers, as we experienced modest recovery during 2021, most significantly during the fourth quarter of 2021, after the significant negative impact of the COVID-19 pandemic on the international casino and gaming industry, which is recovering at a slower pace than the domestic casino and gaming market. The increase from international sales of our thermal casino printers was partially offset by a 33% decline in sales of our off-premise gaming printers during 2021 compared to 2020.</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to IGT for various lottery applications.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lottery printers for the years ended December 31, 2021 and 2020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86"/>
              </w:rPr>
              <w:t>Year Ended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spacing w:after="0" w:line="203" w:lineRule="exact"/>
              <w:rPr>
                <w:sz w:val="20"/>
                <w:szCs w:val="20"/>
                <w:color w:val="auto"/>
              </w:rPr>
            </w:pPr>
            <w:r>
              <w:rPr>
                <w:rFonts w:ascii="Arial" w:cs="Arial" w:eastAsia="Arial" w:hAnsi="Arial"/>
                <w:sz w:val="18"/>
                <w:szCs w:val="18"/>
                <w:color w:val="auto"/>
                <w:w w:val="89"/>
              </w:rPr>
              <w:t>December 31, 2021</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817</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76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tcPr>
          <w:p>
            <w:pPr>
              <w:spacing w:after="0"/>
              <w:rPr>
                <w:sz w:val="17"/>
                <w:szCs w:val="17"/>
                <w:color w:val="auto"/>
              </w:rPr>
            </w:pPr>
          </w:p>
        </w:tc>
        <w:tc>
          <w:tcPr>
            <w:tcW w:w="166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December 31, 2019, we allowed our non-exclusive agreement to provide lottery terminal printers to IGT to expire as we decided to exit the lottery market and shift our focus towards our higher-value, technology-enabled food service technology and casino and gaming products. As a result, IGT made a final purchase of our lottery printers during the second quarter of 2020 and we do not expect any further lottery printer sales in the future.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jc w:val="both"/>
        <w:spacing w:after="0" w:line="224"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desktop and rack-mounted and vehicle-mounted black/white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printers used by customers to log and plot oil field, seismic and down hole well drilling data in the oil and gas exploration industry. Sales of our worldwide Printrex printers for the years ended December 31,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9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106.0%</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72.9%</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217</w:t>
            </w:r>
          </w:p>
        </w:tc>
        <w:tc>
          <w:tcPr>
            <w:tcW w:w="6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72.3%</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243</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112.0%</w:t>
            </w: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23"/>
        </w:trPr>
        <w:tc>
          <w:tcPr>
            <w:tcW w:w="3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110.3%</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sales of Printrex printers during 2021 compared to 2020 resulted from increased domestic and international sales in the oil and gas market, which was negatively impacted during 2020 by the decline in worldwide oil prices attributable to the COVID-19 pandemic. Additionally, we decided to exit the Printrex market as of December 31, 2021 in order to shift focus towards our higher-value, technology-enabled food service technology and casino and gaming products. As a result, we had increased sales in 2021 due to fulfilling last buy orders from legacy customers during the fourth quarter of 2021. We do not expect any further Printrex sales beyond 2021.</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generated by TSG includes sales of consumable products (POS receipt paper, inkjet cartridges, ribbons and other printing supplies for</w:t>
      </w:r>
      <w:r>
        <w:rPr>
          <w:rFonts w:ascii="Arial" w:cs="Arial" w:eastAsia="Arial" w:hAnsi="Arial"/>
          <w:sz w:val="18"/>
          <w:szCs w:val="18"/>
          <w:i w:val="1"/>
          <w:iCs w:val="1"/>
          <w:color w:val="auto"/>
        </w:rPr>
        <w:t xml:space="preserve"> </w:t>
      </w:r>
      <w:r>
        <w:rPr>
          <w:rFonts w:ascii="Arial" w:cs="Arial" w:eastAsia="Arial" w:hAnsi="Arial"/>
          <w:sz w:val="18"/>
          <w:szCs w:val="18"/>
          <w:color w:val="auto"/>
        </w:rPr>
        <w:t>legacy products), replacement parts and accessories, maintenance and repair services, refurbished printers, and shipping and handling charges. Sales in our worldwide TSG market for the years ended December 31,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6,262</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71"/>
              </w:rPr>
              <w:t>(761)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502</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100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(231)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71"/>
              </w:rPr>
              <w:t>(992)</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decrease in domestic revenue from TSG during 2021 as compared to 2020 was due primarily to lower service revenue, lower sales of replacement parts, and consumable products. Service revenue declined 39%, primarily related to declining revenue from a service contract with a legacy banking customer that is expected to expire during 2022. Replacement part sales decreased 4% primarily from lower lottery printer spare part sales to IGT, which can vary significantly from quarter-to-quarter. Consumable sales declined 25%, due primarily to lower sales of HP inkjet cartridges used in our banking printers, as we exited the banking market at the end of 2018. We expect TSG sales to continue to decrease in 2022 compared to 2021 due to lower expected sales of legacy lottery printer spare parts to IGT and lower service sales related to the banking service contract noted above.</w:t>
      </w:r>
    </w:p>
    <w:p>
      <w:pPr>
        <w:spacing w:after="0" w:line="13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decreased during 2021 compared to 2020, primarily due to 58% lower service revenue, a 64% decrease in international consumable sales and a 15% decrease in sales of replacement parts and accessories to international casino and gaming customers due to the negative impact from the COVID-19 pandemic.</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2021 and 2020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- 2021</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15,249</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12,929</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38.7%</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w:t>
            </w:r>
          </w:p>
        </w:tc>
      </w:tr>
    </w:tbl>
    <w:p>
      <w:pPr>
        <w:spacing w:after="0" w:line="14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 support of our EPICENTRAL print system and BOHA! ecosystem and royalty payments to third-parties, including to the third-party licensor of our food service technology software products. Gross profit increased $2.3 million, or 18%, in 2021 compared to 2020, primarily due to the 29% sales increase, which was largely offset by a decrease in gross margin of 360 basis points during 2021 compared to 2020. Gross margin decreased to 38.7% in 2021 compared to 42.3% in 2020 due largely to lower margin on our BOHA! hardware sales during 2021 compared to 2020, as we have reduced prices to accelerate the growth of our BOHA! installed base, as well as higher material and shipping costs resulting from worldwide supply disruptions caused by the COVID-19 pandemic.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- 2021</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7,475</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5,703</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31.1%</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19.0%</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18.6%</w:t>
            </w:r>
          </w:p>
        </w:tc>
      </w:tr>
    </w:tbl>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 software development expenses including those to the third-party licensor of our food service technology software products). Engineering, design and product development expenses increased $1.8 million, or 31%, in 2021 compared to 2020 as we gradually returned to more normalized pre-COVID-19 spending levels and continued development for our food service technology products. We expect engineering, design and product development expenses to continue to increase in 2022 compared to 2021 due to planned investments in our food service technology products.</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2021 and 2020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- 2021</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7,658</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6,144</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24.6%</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19.4%</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w:t>
            </w:r>
          </w:p>
        </w:tc>
      </w:tr>
    </w:tbl>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and other promotional marketing expenses. Selling and marketing expenses increased $1.5 million, or 25%, during 2021 compared to 2020 primarily due to higher trade show expense, expanded marketing expense and new sales and marketing staff as we returned to more normalized pre-COVID-19 levels of sales and marketing expense during 2021 compared to lower costs during 2020 due to cost saving measures implemented during the second and third quarters of 2020. We expect selling and marketing expenses to increase in 2022, as we plan to make substantial strategic investments in our food service technology sales and marketing groups.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2021 and 2020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- 2021</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9,626</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9,255</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24.4%</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General and administrative expenses primarily include salaries, incentive compensation, and other payroll-related expenses for our executive, accounting, human resources, business development and information technology staff, expenses for our corporate headquarters, professional and legal expenses, information technology expenses, and other expenses related to being a publicly traded company. General and administrative expenses increased $0.4 million, or 4%, during 2021 compared to 2020 due to higher recruiting fees and employee compensation, as well as higher consulting fees related to a planned implementation of a new ERP system expected to be completed in early 2022. These increases were partially offset by lower legal and professional fees and lower severance expense during 2021 compared to 2020.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Loss. </w:t>
      </w:r>
      <w:r>
        <w:rPr>
          <w:rFonts w:ascii="Arial" w:cs="Arial" w:eastAsia="Arial" w:hAnsi="Arial"/>
          <w:sz w:val="16"/>
          <w:szCs w:val="16"/>
          <w:color w:val="auto"/>
        </w:rPr>
        <w:t>Operating loss information for the years ended December 31, 2021 and 2020 is summarized below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980" w:type="dxa"/>
            <w:vAlign w:val="bottom"/>
            <w:gridSpan w:val="5"/>
          </w:tcPr>
          <w:p>
            <w:pPr>
              <w:ind w:left="660"/>
              <w:spacing w:after="0"/>
              <w:rPr>
                <w:sz w:val="20"/>
                <w:szCs w:val="20"/>
                <w:color w:val="auto"/>
              </w:rPr>
            </w:pPr>
            <w:r>
              <w:rPr>
                <w:rFonts w:ascii="Arial" w:cs="Arial" w:eastAsia="Arial" w:hAnsi="Arial"/>
                <w:sz w:val="18"/>
                <w:szCs w:val="18"/>
                <w:color w:val="auto"/>
              </w:rPr>
              <w:t>Year Ended December 31,</w:t>
            </w:r>
          </w:p>
        </w:tc>
        <w:tc>
          <w:tcPr>
            <w:tcW w:w="228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Percent of</w:t>
            </w: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8"/>
                <w:szCs w:val="18"/>
                <w:color w:val="auto"/>
              </w:rPr>
            </w:pP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Total Sales – 2021</w:t>
            </w:r>
          </w:p>
        </w:tc>
        <w:tc>
          <w:tcPr>
            <w:tcW w:w="46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Total Sales – 2020</w:t>
            </w:r>
          </w:p>
        </w:tc>
        <w:tc>
          <w:tcPr>
            <w:tcW w:w="30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(9,510)</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(8,173)</w:t>
            </w:r>
          </w:p>
        </w:tc>
        <w:tc>
          <w:tcPr>
            <w:tcW w:w="3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16.4%</w:t>
            </w:r>
          </w:p>
        </w:tc>
        <w:tc>
          <w:tcPr>
            <w:tcW w:w="2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(24.1%)</w:t>
            </w:r>
          </w:p>
        </w:tc>
        <w:tc>
          <w:tcPr>
            <w:tcW w:w="2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(26.7%)</w:t>
            </w: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operating loss increased $1.3 million, or 16%, during 2021 compared to 2020 on 29% higher sales due to a decrease in our gross margin of 360 basis points and increased operating expenses of $3.7 million during 2021 compared to 2020.</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auto"/>
        </w:rPr>
        <w:t xml:space="preserve">Interest, net. </w:t>
      </w:r>
      <w:r>
        <w:rPr>
          <w:rFonts w:ascii="Arial" w:cs="Arial" w:eastAsia="Arial" w:hAnsi="Arial"/>
          <w:sz w:val="17"/>
          <w:szCs w:val="17"/>
          <w:color w:val="auto"/>
        </w:rPr>
        <w:t>We recorded net interest expense of $96 thousand in 2021 compared to $52 thousand in 2020. The increase in net interest expense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lower interest income earned from the note receivable to a third-party software developer that was collected in March 2021 and the full year impact of unused borrowing fees incurred from the Siena Credit Facility that was entered into on March 13, 2020.</w:t>
      </w:r>
    </w:p>
    <w:p>
      <w:pPr>
        <w:spacing w:after="0" w:line="119"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$283 thousand in 2021 compared to other income of $56 thousand in 2020 primarily due to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recorded by our UK subsidiary during 2021 compared to foreign exchange gains recorded in 2020. Going forward, we may continue to experience more foreign exchange gains or losses depending on the level of sales to European customers through our UK subsidiary and the fluctuation in exchange rates of the Euro and Pound Sterling against the U.S. Dollar, which may be impacted by volatility in global economic conditions due to the COVID-19 pandemic and political instability such as the Russia-Ukraine conflict.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Gain from Employee Retention Credit. </w:t>
      </w:r>
      <w:r>
        <w:rPr>
          <w:rFonts w:ascii="Arial" w:cs="Arial" w:eastAsia="Arial" w:hAnsi="Arial"/>
          <w:sz w:val="18"/>
          <w:szCs w:val="18"/>
          <w:color w:val="auto"/>
        </w:rPr>
        <w:t>We recorded a $1.5 million gain during 2021 resulting from the recognition of the employee retention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CARES Act upon meeting the conditions required to claim the credit.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 xml:space="preserve">Gain on Forgiveness of Long-Term Debt. </w:t>
      </w:r>
      <w:r>
        <w:rPr>
          <w:rFonts w:ascii="Arial" w:cs="Arial" w:eastAsia="Arial" w:hAnsi="Arial"/>
          <w:sz w:val="17"/>
          <w:szCs w:val="17"/>
          <w:color w:val="auto"/>
        </w:rPr>
        <w:t>We recorded a $2.2 million gain in 2021 resulting from the forgiveness of the PPP Loan in July 2021.</w:t>
      </w:r>
    </w:p>
    <w:p>
      <w:pPr>
        <w:spacing w:after="0" w:line="16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an income tax benefit during 2021 of $2.1 million at an effective tax rate of 33.3%, compared to an income tax benefit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of $2.5 million at an effective tax rate of 31.1%. The tax benefit recorded for 2021 included the recognition of the gain on the forgiveness of the PPP Loan which is not taxable. The effective tax rate for 2020 included the impact of the net operating loss (“NOL”) we incurred during 2020 and was carried back to prior years. The CARES Act enacted on March 27, 2020 permitted NOLs incurred in 2018, 2019 and 2020 to be carried back to each of the five preceding taxable years to generate a refund of previously paid income taxes. We generated an NOL in 2020, which we carried back to tax years that had a federal statutory tax rate of 34% compared to 21% in 2020.</w:t>
      </w:r>
    </w:p>
    <w:p>
      <w:pPr>
        <w:spacing w:after="0" w:line="15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We reported a net loss for the year ended December 31, 2021 of $4.1 million, or $0.45 per diluted share, compared to a net loss of $5.6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$0.72 per diluted share, in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and any increase in working capital that would be required to accommodate a higher level of business activity.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8" w:lineRule="auto"/>
        <w:rPr>
          <w:sz w:val="20"/>
          <w:szCs w:val="20"/>
          <w:color w:val="auto"/>
        </w:rPr>
      </w:pPr>
      <w:r>
        <w:rPr>
          <w:rFonts w:ascii="Arial" w:cs="Arial" w:eastAsia="Arial" w:hAnsi="Arial"/>
          <w:sz w:val="18"/>
          <w:szCs w:val="18"/>
          <w:color w:val="auto"/>
        </w:rPr>
        <w:t>During 2021, our cash balance increased $9.1 million, or 88%, from December 31, 2020 due primarily to financing activities providing $11.5 million of cash primarily from the completion of an underwritten public offering. We had $19.5 million in cash and cash equivalents as of December 31, 2021, of which $1.8 million was held by our UK subsidiary.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used in operating activities of $2.5 million in 2021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operating activities of $3.5 million in 2020. During 2021:</w:t>
      </w:r>
    </w:p>
    <w:p>
      <w:pPr>
        <w:spacing w:after="0" w:line="1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a net loss of $4.1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and amortization of $1.0 million and share-based compensation expense of $1.2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a gain of $2.2 million from the forgiveness of the PPP loan.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$4.2 million, or 125%, primarily due to increased sales volume during the fourth quarter of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a receivable of $1.5 million for the employee retention credit that is expected to be collected during 2022.</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decreased $3.6 million, or 32%, primarily due to the utilization of inventory on hand to fulfill sales and significantly reduced inventory purchases resulting from the supply chain disruptions caused by the COVID-19 pandemic.</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Prepaid income taxes decreased $2.2 million due to receiving an income tax refund in 2021 related to the net operating loss reported for 2020 that was carried back to prior years as permitted by the CARES Act.</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current and long-term assets decreased $0.3 million, or 23%, primarily due to reduction of a contract asset related to a long-term BOHA! sales contract completed in 2020.</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$2.5 million, or 150%, due to inventory purchases made towards the end of the fourth quarter of 2021 to support expected 2022 sales.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$0.6 million, or 7%, due primarily to increased deferred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2020:</w:t>
      </w:r>
    </w:p>
    <w:p>
      <w:pPr>
        <w:spacing w:after="0" w:line="1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reported a net loss of $5.6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depreciation and amortization of $1.3 million and share-based compensation expense of $0.9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decreased $3 million, or 47%, primarily due to lower sales volume during the fourth quarter of 2020 compared to the fourth quarter of 2019 due to the pandemic.</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Inventories decreased $0.9 million, or 7%, primarily due to the utilization of inventory on hand to fulfill sales in response to the pandemic.</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income taxes increased $2.2 million due to an income tax refund, subsequently received in 2021, related to the net operating loss reported for 2020 that was carried back to prior years as permitted by the CARES Act.</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current and long-term assets increased $0.2 million, or 19%, due primarily to recording a contract asset related to a long-term BOHA! sales contract which was partially offset by the recognition of royalty expense that was prepaid in 2019 to a technology partner for food service technology.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payable decreased $1.3 million, or 43%, due to inventory purchases made towards the end of the fourth quarter of 2019 that were subsequently paid in the first quarter of 2020 and a lower level of inventory purchases during 2020 due to the pandemic.</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$0.2 million, or 3%, due primarily to an increase in accrued inventive compensation.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jc w:val="both"/>
        <w:spacing w:after="0" w:line="22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Our capital expenditures were $1.4 million and $0.7 million in 2021 and 2020, respectively. Expenditures in 2021 were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implementation of a new ERP system expected to be completed in early 2022, new product tooling and computer and networking equipment. Expenditures in 2020 were primarily for new product tooling equipment, leasehold improvements at our Las Vegas facility and computer and networking equipment. Investing activities also provided $1.6 million in 2021 upon the collection of the remaining $1.6 million note receivable balance during the first quarter of 2021 from an unaffiliated third-party software developer from whom we license our food service technology software, compared to $0.6 million of cash used in investing activities during 2020, for the issuance of a loan to the same unaffiliated third-party.</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provided $11.5 million of cash during 2021 primarily from the completion of an underwritten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raised net proceeds of $11.2 million, after deducting underwriting discounts, commissions and offering expenses and, to a lesser extent, proceeds of $0.4 million from stock option exercises. These increases were partially offset by $0.1 million for the payment of withholding taxes on stock issued from our stock compensation plans and $31 thousand on the final payment of financing costs associated with our Siena Credit Facility. During 2020, financing activities provided $11.0 million of cash primarily from the completion of an underwritten public offering which raised net proceeds of $8.7 million, after deducting underwriting discounts, commissions and offering expenses, and $2.2 million in funds received from the PPP Loan and, to a lesser extent, proceeds of $0.4 million from stock option exercises. These increases were partially offset by the payment of $0.2 million in financing costs associated with signing our Siena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ind w:right="20"/>
        <w:spacing w:after="0" w:line="226" w:lineRule="auto"/>
        <w:rPr>
          <w:sz w:val="20"/>
          <w:szCs w:val="20"/>
          <w:color w:val="auto"/>
        </w:rPr>
      </w:pPr>
      <w:r>
        <w:rPr>
          <w:rFonts w:ascii="Arial" w:cs="Arial" w:eastAsia="Arial" w:hAnsi="Arial"/>
          <w:sz w:val="18"/>
          <w:szCs w:val="18"/>
          <w:color w:val="auto"/>
        </w:rPr>
        <w:t>Given the unprecedented uncertainty related to the impact of the COVID-19 pandemic on the food service and casino industries, the Company is closely monitoring its cash generation, usage and preservation including the management of working capital to generate cash.</w:t>
      </w:r>
    </w:p>
    <w:p>
      <w:pPr>
        <w:spacing w:after="0" w:line="16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the proceeds raised through the underwritten public offering during August 2021, and borrowings available under our Siena Credit Facility will provide sufficient resources to meet our working capital needs, finance our capital expenditures and meet our liquidity requirements through at least the next twelve months. Notwithstanding this belief, the duration and extent of the pandemic remain uncertain and its ultimate impact is unknown. Further, availability under the Siena Credit Facility depends in part on inventory levels, which have been impacted and are expected to continue to be impacted by supply chain disruptions due to the COVID-19 pandemic. As a result, we continue to evaluate several different strategies to enhance our liquidity position as a result of the significant financial and operational impacts due to the COVID-19 pandemic. These strategies may include, but are not limited to, seeking to raise additional capital through an equity or debt financing.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09" w:lineRule="auto"/>
        <w:rPr>
          <w:sz w:val="20"/>
          <w:szCs w:val="20"/>
          <w:color w:val="auto"/>
        </w:rPr>
      </w:pPr>
      <w:r>
        <w:rPr>
          <w:rFonts w:ascii="Arial" w:cs="Arial" w:eastAsia="Arial" w:hAnsi="Arial"/>
          <w:sz w:val="18"/>
          <w:szCs w:val="18"/>
          <w:color w:val="auto"/>
        </w:rPr>
        <w:t>On March 13, 2020, we entered into the Siena Credit Facility with Siena Lending Group LLC and terminated our credit facility with TD Bank N.A.. The Siena Credit Facility provides for a revolving credit line of up to $10 million expiring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We also pay a fee of 0.50% on unused borrowings under the Siena Credit Facility. Borrowings under the Siena Credit Facility are secured by a lien on substantially all the assets of the Company. Borrowings under the Siena Credit Facility are subject to a borrowing base based on (i) 85% of eligible accounts receivable plus the lesser of (a) $5 million and (b) 50% of eligible raw material and 60% of finished goods inventory.</w:t>
      </w:r>
    </w:p>
    <w:p>
      <w:pPr>
        <w:spacing w:after="0" w:line="126"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Siena Credit Facility imposes a financial covenant on the Company and restricts, among other things, our ability to incur additional indebtedness and the creation of other liens. The three month period from April 1, 2020 to June 30, 2020 was the first period we were subject to the financial covenant, which required the Company to maintain a minimum EBITDA and continued through the 12-month period from April 1, 2020 to March 31, 2021. On July 21, 2021, the Company entered into an amendment (the “Credit Facility Amendment”) to the Siena Credit Facility. The Credit Facility Amendment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ending July 31, 2021. From July 31, 2021 to December 31, 2021, we have been in compliance with our excess availability covenant. As of December 31, 2021, we had no outstanding borrowings under the Siena Credit Facility and $5.1 million of available borrowing capacity under the Siena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On May 1, 2020 (the “Loan Date”), the Company was granted the PPP Loan with Berkshire Bank in the aggregate amount of $2.2 million, pursuant to the</w:t>
      </w:r>
    </w:p>
    <w:p>
      <w:pPr>
        <w:spacing w:after="0" w:line="35" w:lineRule="exact"/>
        <w:rPr>
          <w:sz w:val="20"/>
          <w:szCs w:val="20"/>
          <w:color w:val="auto"/>
        </w:rPr>
      </w:pPr>
    </w:p>
    <w:p>
      <w:pPr>
        <w:jc w:val="both"/>
        <w:ind w:firstLine="8"/>
        <w:spacing w:after="0" w:line="253" w:lineRule="auto"/>
        <w:tabs>
          <w:tab w:leader="none" w:pos="3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which is administered by the SBA and was established under Division A, Title I of the CARES Act, enacted March 27, 2020. Under the terms of the PPP, the PPP Loan would be forgiven to the extent that funds from the PPP Loan were used for payroll costs and costs to continue group health care benefits, as well as for interest on mortgage obligations incurred before February 15, 2020, rent payments under lease agreements in effect before February 15, 2020, utilities for which service began before February 15, 2020 and interest on debt obligations incurred before February 15, 2020, subject to conditions and limitations provided in the CARES Act. At least 60% (under the PPP terms, as amended) of the proceeds of the PPP Loan needed to have been used for eligible payroll costs for the PPP Loan to be forgiven.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line="239" w:lineRule="auto"/>
        <w:rPr>
          <w:sz w:val="20"/>
          <w:szCs w:val="20"/>
          <w:color w:val="auto"/>
        </w:rPr>
      </w:pPr>
      <w:r>
        <w:rPr>
          <w:rFonts w:ascii="Arial" w:cs="Arial" w:eastAsia="Arial" w:hAnsi="Arial"/>
          <w:sz w:val="16"/>
          <w:szCs w:val="16"/>
          <w:color w:val="auto"/>
        </w:rPr>
        <w:t>The PPP Loan, which was evidenced by a Note dated the Loan Date issued by the Company in favor of Berkshire Bank as a lender, was scheduled to mature on May 1, 2022 and had a fixed interest rate of 1.0% per annum, accruing from the Loan Date and payable monthly. The Company submitted its</w:t>
      </w:r>
    </w:p>
    <w:p>
      <w:pPr>
        <w:spacing w:after="0" w:line="1" w:lineRule="exact"/>
        <w:rPr>
          <w:sz w:val="20"/>
          <w:szCs w:val="20"/>
          <w:color w:val="auto"/>
        </w:rPr>
      </w:pPr>
    </w:p>
    <w:p>
      <w:pPr>
        <w:jc w:val="both"/>
        <w:ind w:firstLine="8"/>
        <w:spacing w:after="0" w:line="222" w:lineRule="auto"/>
        <w:tabs>
          <w:tab w:leader="none" w:pos="3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Loan forgiveness application in May 2021 to the SBA through Berkshire Bank and submitted the related loan necessity questionnaire in June 2021. On July 8, 2021, the Company received notifications from Berkshire Bank and the SBA that its PPP Loan (including all interest accrued thereon) of $2.2. million had been fully forgiven by the SBA and that the forgiveness payment date was July 1, 2021. No payments were due on the PPP Loan for six months from the date of first disbursement, and because a loan forgiveness application was submitted to the SBA within 10 months after the end of the covered period, no payments were due until the date on which the SBA remitted the loan forgiveness amount to the PPP Lender, and interest that accrued during the deferment period was included in the forgiveness amount. The forgiveness of the PPP Loan was reported as “Gain on forgiveness of long-term debt” in the Consolidated Statement of Operations during the year ending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rPr>
          <w:sz w:val="20"/>
          <w:szCs w:val="20"/>
          <w:color w:val="auto"/>
        </w:rPr>
      </w:pPr>
      <w:r>
        <w:rPr>
          <w:rFonts w:ascii="Arial" w:cs="Arial" w:eastAsia="Arial" w:hAnsi="Arial"/>
          <w:sz w:val="18"/>
          <w:szCs w:val="18"/>
          <w:color w:val="auto"/>
        </w:rPr>
        <w:t>During 2021 and 2020 we did not repurchase any shares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spacing w:after="0" w:line="212" w:lineRule="auto"/>
        <w:rPr>
          <w:sz w:val="20"/>
          <w:szCs w:val="20"/>
          <w:color w:val="auto"/>
        </w:rPr>
      </w:pPr>
      <w:r>
        <w:rPr>
          <w:rFonts w:ascii="Arial" w:cs="Arial" w:eastAsia="Arial" w:hAnsi="Arial"/>
          <w:sz w:val="18"/>
          <w:szCs w:val="18"/>
          <w:color w:val="auto"/>
        </w:rPr>
        <w:t>Shareholders’ equity increased $8.8 million, or 29%, to $39.0 million at December 31, 2021 from $30.2 million at December 31, 2020. The increase was primarily due to the completion of an underwritten public offering during 2021 which raised net proceeds of $11.2 million, after deducting underwriting discounts, commissions and offering expenses. Shareholders’ equity also increased, although to a lesser extent, from share-based compensation expense related to stock awards of $1.2 million and $0.4 million from the issuance of 97,000 shares of common stock related to employee stock awards, net of relinquishments. These increases were partially offset by a net loss of $4.1 million.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rPr>
          <w:sz w:val="20"/>
          <w:szCs w:val="20"/>
          <w:color w:val="auto"/>
        </w:rPr>
      </w:pPr>
      <w:r>
        <w:rPr>
          <w:rFonts w:ascii="Arial" w:cs="Arial" w:eastAsia="Arial" w:hAnsi="Arial"/>
          <w:sz w:val="17"/>
          <w:szCs w:val="17"/>
          <w:color w:val="auto"/>
        </w:rPr>
        <w:t>TransAct is a smaller reporting company, as defined in Item 10(f)(1) of Regulation S-K, and is not required to provide information under this item.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jc w:val="both"/>
        <w:spacing w:after="0" w:line="226" w:lineRule="auto"/>
        <w:rPr>
          <w:sz w:val="20"/>
          <w:szCs w:val="20"/>
          <w:color w:val="auto"/>
        </w:rPr>
      </w:pPr>
      <w:r>
        <w:rPr>
          <w:rFonts w:ascii="Arial" w:cs="Arial" w:eastAsia="Arial" w:hAnsi="Arial"/>
          <w:sz w:val="18"/>
          <w:szCs w:val="18"/>
          <w:color w:val="auto"/>
        </w:rPr>
        <w:t>The financial statements of the Company are annexed to this Form 10-K as pages F-4 through F-22. The “Report of Independent Registered Public Accounting Firm” is annexed to this Form 10-K as of page F-2. An index to such materials appears on page F-1.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Not applicable.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09"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13a-15I under the Securities Exchange Act of 1934, as amended (the “Exchange Act”) as of December 31, 2021. In the Amendment to our Annual Report on Form 10-K for the year ended December 31, 2018, filed with the SEC on November 21, 2019, we disclosed that management, including our CEO and CFO, concluded that our disclosure controls and procedures were not effective as of December 31, 2018, due to material weaknesses in our internal control over financial reporting. As of December 31, 2021, management has completed the implementation of new controls, which are described below, to fully remediate these material weaknesses. Upon completion of the remediation, our Chief Executive Officer and Chief Financial Officer concluded that, as of December 31, 2021, our disclosure controls and procedures are effective at the reasonable assurance level.</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still be relied upon.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2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ind w:left="220" w:hanging="212"/>
        <w:spacing w:after="0" w:line="231"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jc w:val="both"/>
        <w:ind w:firstLine="8"/>
        <w:spacing w:after="0" w:line="214"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Our management assessed our internal control over financial reporting as of December 31, 2021. Our management based its assessment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COSO”). In the opinion of management, TransAct maintained effective internal control over financial reporting as of December 31, 2021.</w:t>
      </w:r>
    </w:p>
    <w:p>
      <w:pPr>
        <w:spacing w:after="0" w:line="123"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 material weakness is defined in Rule 12b-2 under the Exchange Act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identified a control deficiency that constituted a material weakness in our internal control over financial reporting as of December 31, 2020, 2019 and 2018 and has been fully remediated as of December 31, 2021. The control deficiency was that we did not design and maintain effective controls over the completeness and accuracy of information included in key spreadsheets supporting our accounting records (the “Spreadsheet Control Weakness”).</w:t>
      </w:r>
    </w:p>
    <w:p>
      <w:pPr>
        <w:spacing w:after="0" w:line="1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control deficiency constituted a material weakness, but did not result in a material misstatement to our annual or interim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Weaknesses</w:t>
      </w:r>
    </w:p>
    <w:p>
      <w:pPr>
        <w:jc w:val="both"/>
        <w:spacing w:after="0" w:line="271" w:lineRule="auto"/>
        <w:rPr>
          <w:sz w:val="20"/>
          <w:szCs w:val="20"/>
          <w:color w:val="auto"/>
        </w:rPr>
      </w:pPr>
      <w:r>
        <w:rPr>
          <w:rFonts w:ascii="Arial" w:cs="Arial" w:eastAsia="Arial" w:hAnsi="Arial"/>
          <w:sz w:val="17"/>
          <w:szCs w:val="17"/>
          <w:color w:val="auto"/>
        </w:rPr>
        <w:t>Beginning December 31, 2019, we commenced developing and implementing a plan to enhance the design and operating effectiveness of our internal control over financial reporting, which included taking the following steps to remediate the identified control deficiency and material weakness:</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For each key spreadsheet we evaluated and determined (1) if a standard Oracle report existed containing the same information as the spreadsheet, and if so, we utilized the standard Oracle report (without modification) instead of the spreadsheet to support our accounting records, and (2) if a standard Oracle report cannot be used, we implemented a new key control whereby an employee performs a formal validation that the information from Oracle is completely and accurately transferred (automatically or manually) to a spreadsheet by verifying totals and other information on a test basis. For all key spreadsheets, we have designed and implemented a new key control to validate the completeness and accuracy of information supporting our accounting records. During 2020 and the first quarter of 2021, we completed the evaluation process for each key spreadsheet based on the above criteria, and during the second quarter of 2021, we completed the implementation of new key controls for all of our key spreadsheets to validate the completeness and accuracy of the information contained within and supporting each such spreadsheet. During the second half of 2021, we completed our evaluation of the new controls for effectiveness, and the Spreadsheet Control Weakness was deemed to be remediated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than the changes intended to remediate the material weakness noted above, no change in our internal control over financial reporting (as defined in Rules 13a-15(f) and 15d-15(f) under the Exchange Act) occurred during the three months ended December 31, 2021 that has materially affected, or is reasonably likely to materially affect, our internal control over financial reporting.</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rPr>
          <w:sz w:val="20"/>
          <w:szCs w:val="20"/>
          <w:color w:val="auto"/>
        </w:rPr>
      </w:pPr>
      <w:r>
        <w:rPr>
          <w:rFonts w:ascii="Arial" w:cs="Arial" w:eastAsia="Arial" w:hAnsi="Arial"/>
          <w:sz w:val="18"/>
          <w:szCs w:val="18"/>
          <w:color w:val="auto"/>
        </w:rPr>
        <w:t>Not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10" w:lineRule="auto"/>
        <w:rPr>
          <w:sz w:val="20"/>
          <w:szCs w:val="20"/>
          <w:color w:val="auto"/>
        </w:rPr>
      </w:pPr>
      <w:r>
        <w:rPr>
          <w:rFonts w:ascii="Arial" w:cs="Arial" w:eastAsia="Arial" w:hAnsi="Arial"/>
          <w:sz w:val="18"/>
          <w:szCs w:val="18"/>
          <w:color w:val="auto"/>
        </w:rPr>
        <w:t>Set forth in Item 1 of this Form 10-K is certain information regarding our executive officers. The remaining information in response to this item will be contained in our Proxy Statement for our 2022 Annual Meeting of Stockholders (the “Proxy Statement”), as applicable, under the headings, “Delinquent Section 16(a) Reports,” “Corporate Governance,” “Proposal 1: Election of Directors,” “Audit Committee Report,” “Executive Compensation – Compensation Committee Report,” “Stockholder Proposals for 2023 Annual Meeting,” “Procedures for Submitted Director Nominations and Recommendations” and “Policy Regarding Stockholder Communications with the Board of Directors,” which will be filed within 120 days after the end of the year covered by this Form 10-K and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25" w:lineRule="auto"/>
        <w:rPr>
          <w:sz w:val="20"/>
          <w:szCs w:val="20"/>
          <w:color w:val="auto"/>
        </w:rPr>
      </w:pPr>
      <w:r>
        <w:rPr>
          <w:rFonts w:ascii="Arial" w:cs="Arial" w:eastAsia="Arial" w:hAnsi="Arial"/>
          <w:sz w:val="17"/>
          <w:szCs w:val="17"/>
          <w:color w:val="auto"/>
        </w:rPr>
        <w:t>We maintain a Standards of Business Conduct and Code of Ethics (“Standards of Business Conduct”) that includes our code of ethics that is applicable to all employees, including our Chief Executive Officer, Chief Financial Officer, Chief Accounting Officer and Controller. Our Standards of Business Conduct, which require continued observance of high ethical standards, such as honesty, integrity and compliance with the law in the conduct of our business, are available for public access on our Internet website at https://transacttech.gcs-web.com/corporate-governance. Any person may request a copy of our Standards of Business Conduct free of charge by calling (203) 859-6800.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ind w:right="20"/>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68" w:lineRule="auto"/>
        <w:rPr>
          <w:sz w:val="20"/>
          <w:szCs w:val="20"/>
          <w:color w:val="auto"/>
        </w:rPr>
      </w:pPr>
      <w:r>
        <w:rPr>
          <w:rFonts w:ascii="Arial" w:cs="Arial" w:eastAsia="Arial" w:hAnsi="Arial"/>
          <w:sz w:val="16"/>
          <w:szCs w:val="16"/>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2021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5"/>
                <w:szCs w:val="15"/>
                <w:color w:val="auto"/>
              </w:rPr>
            </w:pPr>
          </w:p>
        </w:tc>
        <w:tc>
          <w:tcPr>
            <w:tcW w:w="21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(b)</w:t>
            </w:r>
          </w:p>
        </w:tc>
        <w:tc>
          <w:tcPr>
            <w:tcW w:w="2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1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0"/>
              </w:rPr>
              <w:t>Number of securities to be</w:t>
            </w:r>
          </w:p>
        </w:tc>
        <w:tc>
          <w:tcPr>
            <w:tcW w:w="2220" w:type="dxa"/>
            <w:vAlign w:val="bottom"/>
            <w:gridSpan w:val="3"/>
          </w:tcPr>
          <w:p>
            <w:pPr>
              <w:jc w:val="center"/>
              <w:ind w:right="240"/>
              <w:spacing w:after="0" w:line="176" w:lineRule="exact"/>
              <w:rPr>
                <w:sz w:val="20"/>
                <w:szCs w:val="20"/>
                <w:color w:val="auto"/>
              </w:rPr>
            </w:pPr>
            <w:r>
              <w:rPr>
                <w:rFonts w:ascii="Arial" w:cs="Arial" w:eastAsia="Arial" w:hAnsi="Arial"/>
                <w:sz w:val="18"/>
                <w:szCs w:val="18"/>
                <w:color w:val="auto"/>
                <w:w w:val="88"/>
              </w:rPr>
              <w:t>Weighted-average exercise</w:t>
            </w:r>
          </w:p>
        </w:tc>
        <w:tc>
          <w:tcPr>
            <w:tcW w:w="2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issued upon exercise of</w:t>
            </w:r>
          </w:p>
        </w:tc>
        <w:tc>
          <w:tcPr>
            <w:tcW w:w="120" w:type="dxa"/>
            <w:vAlign w:val="bottom"/>
          </w:tcPr>
          <w:p>
            <w:pPr>
              <w:spacing w:after="0"/>
              <w:rPr>
                <w:sz w:val="15"/>
                <w:szCs w:val="15"/>
                <w:color w:val="auto"/>
              </w:rPr>
            </w:pPr>
          </w:p>
        </w:tc>
        <w:tc>
          <w:tcPr>
            <w:tcW w:w="210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price</w:t>
            </w:r>
          </w:p>
        </w:tc>
        <w:tc>
          <w:tcPr>
            <w:tcW w:w="21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6"/>
        </w:trPr>
        <w:tc>
          <w:tcPr>
            <w:tcW w:w="4500" w:type="dxa"/>
            <w:vAlign w:val="bottom"/>
            <w:vMerge w:val="restart"/>
          </w:tcPr>
          <w:p>
            <w:pPr>
              <w:ind w:left="176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5"/>
                <w:szCs w:val="15"/>
                <w:color w:val="auto"/>
              </w:rPr>
            </w:pPr>
          </w:p>
        </w:tc>
        <w:tc>
          <w:tcPr>
            <w:tcW w:w="22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5"/>
                <w:szCs w:val="15"/>
                <w:color w:val="auto"/>
              </w:rPr>
            </w:pPr>
          </w:p>
        </w:tc>
        <w:tc>
          <w:tcPr>
            <w:tcW w:w="210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0"/>
              </w:rPr>
              <w:t>of outstanding options,</w:t>
            </w:r>
          </w:p>
        </w:tc>
        <w:tc>
          <w:tcPr>
            <w:tcW w:w="2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0"/>
              </w:rPr>
              <w:t>options, warrants and rights</w:t>
            </w:r>
          </w:p>
        </w:tc>
        <w:tc>
          <w:tcPr>
            <w:tcW w:w="120" w:type="dxa"/>
            <w:vAlign w:val="bottom"/>
          </w:tcPr>
          <w:p>
            <w:pPr>
              <w:spacing w:after="0"/>
              <w:rPr>
                <w:sz w:val="18"/>
                <w:szCs w:val="18"/>
                <w:color w:val="auto"/>
              </w:rPr>
            </w:pPr>
          </w:p>
        </w:tc>
        <w:tc>
          <w:tcPr>
            <w:tcW w:w="21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0"/>
              </w:rPr>
              <w:t>warrants and rights</w:t>
            </w:r>
          </w:p>
        </w:tc>
        <w:tc>
          <w:tcPr>
            <w:tcW w:w="21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8"/>
              </w:rPr>
              <w:t>Equity compensation plans approved by security holders:</w:t>
            </w: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2005 Equity Incentive Plan</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195,500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9.52</w:t>
            </w:r>
          </w:p>
        </w:tc>
        <w:tc>
          <w:tcPr>
            <w:tcW w:w="2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2014 Equity Incentive Plan</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1,229,080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7.97</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611,652</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1,424,580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2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611,652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May 2014, our stockholders approved the adoption of the 2014 Equity Incentive Plan. In May 2020, our stockholders approved an amendment to the 2014 Equity Incentive Plan to increase the number of shares of common stock which may be subject to awards granted under the plan from 1,400,000 to its current level of 2,200,000. The Company also maintains the 2005 Equity Incentive Plan; however no new awards will be available for future issuance under this plan. Both plans generally provide for awards in the form of: (i) incentive stock options, (ii) non-qualified stock options, (iii) restricted stock,</w:t>
      </w:r>
    </w:p>
    <w:p>
      <w:pPr>
        <w:ind w:firstLine="8"/>
        <w:spacing w:after="0" w:line="226" w:lineRule="auto"/>
        <w:tabs>
          <w:tab w:leader="none" w:pos="3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units (which may include performance-based vesting), (v) stock appreciation rights or (vi) limited stock appreciation rights. The Company does not have any equity plans that have not been approved by its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“Corporate Governance-Board Leadership Structure and Independence”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The following documents are filed as part of this Form 10-K:</w:t>
      </w:r>
    </w:p>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 of Independent Registered Public Accounting Firm</w:t>
      </w:r>
    </w:p>
    <w:p>
      <w:pPr>
        <w:ind w:left="180"/>
        <w:spacing w:after="0" w:line="203" w:lineRule="auto"/>
        <w:rPr>
          <w:sz w:val="20"/>
          <w:szCs w:val="20"/>
          <w:color w:val="auto"/>
        </w:rPr>
      </w:pPr>
      <w:r>
        <w:rPr>
          <w:rFonts w:ascii="Arial" w:cs="Arial" w:eastAsia="Arial" w:hAnsi="Arial"/>
          <w:sz w:val="18"/>
          <w:szCs w:val="18"/>
          <w:color w:val="auto"/>
        </w:rPr>
        <w:t>Consolidated Balance Sheets as of December 31, 2021 and 2020</w:t>
      </w:r>
    </w:p>
    <w:p>
      <w:pPr>
        <w:ind w:left="180"/>
        <w:spacing w:after="0" w:line="203" w:lineRule="auto"/>
        <w:rPr>
          <w:sz w:val="20"/>
          <w:szCs w:val="20"/>
          <w:color w:val="auto"/>
        </w:rPr>
      </w:pPr>
      <w:r>
        <w:rPr>
          <w:rFonts w:ascii="Arial" w:cs="Arial" w:eastAsia="Arial" w:hAnsi="Arial"/>
          <w:sz w:val="18"/>
          <w:szCs w:val="18"/>
          <w:color w:val="auto"/>
        </w:rPr>
        <w:t>Consolidated Statements of Operations for the years ended December 31, 2021 and 2020</w:t>
      </w:r>
    </w:p>
    <w:p>
      <w:pPr>
        <w:ind w:left="180"/>
        <w:spacing w:after="0" w:line="204" w:lineRule="auto"/>
        <w:rPr>
          <w:sz w:val="20"/>
          <w:szCs w:val="20"/>
          <w:color w:val="auto"/>
        </w:rPr>
      </w:pPr>
      <w:r>
        <w:rPr>
          <w:rFonts w:ascii="Arial" w:cs="Arial" w:eastAsia="Arial" w:hAnsi="Arial"/>
          <w:sz w:val="18"/>
          <w:szCs w:val="18"/>
          <w:color w:val="auto"/>
        </w:rPr>
        <w:t>Consolidated Statements of Comprehensive Loss for the years ended December 31, 2021 and 2020</w:t>
      </w:r>
    </w:p>
    <w:p>
      <w:pPr>
        <w:ind w:left="180"/>
        <w:spacing w:after="0" w:line="203" w:lineRule="auto"/>
        <w:rPr>
          <w:sz w:val="20"/>
          <w:szCs w:val="20"/>
          <w:color w:val="auto"/>
        </w:rPr>
      </w:pPr>
      <w:r>
        <w:rPr>
          <w:rFonts w:ascii="Arial" w:cs="Arial" w:eastAsia="Arial" w:hAnsi="Arial"/>
          <w:sz w:val="18"/>
          <w:szCs w:val="18"/>
          <w:color w:val="auto"/>
        </w:rPr>
        <w:t>Consolidated Statements of Changes in Shareholders’ Equity for the years ended December 31, 2021 and 2020</w:t>
      </w:r>
    </w:p>
    <w:p>
      <w:pPr>
        <w:ind w:left="180"/>
        <w:spacing w:after="0" w:line="204" w:lineRule="auto"/>
        <w:rPr>
          <w:sz w:val="20"/>
          <w:szCs w:val="20"/>
          <w:color w:val="auto"/>
        </w:rPr>
      </w:pPr>
      <w:r>
        <w:rPr>
          <w:rFonts w:ascii="Arial" w:cs="Arial" w:eastAsia="Arial" w:hAnsi="Arial"/>
          <w:sz w:val="18"/>
          <w:szCs w:val="18"/>
          <w:color w:val="auto"/>
        </w:rPr>
        <w:t>Consolidated Statements of Cash Flows for the years ended December 31, 2021 and 2020</w:t>
      </w:r>
    </w:p>
    <w:p>
      <w:pPr>
        <w:ind w:left="1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0" w:type="dxa"/>
            <w:vAlign w:val="bottom"/>
          </w:tcPr>
          <w:p>
            <w:pPr>
              <w:ind w:left="4220"/>
              <w:spacing w:after="0"/>
              <w:rPr>
                <w:sz w:val="20"/>
                <w:szCs w:val="20"/>
                <w:color w:val="auto"/>
              </w:rPr>
            </w:pPr>
            <w:r>
              <w:rPr>
                <w:rFonts w:ascii="Arial" w:cs="Arial" w:eastAsia="Arial" w:hAnsi="Arial"/>
                <w:sz w:val="18"/>
                <w:szCs w:val="18"/>
                <w:b w:val="1"/>
                <w:bCs w:val="1"/>
                <w:color w:val="auto"/>
              </w:rPr>
              <w:t>Exhibits Index</w:t>
            </w:r>
          </w:p>
        </w:tc>
      </w:tr>
      <w:tr>
        <w:trPr>
          <w:trHeight w:val="148"/>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0" w:type="dxa"/>
            <w:vAlign w:val="bottom"/>
          </w:tcPr>
          <w:p>
            <w:pPr>
              <w:spacing w:after="0"/>
              <w:rPr>
                <w:sz w:val="12"/>
                <w:szCs w:val="12"/>
                <w:color w:val="auto"/>
              </w:rPr>
            </w:pP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7"/>
              </w:rPr>
              <w:t>Certificate of Incorporation of TransAct Technologies Incorporated (conformed copy) (incorporated by reference to Exhibit 3(i) of the</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Company’s Quarterly Report on Form 10-Q (SEC File No. 000-21121) filed with the SEC on August 9, 2019).</w:t>
            </w:r>
          </w:p>
        </w:tc>
      </w:tr>
      <w:tr>
        <w:trPr>
          <w:trHeight w:val="162"/>
        </w:trPr>
        <w:tc>
          <w:tcPr>
            <w:tcW w:w="840" w:type="dxa"/>
            <w:vAlign w:val="bottom"/>
            <w:gridSpan w:val="8"/>
          </w:tcPr>
          <w:p>
            <w:pPr>
              <w:spacing w:after="0" w:line="162" w:lineRule="exact"/>
              <w:rPr>
                <w:rFonts w:ascii="Arial" w:cs="Arial" w:eastAsia="Arial" w:hAnsi="Arial"/>
                <w:sz w:val="18"/>
                <w:szCs w:val="18"/>
                <w:color w:val="0000EE"/>
              </w:rPr>
            </w:pPr>
            <w:hyperlink r:id="rId43">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4"/>
              </w:rPr>
              <w:t>Certificate of Designation, Series A Preferred Stock, filed with the Secretary of State of Delaware on December 2, 1997 (incorporated by</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w w:val="93"/>
              </w:rPr>
              <w:t>reference to Exhibit C of the Company’s Current Report on Form 8-K (SEC File No. 000-21121) filed with the SEC on February 18, 1999).</w:t>
            </w: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44">
              <w:r>
                <w:rPr>
                  <w:rFonts w:ascii="Arial" w:cs="Arial" w:eastAsia="Arial" w:hAnsi="Arial"/>
                  <w:sz w:val="18"/>
                  <w:szCs w:val="18"/>
                  <w:color w:val="0000EE"/>
                </w:rPr>
                <w:t>3.</w:t>
              </w:r>
              <w:r>
                <w:rPr>
                  <w:rFonts w:ascii="Arial" w:cs="Arial" w:eastAsia="Arial" w:hAnsi="Arial"/>
                  <w:sz w:val="18"/>
                  <w:szCs w:val="18"/>
                  <w:u w:val="single" w:color="auto"/>
                  <w:color w:val="0000EE"/>
                </w:rPr>
                <w:t>1(c)</w:t>
              </w:r>
            </w:hyperlink>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1"/>
              </w:rPr>
              <w:t>Certificate of Designation, Series B Preferred Stock, filed with the Secretary of State of Delaware on April 6, 2000 (incorporated by reference</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r>
      <w:tr>
        <w:trPr>
          <w:trHeight w:val="162"/>
        </w:trPr>
        <w:tc>
          <w:tcPr>
            <w:tcW w:w="320" w:type="dxa"/>
            <w:vAlign w:val="bottom"/>
            <w:gridSpan w:val="3"/>
          </w:tcPr>
          <w:p>
            <w:pPr>
              <w:spacing w:after="0" w:line="162" w:lineRule="exact"/>
              <w:rPr>
                <w:rFonts w:ascii="Arial" w:cs="Arial" w:eastAsia="Arial" w:hAnsi="Arial"/>
                <w:sz w:val="18"/>
                <w:szCs w:val="18"/>
                <w:color w:val="0000EE"/>
              </w:rPr>
            </w:pPr>
            <w:hyperlink r:id="rId4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4"/>
              </w:rPr>
              <w:t>Amended and Restated By-laws of the Company (incorporated by reference to Exhibit 3.1 of the Company’s Current Report on Form 8-K</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(SEC File No. 000-21121) filed with the SEC on August 2, 2019).</w:t>
            </w:r>
          </w:p>
        </w:tc>
      </w:tr>
      <w:tr>
        <w:trPr>
          <w:trHeight w:val="162"/>
        </w:trPr>
        <w:tc>
          <w:tcPr>
            <w:tcW w:w="320" w:type="dxa"/>
            <w:vAlign w:val="bottom"/>
            <w:gridSpan w:val="3"/>
            <w:shd w:val="clear" w:color="auto" w:fill="CCEEFF"/>
          </w:tcPr>
          <w:p>
            <w:pPr>
              <w:spacing w:after="0" w:line="162" w:lineRule="exact"/>
              <w:rPr>
                <w:rFonts w:ascii="Arial" w:cs="Arial" w:eastAsia="Arial" w:hAnsi="Arial"/>
                <w:sz w:val="18"/>
                <w:szCs w:val="18"/>
                <w:color w:val="0000EE"/>
              </w:rPr>
            </w:pPr>
            <w:hyperlink r:id="rId4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2"/>
              </w:rPr>
              <w:t>Specimen Common Stock Certificate (incorporated by reference to Exhibit 4.1 of the Company’s Registration Statement on Form S-1/A (No.</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333-06895) filed with the SEC on August 1, 1996).</w:t>
            </w:r>
          </w:p>
        </w:tc>
      </w:tr>
      <w:tr>
        <w:trPr>
          <w:trHeight w:val="162"/>
        </w:trPr>
        <w:tc>
          <w:tcPr>
            <w:tcW w:w="320" w:type="dxa"/>
            <w:vAlign w:val="bottom"/>
            <w:gridSpan w:val="3"/>
          </w:tcPr>
          <w:p>
            <w:pPr>
              <w:spacing w:after="0" w:line="162" w:lineRule="exact"/>
              <w:rPr>
                <w:rFonts w:ascii="Arial" w:cs="Arial" w:eastAsia="Arial" w:hAnsi="Arial"/>
                <w:sz w:val="18"/>
                <w:szCs w:val="18"/>
                <w:color w:val="0000EE"/>
              </w:rPr>
            </w:pPr>
            <w:hyperlink r:id="rId4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rPr>
              <w:t>Description of Securities (incorporated by reference to Exhibit 4.2 of the Company’s Annual Report on Form 10-K (SEC File No.</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000-21121) filed with the SEC on March 16, 2020).</w:t>
            </w: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(x)</w:t>
            </w: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5"/>
              </w:rPr>
              <w:t>2005 Equity Incentive Plan (incorporated by reference to Exhibit 99.1 of the Company’s Current Report on Form 8-K (SEC File No. 000-</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21121) filed with the SEC on June 1, 2005).</w:t>
            </w:r>
          </w:p>
        </w:tc>
      </w:tr>
      <w:tr>
        <w:trPr>
          <w:trHeight w:val="162"/>
        </w:trPr>
        <w:tc>
          <w:tcPr>
            <w:tcW w:w="840" w:type="dxa"/>
            <w:vAlign w:val="bottom"/>
            <w:gridSpan w:val="8"/>
          </w:tcPr>
          <w:p>
            <w:pPr>
              <w:spacing w:after="0" w:line="162"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(x)</w:t>
            </w: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4"/>
              </w:rPr>
              <w:t>TransAct Technologies Incorporated 2014 Equity Incentive Plan, as Amended and Restated (incorporated by reference to Exhibit I to the</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Definitive Proxy Statement on Schedule 14A filed with the Commission on April 23, 2020, File No. 000-21121).</w:t>
            </w: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(x)</w:t>
            </w: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6"/>
              </w:rPr>
              <w:t>2014 Equity Incentive Plan Time-based Restricted Stock Unit Agreement (incorporated by reference to Exhibit 10.2 of the Company’s</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Quarterly Report on Form 10-Q (SEC File No. 000-21121) filed with the SEC on May 6, 2016).</w:t>
            </w:r>
          </w:p>
        </w:tc>
      </w:tr>
      <w:tr>
        <w:trPr>
          <w:trHeight w:val="162"/>
        </w:trPr>
        <w:tc>
          <w:tcPr>
            <w:tcW w:w="840" w:type="dxa"/>
            <w:vAlign w:val="bottom"/>
            <w:gridSpan w:val="8"/>
          </w:tcPr>
          <w:p>
            <w:pPr>
              <w:spacing w:after="0" w:line="162"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(x)</w:t>
            </w: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1"/>
              </w:rPr>
              <w:t>2014 Equity Incentive Plan Performance-based Restricted Stock Unit Agreement (incorporated by reference to Exhibit 10.1 of the Company’s</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Quarterly Report on Form 10-Q (SEC File No. 000-211121) filed with the SEC on August 8, 2016).</w:t>
            </w:r>
          </w:p>
        </w:tc>
      </w:tr>
      <w:tr>
        <w:trPr>
          <w:trHeight w:val="162"/>
        </w:trPr>
        <w:tc>
          <w:tcPr>
            <w:tcW w:w="840" w:type="dxa"/>
            <w:vAlign w:val="bottom"/>
            <w:gridSpan w:val="8"/>
            <w:shd w:val="clear" w:color="auto" w:fill="CCEEFF"/>
          </w:tcPr>
          <w:p>
            <w:pPr>
              <w:ind w:left="40"/>
              <w:spacing w:after="0" w:line="142" w:lineRule="exact"/>
              <w:rPr>
                <w:rFonts w:ascii="Arial" w:cs="Arial" w:eastAsia="Arial" w:hAnsi="Arial"/>
                <w:sz w:val="16"/>
                <w:szCs w:val="16"/>
                <w:color w:val="0000EE"/>
              </w:rPr>
            </w:pPr>
            <w:hyperlink r:id="rId52">
              <w:r>
                <w:rPr>
                  <w:rFonts w:ascii="Arial" w:cs="Arial" w:eastAsia="Arial" w:hAnsi="Arial"/>
                  <w:sz w:val="16"/>
                  <w:szCs w:val="16"/>
                  <w:color w:val="0000EE"/>
                </w:rPr>
                <w:t>10.</w:t>
              </w:r>
              <w:r>
                <w:rPr>
                  <w:rFonts w:ascii="Arial" w:cs="Arial" w:eastAsia="Arial" w:hAnsi="Arial"/>
                  <w:sz w:val="16"/>
                  <w:szCs w:val="16"/>
                  <w:u w:val="single" w:color="auto"/>
                  <w:color w:val="0000EE"/>
                </w:rPr>
                <w:t>5</w:t>
              </w:r>
            </w:hyperlink>
            <w:r>
              <w:rPr>
                <w:rFonts w:ascii="Arial" w:cs="Arial" w:eastAsia="Arial" w:hAnsi="Arial"/>
                <w:sz w:val="16"/>
                <w:szCs w:val="16"/>
                <w:color w:val="000000"/>
              </w:rPr>
              <w:t>(x)</w:t>
            </w:r>
          </w:p>
        </w:tc>
        <w:tc>
          <w:tcPr>
            <w:tcW w:w="104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2014 Equity Incentive Plan Nonstatutory Stock Option Agreement (incorproated by reference to Exhibit 10.2 of the Company's current Report</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on Form 8-K (SEC File No. 000-21121) filed with the SEC on May 19, 2014)</w:t>
            </w:r>
            <w:r>
              <w:rPr>
                <w:rFonts w:ascii="Arial" w:cs="Arial" w:eastAsia="Arial" w:hAnsi="Arial"/>
                <w:sz w:val="16"/>
                <w:szCs w:val="16"/>
                <w:color w:val="auto"/>
              </w:rPr>
              <w:t>.</w:t>
            </w:r>
          </w:p>
        </w:tc>
      </w:tr>
      <w:tr>
        <w:trPr>
          <w:trHeight w:val="162"/>
        </w:trPr>
        <w:tc>
          <w:tcPr>
            <w:tcW w:w="840" w:type="dxa"/>
            <w:vAlign w:val="bottom"/>
            <w:gridSpan w:val="8"/>
          </w:tcPr>
          <w:p>
            <w:pPr>
              <w:spacing w:after="0" w:line="162"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(x)</w:t>
            </w: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1"/>
              </w:rPr>
              <w:t>Employment Agreement, dated July 31, 1996, by and between TransAct and Bart C. Shuldman (incorporated by reference to Exhibit 10.20 of</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the Company’s Registration Statement on Form S-1/A (No. 333-06895) filed with the SEC on August 1, 1996).</w:t>
            </w: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(x)</w:t>
            </w: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2"/>
              </w:rPr>
              <w:t>Severance Agreement by and between TransAct and Steven A. DeMartino, dated June 1, 2004 (incorporated by reference to Exhibit 10.8 of</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the Company’s Annual Report on Form 10-K (SEC File No. 000-21121) filed with the SEC on March 16, 2005).</w:t>
            </w:r>
          </w:p>
        </w:tc>
      </w:tr>
      <w:tr>
        <w:trPr>
          <w:trHeight w:val="162"/>
        </w:trPr>
        <w:tc>
          <w:tcPr>
            <w:tcW w:w="840" w:type="dxa"/>
            <w:vAlign w:val="bottom"/>
            <w:gridSpan w:val="8"/>
          </w:tcPr>
          <w:p>
            <w:pPr>
              <w:spacing w:after="0" w:line="162"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(x)</w:t>
            </w: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7"/>
              </w:rPr>
              <w:t>Amendment to Employment Agreement, effective January 1, 2008, by and between TransAct and Bart C. Shuldman (incorporated by</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16, 2009).</w:t>
            </w:r>
          </w:p>
        </w:tc>
      </w:tr>
      <w:tr>
        <w:trPr>
          <w:trHeight w:val="162"/>
        </w:trPr>
        <w:tc>
          <w:tcPr>
            <w:tcW w:w="840" w:type="dxa"/>
            <w:vAlign w:val="bottom"/>
            <w:gridSpan w:val="8"/>
            <w:shd w:val="clear" w:color="auto" w:fill="CCEEFF"/>
          </w:tcPr>
          <w:p>
            <w:pPr>
              <w:spacing w:after="0" w:line="162" w:lineRule="exact"/>
              <w:rPr>
                <w:rFonts w:ascii="Arial" w:cs="Arial" w:eastAsia="Arial" w:hAnsi="Arial"/>
                <w:sz w:val="18"/>
                <w:szCs w:val="18"/>
                <w:color w:val="0000EE"/>
              </w:rPr>
            </w:pPr>
            <w:hyperlink r:id="rId5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(x)</w:t>
            </w: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96"/>
              </w:rPr>
              <w:t>Amendment to Severance Agreement by and between TransAct and Steven A. DeMartino, effective January 1, 2008 (incorporated by</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w w:val="92"/>
              </w:rPr>
              <w:t>reference to Exhibit 10.12 of the Company’s Annual Report on Form 10-K (SEC File No. 000-21121) filed with the SEC on March 16, 2009).</w:t>
            </w:r>
          </w:p>
        </w:tc>
      </w:tr>
      <w:tr>
        <w:trPr>
          <w:trHeight w:val="175"/>
        </w:trPr>
        <w:tc>
          <w:tcPr>
            <w:tcW w:w="840" w:type="dxa"/>
            <w:vAlign w:val="bottom"/>
            <w:gridSpan w:val="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(x)‡</w:t>
            </w:r>
          </w:p>
        </w:tc>
        <w:tc>
          <w:tcPr>
            <w:tcW w:w="10400" w:type="dxa"/>
            <w:vAlign w:val="bottom"/>
          </w:tcPr>
          <w:p>
            <w:pPr>
              <w:ind w:left="120"/>
              <w:spacing w:after="0" w:line="176" w:lineRule="exact"/>
              <w:rPr>
                <w:sz w:val="20"/>
                <w:szCs w:val="20"/>
                <w:color w:val="auto"/>
              </w:rPr>
            </w:pPr>
            <w:r>
              <w:rPr>
                <w:rFonts w:ascii="Arial" w:cs="Arial" w:eastAsia="Arial" w:hAnsi="Arial"/>
                <w:sz w:val="18"/>
                <w:szCs w:val="18"/>
                <w:color w:val="auto"/>
              </w:rPr>
              <w:t>Severance Agreement by and between TransAct and Andrew J. Hoffman (as amended), effective December 23, 2008.</w:t>
            </w: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175"/>
        </w:trPr>
        <w:tc>
          <w:tcPr>
            <w:tcW w:w="840" w:type="dxa"/>
            <w:vAlign w:val="bottom"/>
            <w:gridSpan w:val="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6"/>
                <w:szCs w:val="16"/>
                <w:color w:val="000000"/>
              </w:rPr>
              <w:t>(x)‡</w:t>
            </w:r>
          </w:p>
        </w:tc>
        <w:tc>
          <w:tcPr>
            <w:tcW w:w="104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Second Amendment to Severance Agreement by and between TransAct and Steven A. DeMartino, effective April 29, 2021</w:t>
            </w:r>
          </w:p>
        </w:tc>
      </w:tr>
      <w:tr>
        <w:trPr>
          <w:trHeight w:val="21"/>
        </w:trPr>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4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440" w:type="dxa"/>
            <w:vAlign w:val="bottom"/>
            <w:gridSpan w:val="7"/>
          </w:tcPr>
          <w:p>
            <w:pPr>
              <w:spacing w:after="0" w:line="162"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400" w:type="dxa"/>
            <w:vAlign w:val="bottom"/>
          </w:tcPr>
          <w:p>
            <w:pPr>
              <w:spacing w:after="0"/>
              <w:rPr>
                <w:sz w:val="14"/>
                <w:szCs w:val="14"/>
                <w:color w:val="auto"/>
              </w:rPr>
            </w:pPr>
          </w:p>
        </w:tc>
        <w:tc>
          <w:tcPr>
            <w:tcW w:w="10400" w:type="dxa"/>
            <w:vAlign w:val="bottom"/>
          </w:tcPr>
          <w:p>
            <w:pPr>
              <w:ind w:left="120"/>
              <w:spacing w:after="0" w:line="162" w:lineRule="exact"/>
              <w:rPr>
                <w:sz w:val="20"/>
                <w:szCs w:val="20"/>
                <w:color w:val="auto"/>
              </w:rPr>
            </w:pPr>
            <w:r>
              <w:rPr>
                <w:rFonts w:ascii="Arial" w:cs="Arial" w:eastAsia="Arial" w:hAnsi="Arial"/>
                <w:sz w:val="18"/>
                <w:szCs w:val="18"/>
                <w:color w:val="auto"/>
                <w:w w:val="90"/>
              </w:rPr>
              <w:t>Lease Agreement by and between Bomax Properties and Ithaca, dated as of March 23, 1992 (incorporated by reference to Exhibit 10.14 of the</w:t>
            </w:r>
          </w:p>
        </w:tc>
      </w:tr>
      <w:tr>
        <w:trPr>
          <w:trHeight w:val="169"/>
        </w:trPr>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0" w:type="dxa"/>
            <w:vAlign w:val="bottom"/>
          </w:tcPr>
          <w:p>
            <w:pPr>
              <w:ind w:left="120"/>
              <w:spacing w:after="0" w:line="169" w:lineRule="exact"/>
              <w:rPr>
                <w:sz w:val="20"/>
                <w:szCs w:val="20"/>
                <w:color w:val="auto"/>
              </w:rPr>
            </w:pPr>
            <w:r>
              <w:rPr>
                <w:rFonts w:ascii="Arial" w:cs="Arial" w:eastAsia="Arial" w:hAnsi="Arial"/>
                <w:sz w:val="18"/>
                <w:szCs w:val="18"/>
                <w:color w:val="auto"/>
              </w:rPr>
              <w:t>Company’s Registration Statement on Form S-1 (No. 333-06895) filed with the SEC on June 26, 1996).</w:t>
            </w:r>
          </w:p>
        </w:tc>
      </w:tr>
      <w:tr>
        <w:trPr>
          <w:trHeight w:val="162"/>
        </w:trPr>
        <w:tc>
          <w:tcPr>
            <w:tcW w:w="440" w:type="dxa"/>
            <w:vAlign w:val="bottom"/>
            <w:gridSpan w:val="7"/>
            <w:shd w:val="clear" w:color="auto" w:fill="CCEEFF"/>
          </w:tcPr>
          <w:p>
            <w:pPr>
              <w:spacing w:after="0" w:line="162"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400" w:type="dxa"/>
            <w:vAlign w:val="bottom"/>
            <w:shd w:val="clear" w:color="auto" w:fill="CCEEFF"/>
          </w:tcPr>
          <w:p>
            <w:pPr>
              <w:spacing w:after="0"/>
              <w:rPr>
                <w:sz w:val="14"/>
                <w:szCs w:val="14"/>
                <w:color w:val="auto"/>
              </w:rPr>
            </w:pPr>
          </w:p>
        </w:tc>
        <w:tc>
          <w:tcPr>
            <w:tcW w:w="104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w w:val="89"/>
              </w:rPr>
              <w:t>Second Amendment to Lease Agreement by and between Bomax Properties and Ithaca, dated December 2, 1996 (incorporated by reference to</w:t>
            </w:r>
          </w:p>
        </w:tc>
      </w:tr>
      <w:tr>
        <w:trPr>
          <w:trHeight w:val="169"/>
        </w:trPr>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40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tc>
      </w:tr>
      <w:tr>
        <w:trPr>
          <w:trHeight w:val="365"/>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Arial" w:cs="Arial" w:eastAsia="Arial" w:hAnsi="Arial"/>
                <w:sz w:val="18"/>
                <w:szCs w:val="18"/>
                <w:color w:val="auto"/>
              </w:rPr>
              <w:t>33</w:t>
            </w:r>
          </w:p>
        </w:tc>
      </w:tr>
      <w:tr>
        <w:trPr>
          <w:trHeight w:val="34"/>
        </w:trPr>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283" w:right="339" w:bottom="1440" w:gutter="0" w:footer="0" w:header="0"/>
        </w:sectPr>
      </w:pPr>
    </w:p>
    <w:bookmarkStart w:id="35" w:name="page36"/>
    <w:bookmarkEnd w:id="35"/>
    <w:p>
      <w:pPr>
        <w:jc w:val="both"/>
        <w:ind w:left="960" w:hanging="944"/>
        <w:spacing w:after="0" w:line="209" w:lineRule="auto"/>
        <w:tabs>
          <w:tab w:leader="none" w:pos="94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10.14</w:t>
        </w:r>
      </w:hyperlink>
      <w:r>
        <w:rPr>
          <w:rFonts w:ascii="Arial" w:cs="Arial" w:eastAsia="Arial" w:hAnsi="Arial"/>
          <w:sz w:val="18"/>
          <w:szCs w:val="18"/>
          <w:color w:val="0000EE"/>
        </w:rPr>
        <w:tab/>
        <w:t>Agreement regarding the Continuation and Renewal of Lease by and between Bomax Properties, LLC and TransAct, dated July 18, 2001 (incorporated by reference to Exhibit 10.8 of the Company’s Annual Report on Form 10-K (SEC File No. 000-21121) filed with the SEC on March 29,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jc w:val="both"/>
        <w:ind w:left="960" w:hanging="944"/>
        <w:spacing w:after="0" w:line="203" w:lineRule="auto"/>
        <w:tabs>
          <w:tab w:leader="none" w:pos="940" w:val="left"/>
        </w:tabs>
        <w:rPr>
          <w:rFonts w:ascii="Arial" w:cs="Arial" w:eastAsia="Arial" w:hAnsi="Arial"/>
          <w:sz w:val="18"/>
          <w:szCs w:val="18"/>
          <w:color w:val="0000EE"/>
        </w:rPr>
      </w:pPr>
      <w:hyperlink r:id="rId60">
        <w:r>
          <w:rPr>
            <w:rFonts w:ascii="Arial" w:cs="Arial" w:eastAsia="Arial" w:hAnsi="Arial"/>
            <w:sz w:val="18"/>
            <w:szCs w:val="18"/>
            <w:u w:val="single" w:color="auto"/>
            <w:color w:val="0000EE"/>
          </w:rPr>
          <w:t>10.15</w:t>
        </w:r>
      </w:hyperlink>
      <w:r>
        <w:rPr>
          <w:rFonts w:ascii="Arial" w:cs="Arial" w:eastAsia="Arial" w:hAnsi="Arial"/>
          <w:sz w:val="18"/>
          <w:szCs w:val="18"/>
          <w:color w:val="0000EE"/>
        </w:rPr>
        <w:tab/>
        <w:t>Amendment No. 1 to Lease Agreement between Bomax Properties, LLC and TransAct (incorporated by reference to Exhibit 10.16 of the Company’s Quarterly Report on Form 10-Q (SEC File No. 000-21121) filed with the SEC on May 10, 2012).</w:t>
      </w:r>
    </w:p>
    <w:p>
      <w:pPr>
        <w:spacing w:after="0" w:line="230" w:lineRule="auto"/>
        <w:tabs>
          <w:tab w:leader="none" w:pos="940" w:val="left"/>
        </w:tabs>
        <w:rPr>
          <w:rFonts w:ascii="Arial" w:cs="Arial" w:eastAsia="Arial" w:hAnsi="Arial"/>
          <w:sz w:val="18"/>
          <w:szCs w:val="18"/>
          <w:color w:val="0000EE"/>
        </w:rPr>
      </w:pPr>
      <w:hyperlink r:id="rId61">
        <w:r>
          <w:rPr>
            <w:rFonts w:ascii="Arial" w:cs="Arial" w:eastAsia="Arial" w:hAnsi="Arial"/>
            <w:sz w:val="18"/>
            <w:szCs w:val="18"/>
            <w:u w:val="single" w:color="auto"/>
            <w:color w:val="0000EE"/>
          </w:rPr>
          <w:t>10.16</w:t>
        </w:r>
      </w:hyperlink>
      <w:r>
        <w:rPr>
          <w:rFonts w:ascii="Arial" w:cs="Arial" w:eastAsia="Arial" w:hAnsi="Arial"/>
          <w:sz w:val="18"/>
          <w:szCs w:val="18"/>
          <w:color w:val="0000EE"/>
        </w:rPr>
        <w:tab/>
      </w:r>
      <w:r>
        <w:rPr>
          <w:rFonts w:ascii="Arial" w:cs="Arial" w:eastAsia="Arial" w:hAnsi="Arial"/>
          <w:sz w:val="16"/>
          <w:szCs w:val="16"/>
          <w:color w:val="0000EE"/>
        </w:rPr>
        <w:t>Amendment No. 2 to Lease Agreement between Bomax Properties, LLC and TransAct, dated January 14, 2016 (incorporated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jc w:val="center"/>
        <w:spacing w:after="0" w:line="203" w:lineRule="auto"/>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p>
      <w:pPr>
        <w:jc w:val="both"/>
        <w:ind w:left="960" w:hanging="944"/>
        <w:spacing w:after="0" w:line="215" w:lineRule="auto"/>
        <w:tabs>
          <w:tab w:leader="none" w:pos="940" w:val="left"/>
        </w:tabs>
        <w:rPr>
          <w:rFonts w:ascii="Arial" w:cs="Arial" w:eastAsia="Arial" w:hAnsi="Arial"/>
          <w:sz w:val="18"/>
          <w:szCs w:val="18"/>
          <w:color w:val="0000EE"/>
        </w:rPr>
      </w:pPr>
      <w:hyperlink r:id="rId63">
        <w:r>
          <w:rPr>
            <w:rFonts w:ascii="Arial" w:cs="Arial" w:eastAsia="Arial" w:hAnsi="Arial"/>
            <w:sz w:val="18"/>
            <w:szCs w:val="18"/>
            <w:u w:val="single" w:color="auto"/>
            <w:color w:val="0000EE"/>
          </w:rPr>
          <w:t>10.17</w:t>
        </w:r>
      </w:hyperlink>
      <w:r>
        <w:rPr>
          <w:rFonts w:ascii="Arial" w:cs="Arial" w:eastAsia="Arial" w:hAnsi="Arial"/>
          <w:sz w:val="18"/>
          <w:szCs w:val="18"/>
          <w:color w:val="0000EE"/>
        </w:rPr>
        <w:tab/>
      </w:r>
      <w:r>
        <w:rPr>
          <w:rFonts w:ascii="Arial" w:cs="Arial" w:eastAsia="Arial" w:hAnsi="Arial"/>
          <w:sz w:val="17"/>
          <w:szCs w:val="17"/>
          <w:color w:val="0000EE"/>
        </w:rPr>
        <w:t>Amendment No. 3 to Lease Agreement between Bomax Properties, LLC and TransAct, dated February 28, 2020 (incorporated by reference to Exhibit 10.1 to the Company’s Current Report on Form 8-K (SEC File No. 000-21121) filed with the SEC on March 4, 2020).</w:t>
      </w:r>
    </w:p>
    <w:p>
      <w:pPr>
        <w:spacing w:after="0" w:line="229" w:lineRule="auto"/>
        <w:tabs>
          <w:tab w:leader="none" w:pos="940" w:val="left"/>
        </w:tabs>
        <w:rPr>
          <w:rFonts w:ascii="Arial" w:cs="Arial" w:eastAsia="Arial" w:hAnsi="Arial"/>
          <w:sz w:val="18"/>
          <w:szCs w:val="18"/>
          <w:color w:val="0000EE"/>
        </w:rPr>
      </w:pPr>
      <w:hyperlink r:id="rId64">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6"/>
          <w:szCs w:val="16"/>
          <w:color w:val="0000EE"/>
        </w:rPr>
        <w:t>Lease Agreement by and between Las Vegas Airport Properties LLC and TransAct dated December 2, 2004 (incorporated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jc w:val="center"/>
        <w:spacing w:after="0" w:line="203" w:lineRule="auto"/>
        <w:rPr>
          <w:sz w:val="20"/>
          <w:szCs w:val="20"/>
          <w:color w:val="auto"/>
        </w:rPr>
      </w:pPr>
      <w:r>
        <w:rPr>
          <w:rFonts w:ascii="Arial" w:cs="Arial" w:eastAsia="Arial" w:hAnsi="Arial"/>
          <w:sz w:val="18"/>
          <w:szCs w:val="18"/>
          <w:color w:val="auto"/>
        </w:rPr>
        <w:t>Exhibit 10.13 of the Company’s Annual Report on Form 10-K (SEC File No. 000-21121) filed with the SEC on March 16, 2005).</w:t>
      </w:r>
    </w:p>
    <w:p>
      <w:pPr>
        <w:spacing w:after="0" w:line="1" w:lineRule="exact"/>
        <w:rPr>
          <w:sz w:val="20"/>
          <w:szCs w:val="20"/>
          <w:color w:val="auto"/>
        </w:rPr>
      </w:pPr>
    </w:p>
    <w:p>
      <w:pPr>
        <w:jc w:val="both"/>
        <w:ind w:left="960" w:hanging="944"/>
        <w:spacing w:after="0" w:line="228" w:lineRule="auto"/>
        <w:tabs>
          <w:tab w:leader="none" w:pos="940" w:val="left"/>
        </w:tabs>
        <w:rPr>
          <w:rFonts w:ascii="Arial" w:cs="Arial" w:eastAsia="Arial" w:hAnsi="Arial"/>
          <w:sz w:val="18"/>
          <w:szCs w:val="18"/>
          <w:color w:val="0000EE"/>
        </w:rPr>
      </w:pPr>
      <w:hyperlink r:id="rId66">
        <w:r>
          <w:rPr>
            <w:rFonts w:ascii="Arial" w:cs="Arial" w:eastAsia="Arial" w:hAnsi="Arial"/>
            <w:sz w:val="18"/>
            <w:szCs w:val="18"/>
            <w:u w:val="single" w:color="auto"/>
            <w:color w:val="0000EE"/>
          </w:rPr>
          <w:t>10.19</w:t>
        </w:r>
      </w:hyperlink>
      <w:r>
        <w:rPr>
          <w:rFonts w:ascii="Arial" w:cs="Arial" w:eastAsia="Arial" w:hAnsi="Arial"/>
          <w:sz w:val="18"/>
          <w:szCs w:val="18"/>
          <w:color w:val="0000EE"/>
        </w:rPr>
        <w:tab/>
      </w:r>
      <w:r>
        <w:rPr>
          <w:rFonts w:ascii="Arial" w:cs="Arial" w:eastAsia="Arial" w:hAnsi="Arial"/>
          <w:sz w:val="16"/>
          <w:szCs w:val="16"/>
          <w:color w:val="0000EE"/>
        </w:rPr>
        <w:t>First Amendment to Lease Agreement by and between CIP Hughes Center LLC and TransAct dated August 24, 2009 (incorporated by reference to Exhibit 10.19 of the Company’s Annual Report on Form 10-K (SEC File No. 000-21121) filed with the SEC on March 16, 2010).</w:t>
      </w:r>
    </w:p>
    <w:p>
      <w:pPr>
        <w:spacing w:after="0" w:line="1" w:lineRule="exact"/>
        <w:rPr>
          <w:sz w:val="20"/>
          <w:szCs w:val="20"/>
          <w:color w:val="auto"/>
        </w:rPr>
      </w:pPr>
    </w:p>
    <w:p>
      <w:pPr>
        <w:jc w:val="both"/>
        <w:ind w:left="960" w:hanging="944"/>
        <w:spacing w:after="0" w:line="203" w:lineRule="auto"/>
        <w:tabs>
          <w:tab w:leader="none" w:pos="940" w:val="left"/>
        </w:tabs>
        <w:rPr>
          <w:rFonts w:ascii="Arial" w:cs="Arial" w:eastAsia="Arial" w:hAnsi="Arial"/>
          <w:sz w:val="18"/>
          <w:szCs w:val="18"/>
          <w:color w:val="0000EE"/>
        </w:rPr>
      </w:pPr>
      <w:hyperlink r:id="rId67">
        <w:r>
          <w:rPr>
            <w:rFonts w:ascii="Arial" w:cs="Arial" w:eastAsia="Arial" w:hAnsi="Arial"/>
            <w:sz w:val="18"/>
            <w:szCs w:val="18"/>
            <w:u w:val="single" w:color="auto"/>
            <w:color w:val="0000EE"/>
          </w:rPr>
          <w:t>10.20</w:t>
        </w:r>
      </w:hyperlink>
      <w:r>
        <w:rPr>
          <w:rFonts w:ascii="Arial" w:cs="Arial" w:eastAsia="Arial" w:hAnsi="Arial"/>
          <w:sz w:val="18"/>
          <w:szCs w:val="18"/>
          <w:color w:val="0000EE"/>
        </w:rPr>
        <w:tab/>
        <w:t>Second Amendment to Lease Agreement by and between The Realty Associates Fund IX LP and TransAct dated June 30, 2015 (incorporated by reference to Exhibit 10.2 of the Company’s Quarterly Report on Form 10-Q (SEC File No. 000-21121) filed with the SEC on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34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17" w:lineRule="auto"/>
        <w:tabs>
          <w:tab w:leader="none" w:pos="940" w:val="left"/>
        </w:tabs>
        <w:rPr>
          <w:rFonts w:ascii="Arial" w:cs="Arial" w:eastAsia="Arial" w:hAnsi="Arial"/>
          <w:sz w:val="18"/>
          <w:szCs w:val="18"/>
          <w:color w:val="0000EE"/>
        </w:rPr>
      </w:pPr>
      <w:hyperlink r:id="rId69">
        <w:r>
          <w:rPr>
            <w:rFonts w:ascii="Arial" w:cs="Arial" w:eastAsia="Arial" w:hAnsi="Arial"/>
            <w:sz w:val="18"/>
            <w:szCs w:val="18"/>
            <w:u w:val="single" w:color="auto"/>
            <w:color w:val="0000EE"/>
          </w:rPr>
          <w:t>10.21</w:t>
        </w:r>
      </w:hyperlink>
      <w:r>
        <w:rPr>
          <w:rFonts w:ascii="Arial" w:cs="Arial" w:eastAsia="Arial" w:hAnsi="Arial"/>
          <w:sz w:val="18"/>
          <w:szCs w:val="18"/>
          <w:color w:val="0000EE"/>
        </w:rPr>
        <w:tab/>
      </w:r>
      <w:r>
        <w:rPr>
          <w:rFonts w:ascii="Arial" w:cs="Arial" w:eastAsia="Arial" w:hAnsi="Arial"/>
          <w:sz w:val="17"/>
          <w:szCs w:val="17"/>
          <w:color w:val="0000EE"/>
        </w:rPr>
        <w:t>Lease Agreement by and between 2319 Hamden Center I, L.L.C. and TransAct dated November 27, 2006 (incorporated by reference to</w:t>
      </w:r>
    </w:p>
    <w:p>
      <w:pPr>
        <w:jc w:val="center"/>
        <w:spacing w:after="0" w:line="203" w:lineRule="auto"/>
        <w:rPr>
          <w:sz w:val="20"/>
          <w:szCs w:val="20"/>
          <w:color w:val="auto"/>
        </w:rPr>
      </w:pPr>
      <w:r>
        <w:rPr>
          <w:rFonts w:ascii="Arial" w:cs="Arial" w:eastAsia="Arial" w:hAnsi="Arial"/>
          <w:sz w:val="18"/>
          <w:szCs w:val="18"/>
          <w:color w:val="auto"/>
        </w:rPr>
        <w:t>Exhibit 10.14 of the Company’s Annual Report on Form 10-K (SEC File No. 000-21121) filed with the SEC on March 15, 2007).</w:t>
      </w:r>
    </w:p>
    <w:p>
      <w:pPr>
        <w:spacing w:after="0" w:line="229" w:lineRule="auto"/>
        <w:tabs>
          <w:tab w:leader="none" w:pos="940" w:val="left"/>
        </w:tabs>
        <w:rPr>
          <w:rFonts w:ascii="Arial" w:cs="Arial" w:eastAsia="Arial" w:hAnsi="Arial"/>
          <w:sz w:val="18"/>
          <w:szCs w:val="18"/>
          <w:color w:val="0000EE"/>
        </w:rPr>
      </w:pPr>
      <w:hyperlink r:id="rId70">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First Amendment to Lease by and between 2319 Hamden Center I, L.L.C. and TransAct dated January 3, 2017 (incorporated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jc w:val="center"/>
        <w:spacing w:after="0" w:line="203" w:lineRule="auto"/>
        <w:rPr>
          <w:sz w:val="20"/>
          <w:szCs w:val="20"/>
          <w:color w:val="auto"/>
        </w:rPr>
      </w:pPr>
      <w:r>
        <w:rPr>
          <w:rFonts w:ascii="Arial" w:cs="Arial" w:eastAsia="Arial" w:hAnsi="Arial"/>
          <w:sz w:val="18"/>
          <w:szCs w:val="18"/>
          <w:color w:val="auto"/>
        </w:rPr>
        <w:t>Exhibit 10.20 of the Company’s Annual Report on Form 10-K (SEC File No. 000-21121) filed with the SEC on March 16, 2017).</w:t>
      </w:r>
    </w:p>
    <w:p>
      <w:pPr>
        <w:jc w:val="both"/>
        <w:ind w:left="960" w:hanging="944"/>
        <w:spacing w:after="0" w:line="203" w:lineRule="auto"/>
        <w:tabs>
          <w:tab w:leader="none" w:pos="940" w:val="left"/>
        </w:tabs>
        <w:rPr>
          <w:rFonts w:ascii="Arial" w:cs="Arial" w:eastAsia="Arial" w:hAnsi="Arial"/>
          <w:sz w:val="18"/>
          <w:szCs w:val="18"/>
          <w:color w:val="0000EE"/>
        </w:rPr>
      </w:pPr>
      <w:hyperlink r:id="rId72">
        <w:r>
          <w:rPr>
            <w:rFonts w:ascii="Arial" w:cs="Arial" w:eastAsia="Arial" w:hAnsi="Arial"/>
            <w:sz w:val="18"/>
            <w:szCs w:val="18"/>
            <w:u w:val="single" w:color="auto"/>
            <w:color w:val="0000EE"/>
          </w:rPr>
          <w:t>10.23</w:t>
        </w:r>
      </w:hyperlink>
      <w:r>
        <w:rPr>
          <w:rFonts w:ascii="Arial" w:cs="Arial" w:eastAsia="Arial" w:hAnsi="Arial"/>
          <w:sz w:val="18"/>
          <w:szCs w:val="18"/>
          <w:color w:val="0000EE"/>
        </w:rPr>
        <w:tab/>
        <w:t>Second Amendment to Lease by and between 2319 Hamden Center I, L.L.C. and TransAct Technologies dated April 30, 2021 (incorporated by reference to Exhibit 10.1 of the Company’s Quarterly Report on Form 10-Q (SEC File No. 000-21121) filed with the SEC on May 13, 2021).</w:t>
      </w:r>
    </w:p>
    <w:p>
      <w:pPr>
        <w:spacing w:after="0" w:line="1" w:lineRule="exact"/>
        <w:rPr>
          <w:sz w:val="20"/>
          <w:szCs w:val="20"/>
          <w:color w:val="auto"/>
        </w:rPr>
      </w:pPr>
    </w:p>
    <w:p>
      <w:pPr>
        <w:jc w:val="both"/>
        <w:ind w:left="960" w:hanging="944"/>
        <w:spacing w:after="0" w:line="203" w:lineRule="auto"/>
        <w:tabs>
          <w:tab w:leader="none" w:pos="940" w:val="left"/>
        </w:tabs>
        <w:rPr>
          <w:rFonts w:ascii="Arial" w:cs="Arial" w:eastAsia="Arial" w:hAnsi="Arial"/>
          <w:sz w:val="18"/>
          <w:szCs w:val="18"/>
          <w:color w:val="0000EE"/>
        </w:rPr>
      </w:pPr>
      <w:hyperlink r:id="rId73">
        <w:r>
          <w:rPr>
            <w:rFonts w:ascii="Arial" w:cs="Arial" w:eastAsia="Arial" w:hAnsi="Arial"/>
            <w:sz w:val="18"/>
            <w:szCs w:val="18"/>
            <w:u w:val="single" w:color="auto"/>
            <w:color w:val="0000EE"/>
          </w:rPr>
          <w:t>10.24</w:t>
        </w:r>
      </w:hyperlink>
      <w:r>
        <w:rPr>
          <w:rFonts w:ascii="Arial" w:cs="Arial" w:eastAsia="Arial" w:hAnsi="Arial"/>
          <w:sz w:val="18"/>
          <w:szCs w:val="18"/>
          <w:color w:val="0000EE"/>
        </w:rPr>
        <w:tab/>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34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jc w:val="both"/>
        <w:ind w:left="960" w:hanging="944"/>
        <w:spacing w:after="0" w:line="203" w:lineRule="auto"/>
        <w:tabs>
          <w:tab w:leader="none" w:pos="940" w:val="left"/>
        </w:tabs>
        <w:rPr>
          <w:rFonts w:ascii="Arial" w:cs="Arial" w:eastAsia="Arial" w:hAnsi="Arial"/>
          <w:sz w:val="18"/>
          <w:szCs w:val="18"/>
          <w:color w:val="0000EE"/>
        </w:rPr>
      </w:pPr>
      <w:hyperlink r:id="rId75">
        <w:r>
          <w:rPr>
            <w:rFonts w:ascii="Arial" w:cs="Arial" w:eastAsia="Arial" w:hAnsi="Arial"/>
            <w:sz w:val="18"/>
            <w:szCs w:val="18"/>
            <w:u w:val="single" w:color="auto"/>
            <w:color w:val="0000EE"/>
          </w:rPr>
          <w:t>10.25</w:t>
        </w:r>
      </w:hyperlink>
      <w:r>
        <w:rPr>
          <w:rFonts w:ascii="Arial" w:cs="Arial" w:eastAsia="Arial" w:hAnsi="Arial"/>
          <w:sz w:val="18"/>
          <w:szCs w:val="18"/>
          <w:color w:val="0000EE"/>
        </w:rPr>
        <w:tab/>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p>
      <w:pPr>
        <w:spacing w:after="0" w:line="1" w:lineRule="exact"/>
        <w:rPr>
          <w:sz w:val="20"/>
          <w:szCs w:val="20"/>
          <w:color w:val="auto"/>
        </w:rPr>
      </w:pPr>
    </w:p>
    <w:p>
      <w:pPr>
        <w:jc w:val="both"/>
        <w:ind w:left="960" w:right="20" w:hanging="944"/>
        <w:spacing w:after="0" w:line="203" w:lineRule="auto"/>
        <w:tabs>
          <w:tab w:leader="none" w:pos="940" w:val="left"/>
        </w:tabs>
        <w:rPr>
          <w:rFonts w:ascii="Arial" w:cs="Arial" w:eastAsia="Arial" w:hAnsi="Arial"/>
          <w:sz w:val="18"/>
          <w:szCs w:val="18"/>
          <w:color w:val="0000EE"/>
        </w:rPr>
      </w:pPr>
      <w:hyperlink r:id="rId76">
        <w:r>
          <w:rPr>
            <w:rFonts w:ascii="Arial" w:cs="Arial" w:eastAsia="Arial" w:hAnsi="Arial"/>
            <w:sz w:val="18"/>
            <w:szCs w:val="18"/>
            <w:u w:val="single" w:color="auto"/>
            <w:color w:val="0000EE"/>
          </w:rPr>
          <w:t>10.26</w:t>
        </w:r>
      </w:hyperlink>
      <w:r>
        <w:rPr>
          <w:rFonts w:ascii="Arial" w:cs="Arial" w:eastAsia="Arial" w:hAnsi="Arial"/>
          <w:sz w:val="18"/>
          <w:szCs w:val="18"/>
          <w:color w:val="000000"/>
        </w:rPr>
        <w:t>†</w:t>
      </w:r>
      <w:r>
        <w:rPr>
          <w:rFonts w:ascii="Arial" w:cs="Arial" w:eastAsia="Arial" w:hAnsi="Arial"/>
          <w:sz w:val="18"/>
          <w:szCs w:val="18"/>
          <w:color w:val="0000EE"/>
        </w:rPr>
        <w:tab/>
        <w:t>Master License Agreement dated February 22, 2019 and amendments thereto (incorporated by reference to Exhibit 10.24 to the Company’s Annual Report on Form 10-K (SEC File No. 000-21121) filed with the SEC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960" w:right="520" w:hanging="944"/>
        <w:spacing w:after="0" w:line="203" w:lineRule="auto"/>
        <w:tabs>
          <w:tab w:leader="none" w:pos="940" w:val="left"/>
        </w:tabs>
        <w:rPr>
          <w:rFonts w:ascii="Arial" w:cs="Arial" w:eastAsia="Arial" w:hAnsi="Arial"/>
          <w:sz w:val="18"/>
          <w:szCs w:val="18"/>
          <w:color w:val="0000EE"/>
        </w:rPr>
      </w:pPr>
      <w:hyperlink r:id="rId78">
        <w:r>
          <w:rPr>
            <w:rFonts w:ascii="Arial" w:cs="Arial" w:eastAsia="Arial" w:hAnsi="Arial"/>
            <w:sz w:val="18"/>
            <w:szCs w:val="18"/>
            <w:u w:val="single" w:color="auto"/>
            <w:color w:val="0000EE"/>
          </w:rPr>
          <w:t>10.27</w:t>
        </w:r>
      </w:hyperlink>
      <w:r>
        <w:rPr>
          <w:rFonts w:ascii="Arial" w:cs="Arial" w:eastAsia="Arial" w:hAnsi="Arial"/>
          <w:sz w:val="18"/>
          <w:szCs w:val="18"/>
          <w:color w:val="000000"/>
        </w:rPr>
        <w:t>†</w:t>
      </w:r>
      <w:r>
        <w:rPr>
          <w:rFonts w:ascii="Arial" w:cs="Arial" w:eastAsia="Arial" w:hAnsi="Arial"/>
          <w:sz w:val="18"/>
          <w:szCs w:val="18"/>
          <w:color w:val="0000EE"/>
        </w:rPr>
        <w:tab/>
        <w:t>Master Development and License Agreement dated July 20, 2018 (incorporated by reference to Exhibit 10.25 to the Company’s Annual Report on Form 10-K (SEC File No. 000-21121) filed with the SEC on March 12, 2021).</w:t>
      </w:r>
    </w:p>
    <w:p>
      <w:pPr>
        <w:spacing w:after="0" w:line="1" w:lineRule="exact"/>
        <w:rPr>
          <w:sz w:val="20"/>
          <w:szCs w:val="20"/>
          <w:color w:val="auto"/>
        </w:rPr>
      </w:pPr>
    </w:p>
    <w:p>
      <w:pPr>
        <w:ind w:left="960" w:right="360" w:hanging="952"/>
        <w:spacing w:after="0" w:line="203" w:lineRule="auto"/>
        <w:tabs>
          <w:tab w:leader="none" w:pos="96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Subsidiaries of the Company(incorporated by reference to Exhibit 21 to the Company’s Annual Report on Form 10-K (SEC File No. 000-21121) filed with the SEC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20" w:type="dxa"/>
            <w:vAlign w:val="bottom"/>
            <w:gridSpan w:val="3"/>
          </w:tcPr>
          <w:p>
            <w:pPr>
              <w:spacing w:after="0" w:line="175" w:lineRule="exact"/>
              <w:rPr>
                <w:rFonts w:ascii="Arial" w:cs="Arial" w:eastAsia="Arial" w:hAnsi="Arial"/>
                <w:sz w:val="18"/>
                <w:szCs w:val="18"/>
                <w:color w:val="0000EE"/>
              </w:rPr>
            </w:pPr>
            <w:hyperlink w:anchor="page73">
              <w:r>
                <w:rPr>
                  <w:rFonts w:ascii="Arial" w:cs="Arial" w:eastAsia="Arial" w:hAnsi="Arial"/>
                  <w:sz w:val="18"/>
                  <w:szCs w:val="18"/>
                  <w:color w:val="0000EE"/>
                </w:rPr>
                <w:t>23.</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20" w:type="dxa"/>
            <w:vAlign w:val="bottom"/>
          </w:tcPr>
          <w:p>
            <w:pPr>
              <w:ind w:left="140"/>
              <w:spacing w:after="0" w:line="175" w:lineRule="exact"/>
              <w:rPr>
                <w:sz w:val="20"/>
                <w:szCs w:val="20"/>
                <w:color w:val="auto"/>
              </w:rPr>
            </w:pPr>
            <w:r>
              <w:rPr>
                <w:rFonts w:ascii="Arial" w:cs="Arial" w:eastAsia="Arial" w:hAnsi="Arial"/>
                <w:sz w:val="18"/>
                <w:szCs w:val="18"/>
                <w:color w:val="auto"/>
              </w:rPr>
              <w:t>Consent of Marcum LLP</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r>
      <w:tr>
        <w:trPr>
          <w:trHeight w:val="155"/>
        </w:trPr>
        <w:tc>
          <w:tcPr>
            <w:tcW w:w="820" w:type="dxa"/>
            <w:vAlign w:val="bottom"/>
            <w:gridSpan w:val="3"/>
            <w:shd w:val="clear" w:color="auto" w:fill="CCEEFF"/>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2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20" w:type="dxa"/>
            <w:vAlign w:val="bottom"/>
            <w:shd w:val="clear" w:color="auto" w:fill="CCEEFF"/>
          </w:tcPr>
          <w:p>
            <w:pPr>
              <w:spacing w:after="0" w:line="20" w:lineRule="exact"/>
              <w:rPr>
                <w:sz w:val="1"/>
                <w:szCs w:val="1"/>
                <w:color w:val="auto"/>
              </w:rPr>
            </w:pPr>
          </w:p>
        </w:tc>
      </w:tr>
      <w:tr>
        <w:trPr>
          <w:trHeight w:val="155"/>
        </w:trPr>
        <w:tc>
          <w:tcPr>
            <w:tcW w:w="820" w:type="dxa"/>
            <w:vAlign w:val="bottom"/>
            <w:gridSpan w:val="3"/>
          </w:tcPr>
          <w:p>
            <w:pPr>
              <w:spacing w:after="0" w:line="156" w:lineRule="exact"/>
              <w:rPr>
                <w:rFonts w:ascii="Arial" w:cs="Arial" w:eastAsia="Arial" w:hAnsi="Arial"/>
                <w:sz w:val="18"/>
                <w:szCs w:val="18"/>
                <w:color w:val="0000EE"/>
              </w:rPr>
            </w:pPr>
            <w:hyperlink w:anchor="page7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420" w:type="dxa"/>
            <w:vAlign w:val="bottom"/>
          </w:tcPr>
          <w:p>
            <w:pPr>
              <w:ind w:left="140"/>
              <w:spacing w:after="0" w:line="15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156"/>
        </w:trPr>
        <w:tc>
          <w:tcPr>
            <w:tcW w:w="320" w:type="dxa"/>
            <w:vAlign w:val="bottom"/>
            <w:tcBorders>
              <w:top w:val="single" w:sz="8" w:color="0000EE"/>
            </w:tcBorders>
            <w:gridSpan w:val="2"/>
            <w:shd w:val="clear" w:color="auto" w:fill="CCEEFF"/>
          </w:tcPr>
          <w:p>
            <w:pPr>
              <w:spacing w:after="0" w:line="156"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32</w:t>
              </w:r>
            </w:hyperlink>
            <w:r>
              <w:rPr>
                <w:rFonts w:ascii="Arial" w:cs="Arial" w:eastAsia="Arial" w:hAnsi="Arial"/>
                <w:sz w:val="18"/>
                <w:szCs w:val="18"/>
                <w:color w:val="000000"/>
                <w:w w:val="99"/>
              </w:rPr>
              <w:t>‡</w:t>
            </w:r>
          </w:p>
        </w:tc>
        <w:tc>
          <w:tcPr>
            <w:tcW w:w="500" w:type="dxa"/>
            <w:vAlign w:val="bottom"/>
            <w:shd w:val="clear" w:color="auto" w:fill="CCEEFF"/>
          </w:tcPr>
          <w:p>
            <w:pPr>
              <w:spacing w:after="0"/>
              <w:rPr>
                <w:sz w:val="13"/>
                <w:szCs w:val="13"/>
                <w:color w:val="auto"/>
              </w:rPr>
            </w:pPr>
          </w:p>
        </w:tc>
        <w:tc>
          <w:tcPr>
            <w:tcW w:w="1042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 of</w:t>
            </w:r>
          </w:p>
        </w:tc>
      </w:tr>
      <w:tr>
        <w:trPr>
          <w:trHeight w:val="169"/>
        </w:trPr>
        <w:tc>
          <w:tcPr>
            <w:tcW w:w="1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0420" w:type="dxa"/>
            <w:vAlign w:val="bottom"/>
            <w:tcBorders>
              <w:top w:val="single" w:sz="8" w:color="CCEEFF"/>
            </w:tcBorders>
            <w:shd w:val="clear" w:color="auto" w:fill="CCEEFF"/>
          </w:tcPr>
          <w:p>
            <w:pPr>
              <w:ind w:left="140"/>
              <w:spacing w:after="0" w:line="169" w:lineRule="exact"/>
              <w:rPr>
                <w:sz w:val="20"/>
                <w:szCs w:val="20"/>
                <w:color w:val="auto"/>
              </w:rPr>
            </w:pPr>
            <w:r>
              <w:rPr>
                <w:rFonts w:ascii="Arial" w:cs="Arial" w:eastAsia="Arial" w:hAnsi="Arial"/>
                <w:sz w:val="18"/>
                <w:szCs w:val="18"/>
                <w:color w:val="auto"/>
              </w:rPr>
              <w:t>the Sarbanes-Oxley Act of 2002.</w:t>
            </w:r>
          </w:p>
        </w:tc>
      </w:tr>
      <w:tr>
        <w:trPr>
          <w:trHeight w:val="148"/>
        </w:trPr>
        <w:tc>
          <w:tcPr>
            <w:tcW w:w="820" w:type="dxa"/>
            <w:vAlign w:val="bottom"/>
            <w:gridSpan w:val="3"/>
          </w:tcPr>
          <w:p>
            <w:pPr>
              <w:spacing w:after="0" w:line="149" w:lineRule="exact"/>
              <w:rPr>
                <w:sz w:val="20"/>
                <w:szCs w:val="20"/>
                <w:color w:val="auto"/>
              </w:rPr>
            </w:pPr>
            <w:r>
              <w:rPr>
                <w:rFonts w:ascii="Arial" w:cs="Arial" w:eastAsia="Arial" w:hAnsi="Arial"/>
                <w:sz w:val="17"/>
                <w:szCs w:val="17"/>
                <w:color w:val="auto"/>
              </w:rPr>
              <w:t>101.INS</w:t>
            </w:r>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w w:val="98"/>
              </w:rPr>
              <w:t>Inline XBRL Instance Document (the instance document does not appear in the Interactive Data File because its XBRL tags are embedded</w:t>
            </w:r>
          </w:p>
        </w:tc>
      </w:tr>
      <w:tr>
        <w:trPr>
          <w:trHeight w:val="203"/>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within the Inline XBRL document).</w:t>
            </w:r>
          </w:p>
        </w:tc>
      </w:tr>
      <w:tr>
        <w:trPr>
          <w:trHeight w:val="176"/>
        </w:trPr>
        <w:tc>
          <w:tcPr>
            <w:tcW w:w="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101.SCH</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Schema Document.</w:t>
            </w:r>
          </w:p>
        </w:tc>
      </w:tr>
      <w:tr>
        <w:trPr>
          <w:trHeight w:val="175"/>
        </w:trPr>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101.CAL</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75"/>
        </w:trPr>
        <w:tc>
          <w:tcPr>
            <w:tcW w:w="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101.DEF</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75"/>
        </w:trPr>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101.LAB</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Inline XBRL Taxonomy Extension Label Linkbase Document.</w:t>
            </w:r>
          </w:p>
        </w:tc>
      </w:tr>
      <w:tr>
        <w:trPr>
          <w:trHeight w:val="175"/>
        </w:trPr>
        <w:tc>
          <w:tcPr>
            <w:tcW w:w="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50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6" w:lineRule="exact"/>
        <w:rPr>
          <w:sz w:val="20"/>
          <w:szCs w:val="20"/>
          <w:color w:val="auto"/>
        </w:rPr>
      </w:pPr>
    </w:p>
    <w:p>
      <w:pPr>
        <w:ind w:right="6480" w:firstLine="8"/>
        <w:spacing w:after="0" w:line="258" w:lineRule="auto"/>
        <w:tabs>
          <w:tab w:leader="none" w:pos="32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 These exhibits are filed herewith.</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Certain portions of this exhibit (indicated by “[***]”) have been omitted pursuant to Item (601)(b)(10) of Regulation S-K.</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Furnished herewith.</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Exhibits.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Exhibits required by Item 601 of Regulation S-K under the Exchange Act are included in the Exhibit Index above under a(3) of this Item 15.</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this Form 10-K.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9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9"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TRANSACT TECHNOLOGIES INCORPORATED</w:t>
      </w:r>
    </w:p>
    <w:p>
      <w:pPr>
        <w:spacing w:after="0" w:line="198" w:lineRule="exact"/>
        <w:rPr>
          <w:sz w:val="20"/>
          <w:szCs w:val="20"/>
          <w:color w:val="auto"/>
        </w:rPr>
      </w:pPr>
    </w:p>
    <w:tbl>
      <w:tblPr>
        <w:tblLayout w:type="fixed"/>
        <w:tblInd w:w="45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Bart C. Shuldman</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8"/>
                <w:szCs w:val="18"/>
                <w:color w:val="auto"/>
              </w:rPr>
              <w:t>Name:</w:t>
            </w:r>
          </w:p>
        </w:tc>
        <w:tc>
          <w:tcPr>
            <w:tcW w:w="616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19"/>
                <w:szCs w:val="19"/>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820" w:type="dxa"/>
            <w:vAlign w:val="bottom"/>
          </w:tcPr>
          <w:p>
            <w:pPr>
              <w:spacing w:after="0"/>
              <w:rPr>
                <w:sz w:val="19"/>
                <w:szCs w:val="19"/>
                <w:color w:val="auto"/>
              </w:rPr>
            </w:pPr>
          </w:p>
        </w:tc>
      </w:tr>
      <w:tr>
        <w:trPr>
          <w:trHeight w:val="399"/>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Chairman of the Board and Chief Executive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w w:val="99"/>
              </w:rPr>
              <w:t>President, Chief Financial Officer, Treasurer and Secretary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Steven A. DeMartino</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Peters</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Vice President and Chief Accounting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David B. Peters</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S. Friedman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Randall S. Friedman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Emanuel P. N. Hilario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Emanuel P. N. Hilario</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Haydee Olinger</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Haydee Olinger</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97"/>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20" w:type="dxa"/>
            <w:vAlign w:val="bottom"/>
            <w:gridSpan w:val="2"/>
          </w:tcPr>
          <w:p>
            <w:pPr>
              <w:ind w:left="17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
        </w:trPr>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spacing w:after="0"/>
              <w:rPr>
                <w:sz w:val="20"/>
                <w:szCs w:val="20"/>
                <w:color w:val="auto"/>
              </w:rPr>
            </w:pPr>
          </w:p>
        </w:tc>
      </w:tr>
      <w:tr>
        <w:trPr>
          <w:trHeight w:val="203"/>
        </w:trPr>
        <w:tc>
          <w:tcPr>
            <w:tcW w:w="9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Report of Independent Registered Public Accounting Firm (PCAOB ID 688)</w:t>
            </w:r>
          </w:p>
        </w:tc>
        <w:tc>
          <w:tcPr>
            <w:tcW w:w="18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F-2</w:t>
            </w:r>
          </w:p>
        </w:tc>
      </w:tr>
      <w:tr>
        <w:trPr>
          <w:trHeight w:val="203"/>
        </w:trPr>
        <w:tc>
          <w:tcPr>
            <w:tcW w:w="9380" w:type="dxa"/>
            <w:vAlign w:val="bottom"/>
          </w:tcPr>
          <w:p>
            <w:pPr>
              <w:ind w:left="180"/>
              <w:spacing w:after="0" w:line="202" w:lineRule="exact"/>
              <w:rPr>
                <w:sz w:val="20"/>
                <w:szCs w:val="20"/>
                <w:color w:val="auto"/>
              </w:rPr>
            </w:pPr>
            <w:r>
              <w:rPr>
                <w:rFonts w:ascii="Arial" w:cs="Arial" w:eastAsia="Arial" w:hAnsi="Arial"/>
                <w:sz w:val="18"/>
                <w:szCs w:val="18"/>
                <w:color w:val="auto"/>
              </w:rPr>
              <w:t>Consolidated Balance Sheets as of December 31, 2021 and 2020</w:t>
            </w:r>
          </w:p>
        </w:tc>
        <w:tc>
          <w:tcPr>
            <w:tcW w:w="1860" w:type="dxa"/>
            <w:vAlign w:val="bottom"/>
          </w:tcPr>
          <w:p>
            <w:pPr>
              <w:ind w:left="1220"/>
              <w:spacing w:after="0" w:line="202" w:lineRule="exact"/>
              <w:rPr>
                <w:sz w:val="20"/>
                <w:szCs w:val="20"/>
                <w:color w:val="auto"/>
              </w:rPr>
            </w:pPr>
            <w:r>
              <w:rPr>
                <w:rFonts w:ascii="Arial" w:cs="Arial" w:eastAsia="Arial" w:hAnsi="Arial"/>
                <w:sz w:val="18"/>
                <w:szCs w:val="18"/>
                <w:color w:val="auto"/>
              </w:rPr>
              <w:t>F-4</w:t>
            </w:r>
          </w:p>
        </w:tc>
      </w:tr>
      <w:tr>
        <w:trPr>
          <w:trHeight w:val="203"/>
        </w:trPr>
        <w:tc>
          <w:tcPr>
            <w:tcW w:w="9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Statements of Operations for the years ended December 31, 2021 and 2020</w:t>
            </w:r>
          </w:p>
        </w:tc>
        <w:tc>
          <w:tcPr>
            <w:tcW w:w="18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F-5</w:t>
            </w:r>
          </w:p>
        </w:tc>
      </w:tr>
      <w:tr>
        <w:trPr>
          <w:trHeight w:val="203"/>
        </w:trPr>
        <w:tc>
          <w:tcPr>
            <w:tcW w:w="9380" w:type="dxa"/>
            <w:vAlign w:val="bottom"/>
          </w:tcPr>
          <w:p>
            <w:pPr>
              <w:ind w:left="180"/>
              <w:spacing w:after="0" w:line="202" w:lineRule="exact"/>
              <w:rPr>
                <w:sz w:val="20"/>
                <w:szCs w:val="20"/>
                <w:color w:val="auto"/>
              </w:rPr>
            </w:pPr>
            <w:r>
              <w:rPr>
                <w:rFonts w:ascii="Arial" w:cs="Arial" w:eastAsia="Arial" w:hAnsi="Arial"/>
                <w:sz w:val="18"/>
                <w:szCs w:val="18"/>
                <w:color w:val="auto"/>
              </w:rPr>
              <w:t>Consolidated Statements of Comprehensive Loss for the years ended December 31, 2021 and 2020</w:t>
            </w:r>
          </w:p>
        </w:tc>
        <w:tc>
          <w:tcPr>
            <w:tcW w:w="1860" w:type="dxa"/>
            <w:vAlign w:val="bottom"/>
          </w:tcPr>
          <w:p>
            <w:pPr>
              <w:ind w:left="1220"/>
              <w:spacing w:after="0" w:line="202" w:lineRule="exact"/>
              <w:rPr>
                <w:sz w:val="20"/>
                <w:szCs w:val="20"/>
                <w:color w:val="auto"/>
              </w:rPr>
            </w:pPr>
            <w:r>
              <w:rPr>
                <w:rFonts w:ascii="Arial" w:cs="Arial" w:eastAsia="Arial" w:hAnsi="Arial"/>
                <w:sz w:val="18"/>
                <w:szCs w:val="18"/>
                <w:color w:val="auto"/>
              </w:rPr>
              <w:t>F-6</w:t>
            </w:r>
          </w:p>
        </w:tc>
      </w:tr>
      <w:tr>
        <w:trPr>
          <w:trHeight w:val="203"/>
        </w:trPr>
        <w:tc>
          <w:tcPr>
            <w:tcW w:w="9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Statements of Changes in Shareholders’ Equity for the years ended December 31, 2021 and 2020</w:t>
            </w:r>
          </w:p>
        </w:tc>
        <w:tc>
          <w:tcPr>
            <w:tcW w:w="18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F-7</w:t>
            </w:r>
          </w:p>
        </w:tc>
      </w:tr>
      <w:tr>
        <w:trPr>
          <w:trHeight w:val="203"/>
        </w:trPr>
        <w:tc>
          <w:tcPr>
            <w:tcW w:w="9380" w:type="dxa"/>
            <w:vAlign w:val="bottom"/>
          </w:tcPr>
          <w:p>
            <w:pPr>
              <w:ind w:left="18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2021 and 2020</w:t>
            </w:r>
          </w:p>
        </w:tc>
        <w:tc>
          <w:tcPr>
            <w:tcW w:w="1860" w:type="dxa"/>
            <w:vAlign w:val="bottom"/>
          </w:tcPr>
          <w:p>
            <w:pPr>
              <w:ind w:left="1220"/>
              <w:spacing w:after="0" w:line="202" w:lineRule="exact"/>
              <w:rPr>
                <w:sz w:val="20"/>
                <w:szCs w:val="20"/>
                <w:color w:val="auto"/>
              </w:rPr>
            </w:pPr>
            <w:r>
              <w:rPr>
                <w:rFonts w:ascii="Arial" w:cs="Arial" w:eastAsia="Arial" w:hAnsi="Arial"/>
                <w:sz w:val="18"/>
                <w:szCs w:val="18"/>
                <w:color w:val="auto"/>
              </w:rPr>
              <w:t>F-8</w:t>
            </w:r>
          </w:p>
        </w:tc>
      </w:tr>
      <w:tr>
        <w:trPr>
          <w:trHeight w:val="203"/>
        </w:trPr>
        <w:tc>
          <w:tcPr>
            <w:tcW w:w="9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F-9</w:t>
            </w:r>
          </w:p>
        </w:tc>
      </w:tr>
      <w:tr>
        <w:trPr>
          <w:trHeight w:val="696"/>
        </w:trPr>
        <w:tc>
          <w:tcPr>
            <w:tcW w:w="9380" w:type="dxa"/>
            <w:vAlign w:val="bottom"/>
          </w:tcPr>
          <w:p>
            <w:pPr>
              <w:ind w:left="5520"/>
              <w:spacing w:after="0"/>
              <w:rPr>
                <w:sz w:val="20"/>
                <w:szCs w:val="20"/>
                <w:color w:val="auto"/>
              </w:rPr>
            </w:pPr>
            <w:r>
              <w:rPr>
                <w:rFonts w:ascii="Arial" w:cs="Arial" w:eastAsia="Arial" w:hAnsi="Arial"/>
                <w:sz w:val="16"/>
                <w:szCs w:val="16"/>
                <w:color w:val="auto"/>
              </w:rPr>
              <w:t>F-1</w:t>
            </w:r>
          </w:p>
        </w:tc>
        <w:tc>
          <w:tcPr>
            <w:tcW w:w="1860" w:type="dxa"/>
            <w:vAlign w:val="bottom"/>
          </w:tcPr>
          <w:p>
            <w:pPr>
              <w:spacing w:after="0"/>
              <w:rPr>
                <w:sz w:val="24"/>
                <w:szCs w:val="24"/>
                <w:color w:val="auto"/>
              </w:rPr>
            </w:pPr>
          </w:p>
        </w:tc>
      </w:tr>
      <w:tr>
        <w:trPr>
          <w:trHeight w:val="53"/>
        </w:trPr>
        <w:tc>
          <w:tcPr>
            <w:tcW w:w="93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39" w:name="page40"/>
    <w:bookmarkEnd w:id="39"/>
    <w:p>
      <w:pPr>
        <w:ind w:right="3360" w:firstLine="3364"/>
        <w:spacing w:after="0" w:line="45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Transact Technologies Incorporated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audited the accompanying consolidated balance sheets of TransAct Technologies Incorporated and its subsidiaries (the “Company”) as of December 31, 2021 and 2020, and the related consolidated statements of operations,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Identification of Distinct Performance Obligations and Estimate of Standalone Selling Price</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described in Note 2 to the consolidated financial statements, some of the Company’s contracts with customers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 The transaction price is determined based on the consideration to which the Company will be entitled in exchange for transferring services to the customer. For a majority of the Company’s revenue, which consists of printers, terminals, consumables, and replacement parts, the Company recognizes revenue as of a point of time; the revenue is recognized upon shipment of the order when control of the goods is transferred to the customer and at the time the performance obligation is fulfilled. Performance obligations are satisfied over time if the customer receives the benefits as the Company performs work. The Company’s cloud-based BOHA! software, provided on a subscription basis, allows customers to use hosted software over the contract period without taking possession of the software and is recognized ratably over the contract period. For extended warranties, the transaction price is recognized ratably over the warranty period, using output methods, as control of the services is transferred to the customer. When there is more than one performance obligation in a customer arrangement, the Company typically uses the “standalone selling price” method to determine the transaction price to allocate to each performance obligation.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both"/>
        <w:spacing w:after="0" w:line="216" w:lineRule="auto"/>
        <w:rPr>
          <w:sz w:val="20"/>
          <w:szCs w:val="20"/>
          <w:color w:val="auto"/>
        </w:rPr>
      </w:pPr>
      <w:r>
        <w:rPr>
          <w:rFonts w:ascii="Arial" w:cs="Arial" w:eastAsia="Arial" w:hAnsi="Arial"/>
          <w:sz w:val="18"/>
          <w:szCs w:val="18"/>
          <w:color w:val="auto"/>
        </w:rPr>
        <w:t>In 2020, the Company launched a new service offering related to BOHA! for one customer that bundled the BOHA! products (cloud-based SaaS software applications, hardware and after-market service) in one price payable monthly over a three-year period. During the year ended December 31, 2021, the Company recognized revenue from this contract with the customer related to this service offering in the amount of approximately $312 thousand. Judgement was required by management to identify the performance obligations in the contract and allocate the transaction price to each performance obligation.</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principal considerations for our determination that revenue recognition, specifically related to management’s identification of distinct performance obligations and the estimation of standalone selling prices related to this service offering, is a critical audit matter are that there was significant judgment by management in (1) the identification of distinct performance obligations related to this service offering, specifically the determination that one distinct performance obligation existed for point in time revenue recognition and three distinct performance obligations existed for over-time revenue recognition,</w:t>
      </w:r>
    </w:p>
    <w:p>
      <w:pPr>
        <w:jc w:val="both"/>
        <w:ind w:firstLine="8"/>
        <w:spacing w:after="0" w:line="233" w:lineRule="auto"/>
        <w:tabs>
          <w:tab w:leader="none" w:pos="2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estimation of the standalone selling price using market pricing conditions and other observable inputs, such as historical pricing practices, for each distinct performance obligation; (3) the determination that a significant financing component existed in the arrangement with the customer, therefore, requiring deferral of a portion of the point in time revenue to be recognized as interest income over the contract period; (4) management’s election of the accounting policy expedient to exclude sales taxes collected from customers from the transaction price in accordance with ASU 2016-12; and (5) the identification of costs incurred to obtain the contract and management’s decision to defer such costs and recognize the expense on a straight-line basis over the life of the contract. This in turn led to a high degree of auditor judgment and subjectivity in performing our audit procedures, which were designed to evaluate audit evidence related to management’s identification of distinct performance obligations within the contract with the customer related to this service offering and the judgments made by management to estimate the standalone selling prices used to allocate the transaction price to those distinct performance obligations identified. Due to this complexity, there was significant effort in performing our audit procedures to evaluate the reasonableness of management’s estimates used in the Company’s application of the accounting standard related to revenue recognition for this service offering.</w:t>
      </w:r>
    </w:p>
    <w:p>
      <w:pPr>
        <w:spacing w:after="0" w:line="12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evaluating the Company’s revenue recognition accounting policy resulting from its application of the accounting standard related to revenue recognition; (ii) evaluating management’s identification of distinct performance obligations in its contract with the customer; (iii) evaluating management’s process for estimating the standalone selling price which included testing the completeness and accuracy of input data used and evaluating the reasonableness of significant assumptions used by management, principally observable inputs such as historical pricing practices; and (iv) evaluation of the accuracy of management’s allocation of the transaction price to the performance obligations contained within the related contract with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5"/>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680" w:type="dxa"/>
            <w:vAlign w:val="bottom"/>
          </w:tcPr>
          <w:p>
            <w:pPr>
              <w:spacing w:after="0"/>
              <w:rPr>
                <w:sz w:val="24"/>
                <w:szCs w:val="24"/>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09"/>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19,457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Employee retention credit receivable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Note receivable</w:t>
            </w:r>
          </w:p>
        </w:tc>
        <w:tc>
          <w:tcPr>
            <w:tcW w:w="2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receivable, net of current portion</w:t>
            </w: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13,796</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50,941</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4,308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1,781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11,950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Common stock, $0.01 par value, 20,000,000 authorized at December 31, 2021 and 2020; 13,917,731 and</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8"/>
              </w:rPr>
              <w:t>12,976,227 shares issued; 9,872,889 and 8,931,385 shares outstanding, at December 31, 2021 and 2020,</w:t>
            </w: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55,246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42,536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15,573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 income (loss), net of tax</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Treasury stock, 4,044,842 shares, at cost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34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38,991</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50,941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Year Ended December 31,</w:t>
            </w:r>
          </w:p>
        </w:tc>
      </w:tr>
      <w:tr>
        <w:trPr>
          <w:trHeight w:val="210"/>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39,386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30,595</w:t>
            </w: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24,137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17,666</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15,249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12,929</w:t>
            </w:r>
          </w:p>
        </w:tc>
      </w:tr>
      <w:tr>
        <w:trPr>
          <w:trHeight w:val="203"/>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5,703</w:t>
            </w: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7,658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6,144</w:t>
            </w:r>
          </w:p>
        </w:tc>
      </w:tr>
      <w:tr>
        <w:trPr>
          <w:trHeight w:val="210"/>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9,626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24,759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21,102</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(9,510)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(8,173)</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(157)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w:t>
            </w: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Gain from employee retention credit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Gain on forgiveness of long-term debt</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(6,216)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(8,169)</w:t>
            </w: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2,539</w:t>
            </w: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(4,145)</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common share: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(0.45)</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(0.72)</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(0.72)</w:t>
            </w: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9,298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7,827</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7,827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(4,145)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Comprehensive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(3,964)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0"/>
        </w:trPr>
        <w:tc>
          <w:tcPr>
            <w:tcW w:w="8680" w:type="dxa"/>
            <w:vAlign w:val="bottom"/>
            <w:vMerge w:val="restart"/>
          </w:tcPr>
          <w:p>
            <w:pPr>
              <w:jc w:val="center"/>
              <w:ind w:left="2472"/>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8680" w:type="dxa"/>
            <w:vAlign w:val="bottom"/>
          </w:tcPr>
          <w:p>
            <w:pPr>
              <w:jc w:val="center"/>
              <w:ind w:left="2492"/>
              <w:spacing w:after="0"/>
              <w:rPr>
                <w:sz w:val="20"/>
                <w:szCs w:val="20"/>
                <w:color w:val="auto"/>
              </w:rPr>
            </w:pPr>
            <w:r>
              <w:rPr>
                <w:rFonts w:ascii="Arial" w:cs="Arial" w:eastAsia="Arial" w:hAnsi="Arial"/>
                <w:sz w:val="16"/>
                <w:szCs w:val="16"/>
                <w:color w:val="auto"/>
                <w:w w:val="91"/>
              </w:rPr>
              <w:t>F-6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 w:right="339" w:bottom="1440" w:gutter="0" w:footer="0" w:header="0"/>
        </w:sectPr>
      </w:pPr>
    </w:p>
    <w:bookmarkStart w:id="44" w:name="page45"/>
    <w:bookmarkEnd w:id="44"/>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2640" w:type="dxa"/>
            <w:vAlign w:val="bottom"/>
            <w:gridSpan w:val="6"/>
            <w:vMerge w:val="restart"/>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98"/>
              </w:rPr>
              <w:t>Treasury</w:t>
            </w:r>
          </w:p>
        </w:tc>
        <w:tc>
          <w:tcPr>
            <w:tcW w:w="240" w:type="dxa"/>
            <w:vAlign w:val="bottom"/>
          </w:tcPr>
          <w:p>
            <w:pPr>
              <w:spacing w:after="0"/>
              <w:rPr>
                <w:sz w:val="15"/>
                <w:szCs w:val="15"/>
                <w:color w:val="auto"/>
              </w:rPr>
            </w:pPr>
          </w:p>
        </w:tc>
        <w:tc>
          <w:tcPr>
            <w:tcW w:w="1100" w:type="dxa"/>
            <w:vAlign w:val="bottom"/>
            <w:gridSpan w:val="2"/>
          </w:tcPr>
          <w:p>
            <w:pPr>
              <w:jc w:val="center"/>
              <w:ind w:right="440"/>
              <w:spacing w:after="0" w:line="176" w:lineRule="exact"/>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6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40"/>
              <w:spacing w:after="0" w:line="156" w:lineRule="exact"/>
              <w:rPr>
                <w:sz w:val="20"/>
                <w:szCs w:val="20"/>
                <w:color w:val="auto"/>
              </w:rPr>
            </w:pPr>
            <w:r>
              <w:rPr>
                <w:rFonts w:ascii="Arial" w:cs="Arial" w:eastAsia="Arial" w:hAnsi="Arial"/>
                <w:sz w:val="18"/>
                <w:szCs w:val="18"/>
                <w:color w:val="auto"/>
              </w:rPr>
              <w:t>Paid-in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40" w:type="dxa"/>
            <w:vAlign w:val="bottom"/>
            <w:gridSpan w:val="3"/>
          </w:tcPr>
          <w:p>
            <w:pPr>
              <w:jc w:val="center"/>
              <w:ind w:right="200"/>
              <w:spacing w:after="0" w:line="15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Stock</w:t>
            </w:r>
          </w:p>
        </w:tc>
        <w:tc>
          <w:tcPr>
            <w:tcW w:w="2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January 1,</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7,470,248</w:t>
            </w: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32,604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25,348</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25,926</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2020</w:t>
            </w:r>
          </w:p>
        </w:tc>
        <w:tc>
          <w:tcPr>
            <w:tcW w:w="128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from exercise</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of stock options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on restricted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32,725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 units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net of</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1,380,000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8,723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issuance cost</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Relinquishment of</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awards and</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deferred stock units</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to pay withholding</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(14,088)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taxes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Share-based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compensation</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expense</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Foreign currency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adjustment, net of</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December 31,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8,931,385</w:t>
            </w:r>
          </w:p>
        </w:tc>
        <w:tc>
          <w:tcPr>
            <w:tcW w:w="14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42,536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19,718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30,236</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2020</w:t>
            </w:r>
          </w:p>
        </w:tc>
        <w:tc>
          <w:tcPr>
            <w:tcW w:w="11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from exercise</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2"/>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of stock options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on restricted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50,525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 units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net of</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842,375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issuance cost</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Relinquishment of</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awards and</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deferred stock units</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to pay withholding</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(48,396)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taxes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Share-based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compensation</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expense</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Foreign currency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adjustment, net of</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December 31,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9,872,889</w:t>
            </w:r>
          </w:p>
        </w:tc>
        <w:tc>
          <w:tcPr>
            <w:tcW w:w="140" w:type="dxa"/>
            <w:vAlign w:val="bottom"/>
            <w:vMerge w:val="restart"/>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55,246</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15,573</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38,991</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2021</w:t>
            </w:r>
          </w:p>
        </w:tc>
        <w:tc>
          <w:tcPr>
            <w:tcW w:w="1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10"/>
        </w:trPr>
        <w:tc>
          <w:tcPr>
            <w:tcW w:w="86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(4,145)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Loss on the sale of fixed assets</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transaction losses (gains)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Gain on forgiveness of long-term debt</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(2,173)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(4,217)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Employee retention credit receivable</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Prepaid income taxes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Other current and long-term assets</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0"/>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(2,510)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(1,384)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sale of fixed assets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Collection (issuance) of note receivable</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Revolving credit line borrowings</w:t>
            </w:r>
          </w:p>
        </w:tc>
        <w:tc>
          <w:tcPr>
            <w:tcW w:w="180" w:type="dxa"/>
            <w:vAlign w:val="bottom"/>
          </w:tcPr>
          <w:p>
            <w:pPr>
              <w:spacing w:after="0"/>
              <w:rPr>
                <w:sz w:val="17"/>
                <w:szCs w:val="17"/>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Revolving credit line payments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Long-term debt borrowings</w:t>
            </w:r>
          </w:p>
        </w:tc>
        <w:tc>
          <w:tcPr>
            <w:tcW w:w="180" w:type="dxa"/>
            <w:vAlign w:val="bottom"/>
          </w:tcPr>
          <w:p>
            <w:pPr>
              <w:spacing w:after="0"/>
              <w:rPr>
                <w:sz w:val="17"/>
                <w:szCs w:val="17"/>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12,214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 of common stock issuance costs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Withholding taxes paid on stock issuance</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 of bank financing costs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34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11,472</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Increase in cash and cash equivalents</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10,359</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19,457</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capital expenditure items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and POS automation markets. Our solutions are designed from the</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7"/>
          <w:szCs w:val="17"/>
          <w:color w:val="auto"/>
        </w:rPr>
        <w:t>ground up based on market and customer requirements and are sold under the BOHA!</w:t>
      </w:r>
      <w:r>
        <w:rPr>
          <w:rFonts w:ascii="Arial" w:cs="Arial" w:eastAsia="Arial" w:hAnsi="Arial"/>
          <w:sz w:val="28"/>
          <w:szCs w:val="28"/>
          <w:color w:val="auto"/>
          <w:vertAlign w:val="superscript"/>
        </w:rPr>
        <w:t>TM</w:t>
      </w:r>
      <w:r>
        <w:rPr>
          <w:rFonts w:ascii="Arial" w:cs="Arial" w:eastAsia="Arial" w:hAnsi="Arial"/>
          <w:sz w:val="17"/>
          <w:szCs w:val="17"/>
          <w:color w:val="auto"/>
        </w:rPr>
        <w:t>, AccuDate™, Epic, Ithaca®, EPICENTRAL and Printrex®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consumables and spare parts in addition to revenue from our two software solutions; (i) our line of BOHA! software applications used to automate the back-of-house operations of restaurants, convenience stores and food service operators and (ii) the EPICENTRAL Print System (“EPICENTRAL”), that enables casino operators to create promotional coupons and marketing messages and print them in real time at the slot machine.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In the first quarter of 2020, the COVID-19 pandemic and the resulting social distancing measures, including closures and restricted openings of restaurants and casinos implemented by federal, state and local authorities, negatively impacted customer demand and disrupted portions of our supply chain, including delayed product shipments from our two manufacturers located in Thailand and China. While we began to experience a modest recovery starting in the second half of 2020 into 2021 and expect this recovery to continue during 2022, the exact timing and pace of recovery are unknown given uncertainty surrounding responsive measures to the spread of virus variants or any potential future resurgences of the virus and the significant disruption that our customers have already experienced and may continue to experience. In light of this uncertainty, we implemented a number of cost saving measures during 2020 to help mitigate the impact on our financial position and operations and continued to limit discretionary spending during 2021. We are monitoring indicators of demand recovery, including our sales pipeline, customer orders and product shipments to ascertain an estimate of the ultimate impact of the COVID-19 pandemic on our business; however, the length and ultimate severity of the reduction in demand due to the pandemic remains uncertain.</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Balance Sheet, Cash Flow and Liquidity. </w:t>
      </w:r>
      <w:r>
        <w:rPr>
          <w:rFonts w:ascii="Arial" w:cs="Arial" w:eastAsia="Arial" w:hAnsi="Arial"/>
          <w:sz w:val="18"/>
          <w:szCs w:val="18"/>
          <w:color w:val="auto"/>
        </w:rPr>
        <w:t>In addition to the expense management actions implemented during 2020, we took the following actions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liquidity and strengthen our financial position.</w:t>
      </w:r>
    </w:p>
    <w:p>
      <w:pPr>
        <w:spacing w:after="0" w:line="157" w:lineRule="exact"/>
        <w:rPr>
          <w:sz w:val="20"/>
          <w:szCs w:val="20"/>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Offering – On October 16, 2020 and August 16, 2021, the Company raised net proceeds of $8.7 million and $11.2 million (including the exercise of the underwriters overallotment options on October 16, 2020 and August 20, 2021), respectively, after deducting underwriting discounts, commissions and offering expenses, through underwritten public offerings and sold an aggregate of 1,380,000 and 842,375 shares of common stock, respectively.</w:t>
      </w:r>
    </w:p>
    <w:p>
      <w:pPr>
        <w:spacing w:after="0" w:line="17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PPP Loan – On May 1, 2020,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employees we furloughed earlier in 2020 to full time employment and to restore employees to full pay following certain pay cuts. On July 8, 2021, we received notice that the PPP Loan had been forgiven as of July 1, 2021. See Note 9 for further details regarding the PPP Loan.</w:t>
      </w:r>
    </w:p>
    <w:p>
      <w:pPr>
        <w:spacing w:after="0" w:line="17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Retention Credit – Under the provisions of the CARES Act, the Company is eligible for a refundable employee retention credit subject to certain criteria. In connection with the CARES Act, the Company recognized the employee retention credit during the fourth quarter of 2021 and recorded $1.5 million as “Gain from employee retention credit” in the Consolidated Statement of Operations for the year ended December 31, 2021 and the related receivable as “Employee retention credit receivable” in the Consolidated Balance Sheets as of December 31, 2021. We expect to receive these funds during 2022.</w:t>
      </w:r>
    </w:p>
    <w:p>
      <w:pPr>
        <w:spacing w:after="0" w:line="17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Credit Facility – On March 13, 2020, we entered into a new credit facility with Siena Lending Group LLC that provides a revolving credit line of up to $10.0 million, subject to a borrowing base.</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 and gradually increased expenses during 2021 as our sales improved.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7" w:name="page48"/>
    <w:bookmarkEnd w:id="47"/>
    <w:p>
      <w:pPr>
        <w:jc w:val="both"/>
        <w:spacing w:after="0" w:line="235" w:lineRule="auto"/>
        <w:rPr>
          <w:sz w:val="20"/>
          <w:szCs w:val="20"/>
          <w:color w:val="auto"/>
        </w:rPr>
      </w:pPr>
      <w:r>
        <w:rPr>
          <w:rFonts w:ascii="Arial" w:cs="Arial" w:eastAsia="Arial" w:hAnsi="Arial"/>
          <w:sz w:val="18"/>
          <w:szCs w:val="18"/>
          <w:color w:val="auto"/>
        </w:rPr>
        <w:t>We may further modify or supplement the expense management measures we have implemented and the actions we have taken to increase liquidity as the timing and extent of customer demand recovery develops and supply chains normalize.</w:t>
      </w:r>
    </w:p>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After reviewing whether conditions and/or events raise substantial doubt about our ability to meet future financial obligations over the 12 months following the date on which the Consolidated Financial Statements included in this Form 10-K (this “Report”) were issued, including consideration of the actions taken to manage expenses and liquidity, we believe that our net cash to be provided by operations combined with our cash and cash equivalents and borrowing availability under our revolving credit facility will provide sufficient liquidity to fund our current obligations, capital spending, and working capital requirements and to comply with the financial covenants of our credit facility over at least 12 months following the date that the Consolidated Financial Statements were issued.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Assumptions and Estimates</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Management’s belief that the Company will be able to fund its planned operations over the 12 months following the date on which the Consolidated Financial Statements were issued is based on assumptions which involve significant judgment and estimates of future revenues, capital expenditures and other operating costs. Our current assumptions are that casinos and restaurants remain open and consumer traffic continues to gradually increase during 2022, but that many casinos and restaurants may delay purchases of new slot machines and our BOHA! products, respectively, due to labor shortages and supply issues caused by the pandemic. Based on these assumptions, we anticipate that sales in casino and gaming and food service technology may continue to be negatively impacted for the foreseeable future. We have performed a sensitivity analysis on these assumptions to forecast the potential impact of a slower-than-anticipated recovery and believe that we are positioned to withstand the impact of lower-than-anticipated sales and that we will be able to take additional financial and operational actions to cut costs and/or increase liquidity if necessary. These actions may include additional expense reductions and capital raising activities.</w:t>
      </w:r>
    </w:p>
    <w:p>
      <w:pPr>
        <w:spacing w:after="0" w:line="15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 Actual results could differ from those estimates used.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smaller reporting company, as defined in Item 10(f)(1) of Regulation S-K, we may choose to prepare our disclosures relying on certain scaled disclosure requirements for smaller reporting companies in Regulation S-K and in Article 8 of Regulation S-X.</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scaled disclosure requirements for smaller reporting companies permit us (i) to include less extensive narrative disclosure than required of other reporting companies, particularly in the description of executive compensation and (ii) to provide audited financial statements for two fiscal years, in contrast to other reporting companies, which must provide audited financial statements for three years.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may lose our status as a smaller reporting company on the last day of the fiscal year in which (i) our public float exceeds $250 million as of the last day of the second fiscal quarter or (ii) if we have more than $100 million in annual revenues and (a) have no public float or (b) have a public float more than $700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with a maturity date of three months or less at date of purchase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18"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further adjust estimates of the recoverability of receivables.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$0.7 million and $1.0 million in 2021 and 2020, respectively.</w:t>
      </w:r>
    </w:p>
    <w:p>
      <w:pPr>
        <w:spacing w:after="0" w:line="1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ASC 842, “Leases” (“ASC 842”), which requires lessees to apply a dual approach, classifying leases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Leases with a term of 12 months or less are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elected certain practical expedients available under ASC 842 upon adoption. We have applied the practical expedient for short-term leases. We have lease agreements that include lease and non-lease components, and we have not elected the practical expedients to combine these components for any of our leases.</w:t>
      </w:r>
    </w:p>
    <w:p>
      <w:pPr>
        <w:spacing w:after="0" w:line="122"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We enter into lease agreements for the use of real estate space and certain equipment under operating leases and we have no financing leases. We determine if an arrangement contains a lease at inception. Our leases are included in “Right-of-use asset” and “Lease liability” in our Consolidated Balance Sheets.</w:t>
      </w:r>
    </w:p>
    <w:p>
      <w:pPr>
        <w:spacing w:after="0" w:line="6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On February 28, 2020, we entered into an amendment to extend the lease on our facility in Ithaca, New York, which resulted in recording an additional right-of-use-asset and lease liability of $1.5 million. The lease, which was last amended on January 14, 2016, was scheduled to expire on May 31, 2021. The lease amendment provides for an extension of the lease for four additional years from June 1, 2021 to May 31, 2025. On April 30, 2021, we entered into an amendment to modify the expiration date of our lease on our Hamden, CT facility. The lease, which was last amended on January 3, 2017, was scheduled to expire on April 30, 2027. The lease amendment modified the expiration date to October 31, 2025. The modification resulted in reducing the right-of-use-asset and lease liability by $0.3 million. 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 excludes lease incentives. Our leases have remaining lease terms of one year to five years, some of which include options to extend.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jc w:val="both"/>
        <w:spacing w:after="0" w:line="234" w:lineRule="auto"/>
        <w:rPr>
          <w:sz w:val="20"/>
          <w:szCs w:val="20"/>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(as of December 31)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2021, we have determined that no goodwill or intangible asset impairment has occurred and the fair value of goodwill was substantially higher than our carrying value based on our assessment as of December 31, 2021 when our annual review for impairment was performed.</w:t>
      </w:r>
    </w:p>
    <w:p>
      <w:pPr>
        <w:spacing w:after="0" w:line="8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account for revenue in accordance with ASC Topic 606: Revenue from Contracts with Customers. In accordance with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 create promotional coupons and marketing messages and to print them in real 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12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spacing w:after="0" w:line="12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contracts with terms of less than 12 months, the Company expenses sales commissions as they are incurred, since the expected amortization period of the cost to obtain a contract is less than 12 months.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Disaggregation of revenue</w:t>
      </w:r>
    </w:p>
    <w:p>
      <w:pPr>
        <w:jc w:val="both"/>
        <w:spacing w:after="0" w:line="226" w:lineRule="auto"/>
        <w:rPr>
          <w:sz w:val="20"/>
          <w:szCs w:val="20"/>
          <w:color w:val="auto"/>
        </w:rPr>
      </w:pPr>
      <w:r>
        <w:rPr>
          <w:rFonts w:ascii="Arial" w:cs="Arial" w:eastAsia="Arial" w:hAnsi="Arial"/>
          <w:sz w:val="18"/>
          <w:szCs w:val="18"/>
          <w:color w:val="auto"/>
        </w:rPr>
        <w:t>The following table disaggregates our revenue by market type, as we believe it best depicts how the nature, amount, timing and uncertainty of our revenue and cash flows are affected by economic factors. Sales and usage-based taxes are excluded from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8"/>
                <w:szCs w:val="18"/>
                <w:color w:val="auto"/>
              </w:rPr>
            </w:pPr>
          </w:p>
        </w:tc>
        <w:tc>
          <w:tcPr>
            <w:tcW w:w="7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11,738</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12,625</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POS automation</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4,825</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5,129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15,302</w:t>
            </w: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Printrex</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460</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631</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3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6,003</w:t>
            </w: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7320" w:type="dxa"/>
            <w:vAlign w:val="bottom"/>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32,400</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6,986</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39,386</w:t>
            </w:r>
          </w:p>
        </w:tc>
      </w:tr>
      <w:tr>
        <w:trPr>
          <w:trHeight w:val="21"/>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3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8"/>
                <w:szCs w:val="18"/>
                <w:color w:val="auto"/>
              </w:rPr>
            </w:pPr>
          </w:p>
        </w:tc>
        <w:tc>
          <w:tcPr>
            <w:tcW w:w="7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6,956</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POS automation</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3,770</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4,127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10,979</w:t>
            </w: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w:t>
            </w:r>
          </w:p>
        </w:tc>
      </w:tr>
      <w:tr>
        <w:trPr>
          <w:trHeight w:val="209"/>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6,995</w:t>
            </w:r>
          </w:p>
        </w:tc>
      </w:tr>
      <w:tr>
        <w:trPr>
          <w:trHeight w:val="243"/>
        </w:trPr>
        <w:tc>
          <w:tcPr>
            <w:tcW w:w="73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24,733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27" w:lineRule="auto"/>
        <w:rPr>
          <w:sz w:val="20"/>
          <w:szCs w:val="20"/>
          <w:color w:val="auto"/>
        </w:rPr>
      </w:pPr>
      <w:r>
        <w:rPr>
          <w:rFonts w:ascii="Arial" w:cs="Arial" w:eastAsia="Arial" w:hAnsi="Arial"/>
          <w:sz w:val="17"/>
          <w:szCs w:val="17"/>
          <w:color w:val="auto"/>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and “Other Non-Current Assets” on the Consolidated Balance Sheets. We first recorded contract assets during 2020 upon the start of a long-term BOHA! contract.</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Contract liabilities consist of customer prepayments and deferred revenue. Customer prepayments are reported as “Accrued Liabilities” in current liabilities in the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The increase in current and non-current deferred revenue in 2021 compared to 2020 was primarily due to increased BOHA! software subscriptions and increased extended warranty contracts on our BOHA! hardware products. During the year ended December 31, 2021, we recognized revenue of $0.7 million related to our contract liabilities as of December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contract (liabilities) assets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Unbilled receivables, 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Unbilled receivables, non-current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contract (liabilities)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2021, the aggregate amount of the transaction price allocated to remaining performance obligations was $10.5 million. The Company expects to recognize revenue on $10.1 million of our remaining performance obligations within the next 12 months and $0.4 million within the next 24 months.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1" w:name="page52"/>
    <w:bookmarkEnd w:id="51"/>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banks in excess of insured limits and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6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Chain Link Services</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03"/>
        </w:trPr>
        <w:tc>
          <w:tcPr>
            <w:tcW w:w="94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9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NCR Corporation</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71"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-1905</wp:posOffset>
            </wp:positionV>
            <wp:extent cx="15773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ind w:left="8960"/>
        <w:spacing w:after="0"/>
        <w:tabs>
          <w:tab w:leader="none" w:pos="103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8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IGT</w:t>
            </w:r>
          </w:p>
        </w:tc>
        <w:tc>
          <w:tcPr>
            <w:tcW w:w="1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15%</w:t>
            </w:r>
          </w:p>
        </w:tc>
      </w:tr>
    </w:tbl>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warranty costs are based upon actual past experience of product repairs and the related estimated cost of labor and material to make the necessary repairs.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$79 thousand and $112 thousand of the accrued product warranty liability was classified as current in Accrued liabilities at December 31, 2021 and 2020, respectively. The remaining $22 thousand and $28 thousand of the accrued product warranty liability as of December 31, 2021 and 2020, respectively, was classified as long-term in Other liabilities.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auto"/>
        </w:rPr>
        <w:t xml:space="preserve">Engineering, design and product development: </w:t>
      </w:r>
      <w:r>
        <w:rPr>
          <w:rFonts w:ascii="Arial" w:cs="Arial" w:eastAsia="Arial" w:hAnsi="Arial"/>
          <w:sz w:val="17"/>
          <w:szCs w:val="17"/>
          <w:color w:val="auto"/>
        </w:rPr>
        <w:t>Engineering, design and product development expenses include expenses incurred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specialized engineering and design to introduce new products and to customize existing products, and are expensed as a component of operating expenses as incurred. We recorded $7.5 million and $5.7 million of research and development expenses in 2021 and 2020, respectively.</w:t>
      </w:r>
    </w:p>
    <w:p>
      <w:pPr>
        <w:spacing w:after="0" w:line="12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2019, we contracted several third-parties to develop software for our food service technology products, the cost for which we capitalized. Unamortized development costs for such software were $396 thousand as of December 31, 2021. The total amount charged to cost of sales for capitalized software development costs was $154 thousand and $153 thousand in 2021 and 2020, respectively.</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2021 and 2020 totaled $1.8 million and $0.7 million, respectively. These expenses include items such as consulting and professional services, tradeshows, and print advertising.</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w:t>
      </w:r>
    </w:p>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and loss. Foreign currency transaction gains and losses, including those related to intercompany balances, are recognized in Other, net on the Consolidated Statements of Operations.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2021,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use the Black-Scholes option-pricing model to calculate the fair value of share-based awards. The key assumptions for this valuation method include the expected term of the option, stock price volatility, risk-free interest rate, dividend yield, market price of our underlying stock and exercise price. Many of these assumptions require judgment and are highly sensitive in the determination of compensation expense. Forfeitures are recognized as they occur.</w:t>
      </w:r>
    </w:p>
    <w:p>
      <w:pPr>
        <w:spacing w:after="0" w:line="12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loss per share: </w:t>
      </w:r>
      <w:r>
        <w:rPr>
          <w:rFonts w:ascii="Arial" w:cs="Arial" w:eastAsia="Arial" w:hAnsi="Arial"/>
          <w:sz w:val="18"/>
          <w:szCs w:val="18"/>
          <w:color w:val="auto"/>
        </w:rPr>
        <w:t>We report net income or loss per share in accordance with ASC 260, “Earnings per Share (EPS).” Under this guidance, basic EPS,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12 -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 receivable</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note receivable balance relates to loans given to a third-party software developer from whom we license our food service technology software with an interest rate of 4.5%, which were originally due in April 2020. In March 2021, we received payment in the amount of $1.6 million representing the remaining principal balance and interest due from the third-party. Prior to the payment being received, notes receivable were stated at unpaid principal balances and interest income was recognized on the accrual method. Interest income for 2021 and 2020 was $17 thousand and $67 thousand,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440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7,720</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 net</w:t>
            </w:r>
          </w:p>
        </w:tc>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520" w:type="dxa"/>
            <w:vAlign w:val="bottom"/>
            <w:vMerge w:val="continue"/>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09"/>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18,199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(16,736)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(19,979)</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1"/>
        </w:trPr>
        <w:tc>
          <w:tcPr>
            <w:tcW w:w="4520" w:type="dxa"/>
            <w:vAlign w:val="bottom"/>
          </w:tcPr>
          <w:p>
            <w:pPr>
              <w:spacing w:after="0"/>
              <w:rPr>
                <w:sz w:val="24"/>
                <w:szCs w:val="24"/>
                <w:color w:val="auto"/>
              </w:rPr>
            </w:pPr>
          </w:p>
        </w:tc>
        <w:tc>
          <w:tcPr>
            <w:tcW w:w="4400" w:type="dxa"/>
            <w:vAlign w:val="bottom"/>
            <w:gridSpan w:val="2"/>
          </w:tcPr>
          <w:p>
            <w:pPr>
              <w:jc w:val="right"/>
              <w:ind w:right="3067"/>
              <w:spacing w:after="0"/>
              <w:rPr>
                <w:sz w:val="20"/>
                <w:szCs w:val="20"/>
                <w:color w:val="auto"/>
              </w:rPr>
            </w:pPr>
            <w:r>
              <w:rPr>
                <w:rFonts w:ascii="Arial" w:cs="Arial" w:eastAsia="Arial" w:hAnsi="Arial"/>
                <w:sz w:val="16"/>
                <w:szCs w:val="16"/>
                <w:color w:val="auto"/>
              </w:rPr>
              <w:t>F-15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52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6. Intangible assets, net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assets are recorded in Intangible assets, net in the accompanying Consolidated Balance Sheets and are comprised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0"/>
              <w:spacing w:after="0" w:line="202" w:lineRule="exact"/>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11"/>
              <w:spacing w:after="0" w:line="202" w:lineRule="exact"/>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Arial" w:cs="Arial" w:eastAsia="Arial" w:hAnsi="Arial"/>
                <w:sz w:val="18"/>
                <w:szCs w:val="18"/>
                <w:color w:val="auto"/>
              </w:rPr>
              <w:t>Gross Amount</w:t>
            </w:r>
          </w:p>
        </w:tc>
        <w:tc>
          <w:tcPr>
            <w:tcW w:w="11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Accumulated</w:t>
            </w:r>
          </w:p>
        </w:tc>
        <w:tc>
          <w:tcPr>
            <w:tcW w:w="220" w:type="dxa"/>
            <w:vAlign w:val="bottom"/>
          </w:tcPr>
          <w:p>
            <w:pPr>
              <w:spacing w:after="0"/>
              <w:rPr>
                <w:sz w:val="12"/>
                <w:szCs w:val="12"/>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w w:val="92"/>
              </w:rPr>
              <w:t>Gross Amount</w:t>
            </w:r>
          </w:p>
        </w:tc>
        <w:tc>
          <w:tcPr>
            <w:tcW w:w="11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3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Amortization</w:t>
            </w:r>
          </w:p>
        </w:tc>
        <w:tc>
          <w:tcPr>
            <w:tcW w:w="1320" w:type="dxa"/>
            <w:vAlign w:val="bottom"/>
            <w:gridSpan w:val="3"/>
            <w:vMerge w:val="continue"/>
          </w:tcPr>
          <w:p>
            <w:pPr>
              <w:spacing w:after="0"/>
              <w:rPr>
                <w:sz w:val="18"/>
                <w:szCs w:val="18"/>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w:t>
            </w: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40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1,300</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40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1,606</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4,588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Amortization expense was $186 thousand and $234 thousand in 2021 and 2020, respectively. Amortization expense for each of the next five years ending December 31 is expected to be as follows: $155 thousand in 2022; $154 thousand in 2023; $88 thousand in 2024; and none thereafter.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savings plan</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were $312 thousand and $270 thousand in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On March 13, 2020, we entered into a credit facility (the “Siena Credit Facility”) with Siena Lending Group LLC. The Siena Credit Facility provides for a revolving credit line of up to $10.0 million expiring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was $245 thousand, which were reported as “Other current assets” in current assets and “Other assets” in non-current assets in the Condensed Consolidated Balance Sheets. We also pay a fee of 0.50% on unused borrowings under the Siena Credit Facility. Borrowings under the Siena Credit Facility are secured by a lien on substantially all the assets of the Company.</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Siena Credit Facility imposes a financial covenant on the Company and borrowings are subject to a borrowing base based on (i) 85% of eligible accounts receivable plus the lesser of (a) $5.0 million and (b) 50% of eligible raw material and 60% of finished goods inventory. The three-month period from April 1, 2020 to June 30, 2020 was the first period we were subject to the financial covenant, which required the Company to maintain a minimum EBITDA and continued through the 12-month period from April 1, 2020 to March 31, 2021. On July 21, 2021, the Company entered into an amendment (the “Credit Facility Amendment”) to the Siena Credit Facility. The Credit Facility Amendment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ending July 31, 2021. We have been in compliance with our excess availability covenant each month since July 31, 2021, and as of December 31, 2021 and 2020, we had no outstanding borrowings under the Siena Credit Facility and $5.1 million of borrowing capacity available under the Siena Credit Facility as of December 31, 2021.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On May 1, 2020 (the “Loan Date”), the Company was granted the PPP Loan from Berkshire Bank in the aggregate amount of $2.2 million, pursuant to the</w:t>
      </w:r>
    </w:p>
    <w:p>
      <w:pPr>
        <w:spacing w:after="0" w:line="35" w:lineRule="exact"/>
        <w:rPr>
          <w:sz w:val="20"/>
          <w:szCs w:val="20"/>
          <w:color w:val="auto"/>
        </w:rPr>
      </w:pPr>
    </w:p>
    <w:p>
      <w:pPr>
        <w:jc w:val="both"/>
        <w:ind w:firstLine="8"/>
        <w:spacing w:after="0" w:line="237" w:lineRule="auto"/>
        <w:tabs>
          <w:tab w:leader="none" w:pos="4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terms of the PPP, the PPP Loan may be forgiven to the extent that funds from the PPP Loan were used for payroll costs and costs to continue group health care benefits, as well as for interest on mortgage obligations incurred before February 15, 2020, rent under lease agreements in effect before February 15, 2020, utilities for which service began before February 15, 2020, and interest on debt obligations incurred before February 15, 2020, subject to conditions and limitations provided in the CARES Act. At least 60% (under the PPP terms, as amended) of the proceeds from the PPP Loan needed to have been used for eligible payroll costs for the PPP Loan to be forgiven.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PPP Loan, which was evidenced by a Note dated the Loan Date issued by the Company (the “Note”) in favor of Berkshire Bank, as lender (the “PPP Lender”), was scheduled to mature on May 1, 2022 and had a fixed interest rate of 1.0% per annum, accruing from the Loan Date and payable monthly. The Company submitted its PPP Loan forgiveness application in May 2021 to the SBA through Berkshire Bank and submitted the related loan necessity questionnaire in June 2021. On July 8, 2021, the Company received notifications from Berkshire Bank and the SBA that its PPP Loan (including all interest accrued thereon) of $2.2 million had been fully forgiven by the SBA and that the forgiveness payment date was July 1, 2021. No payments were due on the PPP Loan for six months from the date of first disbursement, and because a loan forgiveness application was submitted to the SBA within 10 months after the end of the covered period, no payments were due until the date on which the SBA remitted the loan forgiveness amount to the PPP Lender and interest accrued during the deferment period was included in the forgiveness amount. The Note was unsecured and guaranteed by the SBA. The forgiveness of the PPP Loan was reported as “Gain on forgiveness of long-term debt” in the Consolidated Statement of Operations during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two stock incentive plans: the 2005 Equity Incentive Plan and the 2014 Equity Incentive Plan, which provide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ten-year term and generally vest over a two-year to five-year period, unless automatically accelerated for certain defined events. As of May 2014, no new awards may be made under the 2005 Equity Incentive Plan. Under our 2014 Equity Incentive Plan, as amended in May 2020, we are authorized to grant awards of up to 2,200,000 shares of TransAct common stock. At December 31, 2021, 611,652 shares of common stock remained available for issuance under the 2014 Equity Incentive Plan.</w:t>
      </w:r>
    </w:p>
    <w:p>
      <w:pPr>
        <w:spacing w:after="0" w:line="1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2021 and 2020 was $5.41 and $3.19, respectively. We also issued restricted stock units for certain executives and directors that vest over a specified period of time, and in some instances require achieving certain performance metrics. The weighted-average per share fair value of these restricted stock units was $10.27 and $9.77 in 2021 and 2020, respectively.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2021 and 2020 and a discussion of our methodology for developing each of the assumptions used in the valuation model:</w:t>
      </w:r>
    </w:p>
    <w:p>
      <w:pPr>
        <w:spacing w:after="0" w:line="145"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50.5%</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41.7%</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historical exercise patterns. Options granted have a maximum term of ten years and an increase in the expected term will increase compensation expense.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 This is the U.S. Treasury rate in effect at the time of grant having a term approximately equal to the expected term of the option.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risk-free interest rate will increase compensation expense.</w:t>
      </w:r>
    </w:p>
    <w:p>
      <w:pPr>
        <w:spacing w:after="0" w:line="128"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jc w:val="both"/>
        <w:spacing w:after="0" w:line="219" w:lineRule="auto"/>
        <w:rPr>
          <w:sz w:val="20"/>
          <w:szCs w:val="20"/>
          <w:color w:val="auto"/>
        </w:rPr>
      </w:pPr>
      <w:r>
        <w:rPr>
          <w:rFonts w:ascii="Arial" w:cs="Arial" w:eastAsia="Arial" w:hAnsi="Arial"/>
          <w:sz w:val="18"/>
          <w:szCs w:val="18"/>
          <w:color w:val="auto"/>
        </w:rPr>
        <w:t>For 2021 and 2020, we recorded $1.2 million and $0.9 million of share-based compensation expense, respectively, included primarily in general and administrative expense in our Consolidated Statements of Operations. We also recorded income tax benefits of $265 thousand and $193 thousand in 2021 and 2020, respectively, related to such share-based compensation. At December 31, 2021,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the 2014 Equity Incentive Plan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380" w:type="dxa"/>
            <w:vAlign w:val="bottom"/>
            <w:gridSpan w:val="2"/>
          </w:tcPr>
          <w:p>
            <w:pPr>
              <w:jc w:val="right"/>
              <w:ind w:right="420"/>
              <w:spacing w:after="0" w:line="149" w:lineRule="exact"/>
              <w:rPr>
                <w:sz w:val="20"/>
                <w:szCs w:val="20"/>
                <w:color w:val="auto"/>
              </w:rPr>
            </w:pPr>
            <w:r>
              <w:rPr>
                <w:rFonts w:ascii="Arial" w:cs="Arial" w:eastAsia="Arial" w:hAnsi="Arial"/>
                <w:sz w:val="17"/>
                <w:szCs w:val="17"/>
                <w:color w:val="auto"/>
              </w:rPr>
              <w:t>Number of</w:t>
            </w:r>
          </w:p>
        </w:tc>
        <w:tc>
          <w:tcPr>
            <w:tcW w:w="1340" w:type="dxa"/>
            <w:vAlign w:val="bottom"/>
            <w:gridSpan w:val="3"/>
            <w:vMerge w:val="restart"/>
          </w:tcPr>
          <w:p>
            <w:pPr>
              <w:spacing w:after="0"/>
              <w:rPr>
                <w:sz w:val="20"/>
                <w:szCs w:val="20"/>
                <w:color w:val="auto"/>
              </w:rPr>
            </w:pPr>
            <w:r>
              <w:rPr>
                <w:rFonts w:ascii="Arial" w:cs="Arial" w:eastAsia="Arial" w:hAnsi="Arial"/>
                <w:sz w:val="18"/>
                <w:szCs w:val="18"/>
                <w:color w:val="auto"/>
              </w:rPr>
              <w:t>Average Price*</w:t>
            </w: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7"/>
                <w:szCs w:val="17"/>
                <w:color w:val="auto"/>
              </w:rPr>
              <w:t>Number of</w:t>
            </w:r>
          </w:p>
        </w:tc>
        <w:tc>
          <w:tcPr>
            <w:tcW w:w="180" w:type="dxa"/>
            <w:vAlign w:val="bottom"/>
          </w:tcPr>
          <w:p>
            <w:pPr>
              <w:spacing w:after="0"/>
              <w:rPr>
                <w:sz w:val="12"/>
                <w:szCs w:val="12"/>
                <w:color w:val="auto"/>
              </w:rPr>
            </w:pPr>
          </w:p>
        </w:tc>
        <w:tc>
          <w:tcPr>
            <w:tcW w:w="940" w:type="dxa"/>
            <w:vAlign w:val="bottom"/>
          </w:tcPr>
          <w:p>
            <w:pPr>
              <w:jc w:val="center"/>
              <w:ind w:right="91"/>
              <w:spacing w:after="0" w:line="149" w:lineRule="exact"/>
              <w:rPr>
                <w:sz w:val="20"/>
                <w:szCs w:val="20"/>
                <w:color w:val="auto"/>
              </w:rPr>
            </w:pPr>
            <w:r>
              <w:rPr>
                <w:rFonts w:ascii="Arial" w:cs="Arial" w:eastAsia="Arial" w:hAnsi="Arial"/>
                <w:sz w:val="17"/>
                <w:szCs w:val="17"/>
                <w:color w:val="auto"/>
                <w:w w:val="94"/>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Shares</w:t>
            </w:r>
          </w:p>
        </w:tc>
        <w:tc>
          <w:tcPr>
            <w:tcW w:w="1340" w:type="dxa"/>
            <w:vAlign w:val="bottom"/>
            <w:gridSpan w:val="3"/>
            <w:vMerge w:val="continue"/>
          </w:tcPr>
          <w:p>
            <w:pPr>
              <w:spacing w:after="0"/>
              <w:rPr>
                <w:sz w:val="18"/>
                <w:szCs w:val="18"/>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Units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1,287,605</w:t>
            </w: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8.98</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110,550</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153,000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10.55</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95,200</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(97,000)</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8.47</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(50,525)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(45,750)</w:t>
            </w: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8.87</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(28,500)</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10.22</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2021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1,269,355</w:t>
            </w:r>
          </w:p>
        </w:tc>
        <w:tc>
          <w:tcPr>
            <w:tcW w:w="26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9.18</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155,225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7700" w:firstLine="8"/>
        <w:spacing w:after="0" w:line="342" w:lineRule="auto"/>
        <w:tabs>
          <w:tab w:leader="none" w:pos="3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 average grant stock price per share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about equity awards outstanding that are vested and expect to vest and equity awards that are exercisable at</w:t>
      </w:r>
    </w:p>
    <w:p>
      <w:pPr>
        <w:spacing w:after="0"/>
        <w:rPr>
          <w:sz w:val="20"/>
          <w:szCs w:val="20"/>
          <w:color w:val="auto"/>
        </w:rPr>
      </w:pPr>
      <w:r>
        <w:rPr>
          <w:rFonts w:ascii="Arial" w:cs="Arial" w:eastAsia="Arial" w:hAnsi="Arial"/>
          <w:sz w:val="18"/>
          <w:szCs w:val="18"/>
          <w:color w:val="auto"/>
        </w:rPr>
        <w:t>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18"/>
                <w:szCs w:val="18"/>
                <w:color w:val="auto"/>
              </w:rPr>
            </w:pPr>
          </w:p>
        </w:tc>
        <w:tc>
          <w:tcPr>
            <w:tcW w:w="4320" w:type="dxa"/>
            <w:vAlign w:val="bottom"/>
            <w:tcBorders>
              <w:bottom w:val="single" w:sz="8" w:color="auto"/>
            </w:tcBorders>
            <w:gridSpan w:val="9"/>
          </w:tcPr>
          <w:p>
            <w:pPr>
              <w:jc w:val="right"/>
              <w:ind w:right="49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20" w:type="dxa"/>
            <w:vAlign w:val="bottom"/>
            <w:tcBorders>
              <w:bottom w:val="single" w:sz="8" w:color="auto"/>
            </w:tcBorders>
            <w:gridSpan w:val="9"/>
          </w:tcPr>
          <w:p>
            <w:pPr>
              <w:jc w:val="right"/>
              <w:ind w:right="71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89"/>
              </w:rPr>
              <w:t>Average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4"/>
              </w:rPr>
              <w:t>Aggregate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5"/>
              </w:rPr>
              <w:t>Remaining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6"/>
              </w:rPr>
              <w:t>Aggregate</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6"/>
              </w:rPr>
              <w:t>Intrinsic</w:t>
            </w:r>
          </w:p>
        </w:tc>
        <w:tc>
          <w:tcPr>
            <w:tcW w:w="1100" w:type="dxa"/>
            <w:vAlign w:val="bottom"/>
            <w:gridSpan w:val="2"/>
            <w:vMerge w:val="continue"/>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6"/>
              </w:rPr>
              <w:t>Intrinsic</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1"/>
              </w:rPr>
              <w:t>Value</w:t>
            </w: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Term**</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6"/>
              </w:rPr>
              <w:t>Value</w:t>
            </w:r>
          </w:p>
        </w:tc>
        <w:tc>
          <w:tcPr>
            <w:tcW w:w="10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1,269,355</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2,662</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856,723</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1,982</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132,518</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weighted-average contractual remaining term in years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2021, unrecognized compensation cost related to non-vested equity awards granted under our stock incentive plans is approximately $2.1 million, which is expected to be recognized over a weighted average period of 2.4 years.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total fair value of awards vested was $1.7 million during both the years ended December 31, 2021 and 2020. The total intrinsic value (which is the amount by which the stock price exceeded the exercise price on the date of exercise) of stock options exercised during the years ended December 31, 2021 and 2020 was $268 thousand and $174 thousand, respectively, and cash received from option exercises was $436 thousand and $375 thousand in 2021 and 2020, respectively. 97,000 and 62,500 stock options were exercised during the year ended December 31, 2021 and 2020, respectively. We recorded a realized tax provision in 2021 and 2020 from equity-based awards of $35 thousand and $14 thousand, respectively, related to options exercised.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the income tax benefit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(2,086)</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effective tax rates were 33.3% and 31.1% for 2021 and 2020, respectively. The tax benefit recorded for 2021 included the recognition of the gain on the forgiveness of the PPP Loan which is not taxable. The effective tax rate for 2020 included the impact of the net operating loss (“NOL”) that we carried back to prior years. The CARES Act permits NOLs incurred in 2018, 2019 and 2020 to be carried back to each of the five preceding taxable years to generate a refund of previously paid income taxes. We generated a NOL for 2020 which was carried back to tax years that had a federal statutory tax rate of 34% compared to 21% in 2020 and resulted in a tax refund of $2.2 million that was received in October 2021 causing a significant reduction in prepaid income taxes at December 31, 2021 compared to December 31, 2020.</w:t>
      </w:r>
    </w:p>
    <w:p>
      <w:pPr>
        <w:sectPr>
          <w:pgSz w:w="11900" w:h="16838" w:orient="portrait"/>
          <w:cols w:equalWidth="0" w:num="1">
            <w:col w:w="11240"/>
          </w:cols>
          <w:pgMar w:left="320" w:top="112"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p>
      <w:pPr>
        <w:jc w:val="both"/>
        <w:spacing w:after="0" w:line="224" w:lineRule="auto"/>
        <w:rPr>
          <w:sz w:val="20"/>
          <w:szCs w:val="20"/>
          <w:color w:val="auto"/>
        </w:rPr>
      </w:pPr>
      <w:r>
        <w:rPr>
          <w:rFonts w:ascii="Arial" w:cs="Arial" w:eastAsia="Arial" w:hAnsi="Arial"/>
          <w:sz w:val="18"/>
          <w:szCs w:val="18"/>
          <w:color w:val="auto"/>
        </w:rPr>
        <w:t>At December 31, 2021, we have $2.0 million of federal net operating loss carryforwards and $78 thousand of state net operating loss carryforwards, $901 thousand in R&amp;D credit carryforwards, and no state tax credit carryforwards. Foreign loss before taxes was $404 thousand and $468 thousand in 2021 and 2020, respectively.</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 net operating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R&amp;D credit carryforward</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901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50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5,184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50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2021, a valuation allowance of $733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16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r>
      <w:tr>
        <w:trPr>
          <w:trHeight w:val="203"/>
        </w:trPr>
        <w:tc>
          <w:tcPr>
            <w:tcW w:w="93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statutory rate</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21.0%</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PPP loan forgiveness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R&amp;D credit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Business meals and entertainment</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positions</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cancellations</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w:t>
            </w:r>
          </w:p>
        </w:tc>
      </w:tr>
      <w:tr>
        <w:trPr>
          <w:trHeight w:val="27"/>
        </w:trPr>
        <w:tc>
          <w:tcPr>
            <w:tcW w:w="8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7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33.3%</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31.1%</w:t>
            </w:r>
          </w:p>
        </w:tc>
      </w:tr>
      <w:tr>
        <w:trPr>
          <w:trHeight w:val="581"/>
        </w:trPr>
        <w:tc>
          <w:tcPr>
            <w:tcW w:w="8600" w:type="dxa"/>
            <w:vAlign w:val="bottom"/>
            <w:tcBorders>
              <w:top w:val="single" w:sz="8" w:color="CCEEFF"/>
            </w:tcBorders>
          </w:tcPr>
          <w:p>
            <w:pPr>
              <w:ind w:left="5480"/>
              <w:spacing w:after="0"/>
              <w:rPr>
                <w:sz w:val="20"/>
                <w:szCs w:val="20"/>
                <w:color w:val="auto"/>
              </w:rPr>
            </w:pPr>
            <w:r>
              <w:rPr>
                <w:rFonts w:ascii="Arial" w:cs="Arial" w:eastAsia="Arial" w:hAnsi="Arial"/>
                <w:sz w:val="16"/>
                <w:szCs w:val="16"/>
                <w:color w:val="auto"/>
              </w:rPr>
              <w:t>F-19</w:t>
            </w:r>
          </w:p>
        </w:tc>
        <w:tc>
          <w:tcPr>
            <w:tcW w:w="7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54"/>
        </w:trPr>
        <w:tc>
          <w:tcPr>
            <w:tcW w:w="86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57" w:name="page58"/>
    <w:bookmarkEnd w:id="57"/>
    <w:p>
      <w:pPr>
        <w:jc w:val="both"/>
        <w:spacing w:after="0" w:line="219" w:lineRule="auto"/>
        <w:rPr>
          <w:sz w:val="20"/>
          <w:szCs w:val="20"/>
          <w:color w:val="auto"/>
        </w:rPr>
      </w:pPr>
      <w:r>
        <w:rPr>
          <w:rFonts w:ascii="Arial" w:cs="Arial" w:eastAsia="Arial" w:hAnsi="Arial"/>
          <w:sz w:val="18"/>
          <w:szCs w:val="18"/>
          <w:color w:val="auto"/>
        </w:rPr>
        <w:t>We had $144 thousand and $121 thousand of total gross unrecognized tax benefits at December 31, 2021 and 2020,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expect $28 thousand of the $144 thousand of unrecognized tax benefits will reverse in 2022 upon the expiration of the statute of limitations.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$20 thousand and $19 thousand as of December 31, 2021 and 2020, respectively.</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2017. However, our federal tax returns for the years 2018 through 2021 remain open to examination. Various state and foreign tax jurisdiction tax years remain open to examination as well, though we believe that any additional assessment would be immaterial to the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12. Earnings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Earnings per share was computed as follows (in thousands, except per share amounts):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color w:val="auto"/>
                <w:w w:val="91"/>
              </w:rPr>
              <w:t>Year Ended December 31,</w:t>
            </w:r>
          </w:p>
        </w:tc>
      </w:tr>
      <w:tr>
        <w:trPr>
          <w:trHeight w:val="209"/>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9,298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7,827</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Dilutive effect of outstanding equity awards as determined by the treasury stock method</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9,298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7,827</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loss per common share: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(0.72)</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r>
    </w:tbl>
    <w:p>
      <w:pPr>
        <w:spacing w:after="0" w:line="18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Furthermore, in periods when a net loss is reported, such as 2021 and 2020, basic and diluted net loss per common share are calculated using the same method. Anti-dilutive stock awards excluded from the computation of earnings per dilutive share were 391,000 and 1,284,000 at December 31, 2021 and 2020,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cost method to account for treasury stock purchases, under which the price paid for the stock is charged to the treasury stock account. Repurchases of our common stock are accounted for as of the settlement date. During 2021 and 2020, we did not repurchase any shares of our common stock. From January 1, 2005 through December 31, 2019, we repurchased a total of 4,044,842 shares of common stock for $32.1 million, at an average price of $7.94 per share.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32,400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6,986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39,386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1,770</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18% and 19% of total sales in 2021 and 2020, respectively. Sales to Europe represented 53% and 45%, sales to the Pacific Rim (which includes Australia and Asia) represented 35% and 45%, and sales to Canada represented 11% and 8% of total international sales in 2021 and 2020, respectively. International long-lived assets consist of net fixed assets located at our foreign subsidiary in the UK as well as our contract manufacturers in China, Thailand, Malaysia and Mexico.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4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Operating lease expense was $1.0 million for both years ended December 31, 2021 and 2020 and is reported as “Cost of sales,” “Engineering, design and product development expense,” “Selling and marketing expense,” and “General and administrative expense” in the Consolidated Statements of Operations. Operating costs include short-term lease costs, which were immaterial during the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17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-1905</wp:posOffset>
            </wp:positionV>
            <wp:extent cx="15601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tabs>
          <w:tab w:leader="none" w:pos="8660" w:val="left"/>
          <w:tab w:leader="none" w:pos="9520" w:val="left"/>
          <w:tab w:leader="none" w:pos="10000" w:val="left"/>
          <w:tab w:leader="none" w:pos="10700" w:val="left"/>
        </w:tabs>
        <w:rPr>
          <w:sz w:val="20"/>
          <w:szCs w:val="20"/>
          <w:color w:val="auto"/>
        </w:rPr>
      </w:pPr>
      <w:r>
        <w:rPr>
          <w:rFonts w:ascii="Arial" w:cs="Arial" w:eastAsia="Arial" w:hAnsi="Arial"/>
          <w:sz w:val="18"/>
          <w:szCs w:val="18"/>
          <w:color w:val="auto"/>
        </w:rPr>
        <w:t>Operating cash outflows from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982</w:t>
        <w:tab/>
        <w:t>$</w:t>
      </w:r>
      <w:r>
        <w:rPr>
          <w:sz w:val="20"/>
          <w:szCs w:val="20"/>
          <w:color w:val="auto"/>
        </w:rPr>
        <w:tab/>
      </w:r>
      <w:r>
        <w:rPr>
          <w:rFonts w:ascii="Arial" w:cs="Arial" w:eastAsia="Arial" w:hAnsi="Arial"/>
          <w:sz w:val="16"/>
          <w:szCs w:val="16"/>
          <w:color w:val="auto"/>
        </w:rPr>
        <w:t>1,040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our leases as of December 31, 2021:</w:t>
      </w:r>
    </w:p>
    <w:p>
      <w:pPr>
        <w:spacing w:after="0" w:line="16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86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1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3.5</w:t>
            </w: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0"/>
                <w:szCs w:val="20"/>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418"/>
        </w:trPr>
        <w:tc>
          <w:tcPr>
            <w:tcW w:w="8600" w:type="dxa"/>
            <w:vAlign w:val="bottom"/>
          </w:tcPr>
          <w:p>
            <w:pPr>
              <w:spacing w:after="0"/>
              <w:rPr>
                <w:sz w:val="20"/>
                <w:szCs w:val="20"/>
                <w:color w:val="auto"/>
              </w:rPr>
            </w:pPr>
            <w:r>
              <w:rPr>
                <w:rFonts w:ascii="Arial" w:cs="Arial" w:eastAsia="Arial" w:hAnsi="Arial"/>
                <w:sz w:val="18"/>
                <w:szCs w:val="18"/>
                <w:color w:val="auto"/>
                <w:w w:val="96"/>
              </w:rPr>
              <w:t>The maturity of the Company’s operating lease liabilities as of December 31, 2021 are as follows (in thousands):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 2021</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Total undiscounted lease payments</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88"/>
              </w:rPr>
              <w:t>2,777</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Total lease liabilities</w:t>
            </w:r>
          </w:p>
        </w:tc>
        <w:tc>
          <w:tcPr>
            <w:tcW w:w="800" w:type="dxa"/>
            <w:vAlign w:val="bottom"/>
            <w:gridSpan w:val="2"/>
          </w:tcPr>
          <w:p>
            <w:pPr>
              <w:jc w:val="right"/>
              <w:ind w:right="33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88"/>
              </w:rPr>
              <w:t>2,570</w:t>
            </w:r>
          </w:p>
        </w:tc>
        <w:tc>
          <w:tcPr>
            <w:tcW w:w="0" w:type="dxa"/>
            <w:vAlign w:val="bottom"/>
          </w:tcPr>
          <w:p>
            <w:pPr>
              <w:spacing w:after="0"/>
              <w:rPr>
                <w:sz w:val="1"/>
                <w:szCs w:val="1"/>
                <w:color w:val="auto"/>
              </w:rPr>
            </w:pPr>
          </w:p>
        </w:tc>
      </w:tr>
      <w:tr>
        <w:trPr>
          <w:trHeight w:val="21"/>
        </w:trPr>
        <w:tc>
          <w:tcPr>
            <w:tcW w:w="8600" w:type="dxa"/>
            <w:vAlign w:val="bottom"/>
            <w:vMerge w:val="restart"/>
          </w:tcPr>
          <w:p>
            <w:pPr>
              <w:ind w:left="5480"/>
              <w:spacing w:after="0"/>
              <w:rPr>
                <w:sz w:val="20"/>
                <w:szCs w:val="20"/>
                <w:color w:val="auto"/>
              </w:rPr>
            </w:pPr>
            <w:r>
              <w:rPr>
                <w:rFonts w:ascii="Arial" w:cs="Arial" w:eastAsia="Arial" w:hAnsi="Arial"/>
                <w:sz w:val="16"/>
                <w:szCs w:val="16"/>
                <w:color w:val="auto"/>
              </w:rPr>
              <w:t>F-21</w:t>
            </w: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8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r>
              <w:rPr>
                <w:rFonts w:ascii="Arial" w:cs="Arial" w:eastAsia="Arial" w:hAnsi="Arial"/>
                <w:sz w:val="18"/>
                <w:szCs w:val="18"/>
                <w:b w:val="1"/>
                <w:bCs w:val="1"/>
                <w:color w:val="auto"/>
              </w:rPr>
              <w:t>16. Quarterly results of operations (unaudited)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80" w:type="dxa"/>
            <w:vAlign w:val="bottom"/>
          </w:tcPr>
          <w:p>
            <w:pPr>
              <w:spacing w:after="0"/>
              <w:rPr>
                <w:sz w:val="20"/>
                <w:szCs w:val="20"/>
                <w:color w:val="auto"/>
              </w:rPr>
            </w:pPr>
            <w:r>
              <w:rPr>
                <w:rFonts w:ascii="Arial" w:cs="Arial" w:eastAsia="Arial" w:hAnsi="Arial"/>
                <w:sz w:val="18"/>
                <w:szCs w:val="18"/>
                <w:color w:val="auto"/>
              </w:rPr>
              <w:t>Our quarterly results of operations for 2021 and 2020 are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March 31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9"/>
              </w:rPr>
              <w:t>June 30</w:t>
            </w:r>
          </w:p>
        </w:tc>
        <w:tc>
          <w:tcPr>
            <w:tcW w:w="13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8,301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9,325</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10,637</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3,189</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3,325</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4,317</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(2,206)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(2,114)</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Net (loss) income per common share: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(0.25)</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(0.24)</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0.09</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5,285</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7,300</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4,918</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2,290</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3,349</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Net loss per common share: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(0.25)</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5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48" w:lineRule="exact"/>
        <w:rPr>
          <w:sz w:val="20"/>
          <w:szCs w:val="20"/>
          <w:color w:val="auto"/>
        </w:rPr>
      </w:pPr>
    </w:p>
    <w:p>
      <w:pPr>
        <w:jc w:val="both"/>
        <w:ind w:right="400"/>
        <w:spacing w:after="0" w:line="224" w:lineRule="auto"/>
        <w:rPr>
          <w:sz w:val="20"/>
          <w:szCs w:val="20"/>
          <w:color w:val="auto"/>
        </w:rPr>
      </w:pPr>
      <w:r>
        <w:rPr>
          <w:rFonts w:ascii="Arial" w:cs="Arial" w:eastAsia="Arial" w:hAnsi="Arial"/>
          <w:sz w:val="18"/>
          <w:szCs w:val="18"/>
          <w:color w:val="auto"/>
        </w:rPr>
        <w:t>The Company has evaluated all events or transactions that occurred up to the date the consolidated financial statements were available to issue. Based upon this review, the Company did not identify any subsequent events that would have required adjustment or disclosure in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0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December 23, 2008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Andrew J. Hoffman</w:t>
      </w:r>
    </w:p>
    <w:p>
      <w:pPr>
        <w:spacing w:after="0" w:line="238" w:lineRule="auto"/>
        <w:rPr>
          <w:sz w:val="20"/>
          <w:szCs w:val="20"/>
          <w:color w:val="auto"/>
        </w:rPr>
      </w:pPr>
      <w:r>
        <w:rPr>
          <w:rFonts w:ascii="Arial" w:cs="Arial" w:eastAsia="Arial" w:hAnsi="Arial"/>
          <w:sz w:val="22"/>
          <w:szCs w:val="22"/>
          <w:color w:val="auto"/>
        </w:rPr>
        <w:t>90 Main Street</w:t>
      </w:r>
    </w:p>
    <w:p>
      <w:pPr>
        <w:spacing w:after="0"/>
        <w:rPr>
          <w:sz w:val="20"/>
          <w:szCs w:val="20"/>
          <w:color w:val="auto"/>
        </w:rPr>
      </w:pPr>
      <w:r>
        <w:rPr>
          <w:rFonts w:ascii="Arial" w:cs="Arial" w:eastAsia="Arial" w:hAnsi="Arial"/>
          <w:sz w:val="22"/>
          <w:szCs w:val="22"/>
          <w:color w:val="auto"/>
        </w:rPr>
        <w:t>Homer, NY 13077</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Amendment to Severance Agreement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Dear Mr. Hoffman:</w:t>
      </w:r>
    </w:p>
    <w:p>
      <w:pPr>
        <w:spacing w:after="0" w:line="233"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Reference is made to the Severance Agreement by and between you and TransAct Technologies, Incorporated (the "Company") dated November 18, 2005 (the "Agreement"). In order that the Agreement comply in form with the applicable requirements of Section 409A of the Internal Revenue Code of 1986, as amended, the following changes to the Agreement are hereby proposed:</w:t>
      </w:r>
    </w:p>
    <w:p>
      <w:pPr>
        <w:spacing w:after="0" w:line="200" w:lineRule="exact"/>
        <w:rPr>
          <w:sz w:val="20"/>
          <w:szCs w:val="20"/>
          <w:color w:val="auto"/>
        </w:rPr>
      </w:pPr>
    </w:p>
    <w:p>
      <w:pPr>
        <w:spacing w:after="0" w:line="255" w:lineRule="exact"/>
        <w:rPr>
          <w:sz w:val="20"/>
          <w:szCs w:val="20"/>
          <w:color w:val="auto"/>
        </w:rPr>
      </w:pPr>
    </w:p>
    <w:p>
      <w:pPr>
        <w:ind w:left="1460" w:hanging="804"/>
        <w:spacing w:after="0"/>
        <w:tabs>
          <w:tab w:leader="none" w:pos="14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Deleting clause (D) in Subsection 1(d) and replacing it with the following text:</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spacing w:after="0" w:line="215" w:lineRule="exact"/>
        <w:rPr>
          <w:sz w:val="20"/>
          <w:szCs w:val="20"/>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Adding a new Subsection 1(e) immediately following Subsection 1(d), to read as follows:</w:t>
      </w:r>
    </w:p>
    <w:p>
      <w:pPr>
        <w:spacing w:after="0" w:line="23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"(e) "Separation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spacing w:after="0" w:line="212"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Adding the following sentence at the end of Subsection 2(b):</w:t>
      </w:r>
    </w:p>
    <w:p>
      <w:pPr>
        <w:spacing w:after="0" w:line="23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this sentence shall not apply to any portion of the amounts payable under Section 2(b)(i)-(ii) that constitutes or includes nonqualified deferred compensation subject to Section 409A of the Internal Revenue Code of 1986, as amended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1460" w:hanging="804"/>
        <w:spacing w:after="0"/>
        <w:tabs>
          <w:tab w:leader="none" w:pos="14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Adding the following text at the end of Subsection 2(c):</w:t>
      </w:r>
    </w:p>
    <w:p>
      <w:pPr>
        <w:spacing w:after="0" w:line="234"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 xml:space="preserve">"Any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Arial" w:cs="Arial" w:eastAsia="Arial" w:hAnsi="Arial"/>
          <w:sz w:val="21"/>
          <w:szCs w:val="21"/>
          <w:i w:val="1"/>
          <w:iCs w:val="1"/>
          <w:color w:val="auto"/>
        </w:rPr>
        <w:t>provided</w:t>
      </w:r>
      <w:r>
        <w:rPr>
          <w:rFonts w:ascii="Arial" w:cs="Arial" w:eastAsia="Arial" w:hAnsi="Arial"/>
          <w:sz w:val="21"/>
          <w:szCs w:val="21"/>
          <w:color w:val="auto"/>
        </w:rPr>
        <w:t>, that the first such payment shall include any amounts that would have been paid earlier but for the provisions of this subsection (c)."</w:t>
      </w:r>
    </w:p>
    <w:p>
      <w:pPr>
        <w:spacing w:after="0" w:line="204" w:lineRule="exact"/>
        <w:rPr>
          <w:sz w:val="20"/>
          <w:szCs w:val="20"/>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Adding a new Section 11 immediately following Section 10, to read as follows:</w:t>
      </w:r>
    </w:p>
    <w:p>
      <w:pPr>
        <w:spacing w:after="0" w:line="233" w:lineRule="exact"/>
        <w:rPr>
          <w:sz w:val="20"/>
          <w:szCs w:val="20"/>
          <w:color w:val="auto"/>
        </w:rPr>
      </w:pPr>
    </w:p>
    <w:p>
      <w:pPr>
        <w:jc w:val="center"/>
        <w:ind w:left="620"/>
        <w:spacing w:after="0"/>
        <w:tabs>
          <w:tab w:leader="none" w:pos="2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u w:val="single" w:color="auto"/>
          <w:color w:val="auto"/>
        </w:rPr>
        <w:t>Executive Incentive Compensation Plan</w:t>
      </w:r>
      <w:r>
        <w:rPr>
          <w:rFonts w:ascii="Arial" w:cs="Arial" w:eastAsia="Arial" w:hAnsi="Arial"/>
          <w:sz w:val="22"/>
          <w:szCs w:val="22"/>
          <w:color w:val="auto"/>
        </w:rPr>
        <w:t>. During the twelve (12) month period subsequent to any Change in</w:t>
      </w:r>
    </w:p>
    <w:p>
      <w:pPr>
        <w:spacing w:after="0" w:line="3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Control, neither the Company, nor, if applicable, any successor to the Company, will eliminate the Executive's participation in the Company's Executive Incentive Compensation Plan or reduce the Executive's target bonus amount under that plan."</w:t>
      </w:r>
    </w:p>
    <w:p>
      <w:pPr>
        <w:spacing w:after="0" w:line="132" w:lineRule="exact"/>
        <w:rPr>
          <w:sz w:val="20"/>
          <w:szCs w:val="20"/>
          <w:color w:val="auto"/>
        </w:rPr>
      </w:pPr>
    </w:p>
    <w:p>
      <w:pPr>
        <w:ind w:left="660" w:right="2460" w:hanging="4"/>
        <w:spacing w:after="0" w:line="480" w:lineRule="auto"/>
        <w:tabs>
          <w:tab w:leader="none" w:pos="147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Adding a new Section 12 immediately following new Section 11, to read as follows: "12 </w:t>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 w:lineRule="exact"/>
        <w:rPr>
          <w:sz w:val="20"/>
          <w:szCs w:val="20"/>
          <w:color w:val="auto"/>
        </w:rPr>
      </w:pPr>
    </w:p>
    <w:p>
      <w:pPr>
        <w:ind w:left="2460" w:hanging="508"/>
        <w:spacing w:after="0"/>
        <w:tabs>
          <w:tab w:leader="none" w:pos="246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To the extent any portion of the payments to be made under the Agreement constitute</w:t>
      </w:r>
    </w:p>
    <w:p>
      <w:pPr>
        <w:spacing w:after="0" w:line="65" w:lineRule="exact"/>
        <w:rPr>
          <w:sz w:val="20"/>
          <w:szCs w:val="20"/>
          <w:color w:val="auto"/>
        </w:rPr>
      </w:pPr>
    </w:p>
    <w:p>
      <w:pPr>
        <w:ind w:right="620"/>
        <w:spacing w:after="0"/>
        <w:rPr>
          <w:sz w:val="20"/>
          <w:szCs w:val="20"/>
          <w:color w:val="auto"/>
        </w:rPr>
      </w:pPr>
      <w:r>
        <w:rPr>
          <w:rFonts w:ascii="Arial" w:cs="Arial" w:eastAsia="Arial" w:hAnsi="Arial"/>
          <w:sz w:val="22"/>
          <w:szCs w:val="22"/>
          <w:color w:val="auto"/>
        </w:rPr>
        <w:t>deferred compensation subject to Section 409A of the Code, such payments shall be made in accordance with the payment schedule provided in Section 2 of the Agreement, but not earlier than the 67th day following the date of the Involuntary Termination.</w:t>
      </w:r>
    </w:p>
    <w:p>
      <w:pPr>
        <w:spacing w:after="0" w:line="213" w:lineRule="exact"/>
        <w:rPr>
          <w:sz w:val="20"/>
          <w:szCs w:val="20"/>
          <w:color w:val="auto"/>
        </w:rPr>
      </w:pPr>
    </w:p>
    <w:p>
      <w:pPr>
        <w:ind w:left="2480" w:hanging="528"/>
        <w:spacing w:after="0"/>
        <w:tabs>
          <w:tab w:leader="none" w:pos="248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 other provision of the Agreement, if, at the time of</w:t>
      </w:r>
    </w:p>
    <w:p>
      <w:pPr>
        <w:spacing w:after="0" w:line="42"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be paid on the date that follows the date of such separation from service by six (6) months and one (1) 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ind w:firstLine="277"/>
        <w:spacing w:after="0" w:line="289" w:lineRule="auto"/>
        <w:rPr>
          <w:sz w:val="20"/>
          <w:szCs w:val="20"/>
          <w:color w:val="auto"/>
        </w:rPr>
      </w:pPr>
      <w:r>
        <w:rPr>
          <w:rFonts w:ascii="Arial" w:cs="Arial" w:eastAsia="Arial" w:hAnsi="Arial"/>
          <w:sz w:val="22"/>
          <w:szCs w:val="22"/>
          <w:color w:val="auto"/>
        </w:rPr>
        <w:t>If the foregoing proposed changes to the Agreement are acceptable to you, please so indicate in the space indicated below, whereupon the Agreement shall be so amended effective as of January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TRANSACT TECHNOLOGIES INCORPORATED</w:t>
      </w:r>
    </w:p>
    <w:p>
      <w:pPr>
        <w:spacing w:after="0" w:line="200" w:lineRule="exact"/>
        <w:rPr>
          <w:sz w:val="20"/>
          <w:szCs w:val="20"/>
          <w:color w:val="auto"/>
        </w:rPr>
      </w:pPr>
    </w:p>
    <w:p>
      <w:pPr>
        <w:spacing w:after="0" w:line="276"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Steven A. DeMartino</w:t>
      </w:r>
    </w:p>
    <w:p>
      <w:pPr>
        <w:spacing w:after="0" w:line="274" w:lineRule="exact"/>
        <w:rPr>
          <w:sz w:val="20"/>
          <w:szCs w:val="20"/>
          <w:color w:val="auto"/>
        </w:rPr>
      </w:pPr>
    </w:p>
    <w:p>
      <w:pPr>
        <w:ind w:left="3240"/>
        <w:spacing w:after="0"/>
        <w:tabs>
          <w:tab w:leader="none" w:pos="3980" w:val="left"/>
        </w:tabs>
        <w:rPr>
          <w:sz w:val="20"/>
          <w:szCs w:val="20"/>
          <w:color w:val="auto"/>
        </w:rPr>
      </w:pPr>
      <w:r>
        <w:rPr>
          <w:rFonts w:ascii="Arial" w:cs="Arial" w:eastAsia="Arial" w:hAnsi="Arial"/>
          <w:sz w:val="22"/>
          <w:szCs w:val="22"/>
          <w:color w:val="auto"/>
        </w:rPr>
        <w:t>Date:</w:t>
        <w:tab/>
        <w:t>12/28/2008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Andrew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4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Andrew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604" w:right="7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u w:val="single" w:color="auto"/>
          <w:color w:val="auto"/>
        </w:rPr>
        <w:t>SEVERANCE AGREEMENT</w:t>
      </w:r>
    </w:p>
    <w:p>
      <w:pPr>
        <w:spacing w:after="0" w:line="200" w:lineRule="exact"/>
        <w:rPr>
          <w:sz w:val="20"/>
          <w:szCs w:val="20"/>
          <w:color w:val="auto"/>
        </w:rPr>
      </w:pPr>
    </w:p>
    <w:p>
      <w:pPr>
        <w:spacing w:after="0" w:line="276" w:lineRule="exact"/>
        <w:rPr>
          <w:sz w:val="20"/>
          <w:szCs w:val="20"/>
          <w:color w:val="auto"/>
        </w:rPr>
      </w:pPr>
    </w:p>
    <w:p>
      <w:pPr>
        <w:jc w:val="both"/>
        <w:ind w:firstLine="518"/>
        <w:spacing w:after="0" w:line="236" w:lineRule="auto"/>
        <w:rPr>
          <w:sz w:val="20"/>
          <w:szCs w:val="20"/>
          <w:color w:val="auto"/>
        </w:rPr>
      </w:pPr>
      <w:r>
        <w:rPr>
          <w:rFonts w:ascii="Arial" w:cs="Arial" w:eastAsia="Arial" w:hAnsi="Arial"/>
          <w:sz w:val="22"/>
          <w:szCs w:val="22"/>
          <w:color w:val="auto"/>
        </w:rPr>
        <w:t>This Severance Agreement (the "Agreement") is entered into as of the 18th day of November 2005, by and between Andrew J. Hoffman, an individual with a residence address of 90 South Main Street, Homer NY 13077 (the "Executive"), and TransAct Technologies Incorporated, a Delaware corporation with a mailing address of 7 Laser Lane, Wallingford, Connecticut 06492 (the "Company"). As used in this Agreement, the "Company" shall also include all subsidiaries of the Company, as the context requires.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INTRODUCTION</w:t>
      </w:r>
    </w:p>
    <w:p>
      <w:pPr>
        <w:spacing w:after="0" w:line="233" w:lineRule="exact"/>
        <w:rPr>
          <w:sz w:val="20"/>
          <w:szCs w:val="20"/>
          <w:color w:val="auto"/>
        </w:rPr>
      </w:pPr>
    </w:p>
    <w:p>
      <w:pPr>
        <w:ind w:firstLine="526"/>
        <w:spacing w:after="0" w:line="250" w:lineRule="auto"/>
        <w:tabs>
          <w:tab w:leader="none" w:pos="859"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is in the business of designing, developing, manufacturing and marketing printers for point of sale, gaming and wagering, financial service and kiosk applications (the "Business").</w:t>
      </w:r>
    </w:p>
    <w:p>
      <w:pPr>
        <w:spacing w:after="0" w:line="201" w:lineRule="exact"/>
        <w:rPr>
          <w:rFonts w:ascii="Arial" w:cs="Arial" w:eastAsia="Arial" w:hAnsi="Arial"/>
          <w:sz w:val="22"/>
          <w:szCs w:val="22"/>
          <w:color w:val="auto"/>
        </w:rPr>
      </w:pPr>
    </w:p>
    <w:p>
      <w:pPr>
        <w:ind w:firstLine="526"/>
        <w:spacing w:after="0" w:line="250" w:lineRule="auto"/>
        <w:tabs>
          <w:tab w:leader="none" w:pos="8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desires that the Executive serve in his position with the Company and that the Company be able to rely upon his advice when requested as to the best interests of the Company, and its shareholders.</w:t>
      </w:r>
    </w:p>
    <w:p>
      <w:pPr>
        <w:spacing w:after="0" w:line="201" w:lineRule="exact"/>
        <w:rPr>
          <w:rFonts w:ascii="Arial" w:cs="Arial" w:eastAsia="Arial" w:hAnsi="Arial"/>
          <w:sz w:val="22"/>
          <w:szCs w:val="22"/>
          <w:color w:val="auto"/>
        </w:rPr>
      </w:pPr>
    </w:p>
    <w:p>
      <w:pPr>
        <w:jc w:val="both"/>
        <w:ind w:firstLine="526"/>
        <w:spacing w:after="0"/>
        <w:tabs>
          <w:tab w:leader="none" w:pos="842"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Board of Directors of the Company believes Executive can best serve the Company without the distractions of personal uncertainties and risks that might be created in the event a change in control of the Company is proposed or his employment by the Company is terminated.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consideration of the premises and mutual promises hereinbelow set forth, the parties hereby agree as follows:</w:t>
      </w:r>
    </w:p>
    <w:p>
      <w:pPr>
        <w:spacing w:after="0" w:line="274" w:lineRule="exact"/>
        <w:rPr>
          <w:sz w:val="20"/>
          <w:szCs w:val="20"/>
          <w:color w:val="auto"/>
        </w:rPr>
      </w:pPr>
    </w:p>
    <w:p>
      <w:pPr>
        <w:ind w:left="660" w:hanging="445"/>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shall have the meanings indicated for the purposes of this Agreement: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 "Cause" shall mean: (i) the death or disability of the Executive (For purposes of this Agreement, "disability" shall mean</w:t>
      </w:r>
    </w:p>
    <w:p>
      <w:pPr>
        <w:spacing w:after="0" w:line="6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Executive's incapacity due to physical or mental illness which has caused the Executive to be absent from the full-time performance of his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4" w:name="page65"/>
    <w:bookmarkEnd w:id="64"/>
    <w:p>
      <w:pPr>
        <w:jc w:val="both"/>
        <w:ind w:left="-8" w:firstLine="1174"/>
        <w:spacing w:after="0" w:line="245" w:lineRule="auto"/>
        <w:tabs>
          <w:tab w:leader="none" w:pos="1591" w:val="left"/>
        </w:tabs>
        <w:numPr>
          <w:ilvl w:val="1"/>
          <w:numId w:val="37"/>
        </w:numPr>
        <w:rPr>
          <w:rFonts w:ascii="Arial" w:cs="Arial" w:eastAsia="Arial" w:hAnsi="Arial"/>
          <w:sz w:val="21"/>
          <w:szCs w:val="21"/>
          <w:color w:val="auto"/>
        </w:rPr>
      </w:pPr>
      <w:r>
        <w:rPr>
          <w:rFonts w:ascii="Arial" w:cs="Arial" w:eastAsia="Arial" w:hAnsi="Arial"/>
          <w:sz w:val="21"/>
          <w:szCs w:val="21"/>
          <w:color w:val="auto"/>
        </w:rPr>
        <w:t>"Change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 (3)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spacing w:after="0" w:line="211" w:lineRule="exact"/>
        <w:rPr>
          <w:rFonts w:ascii="Arial" w:cs="Arial" w:eastAsia="Arial" w:hAnsi="Arial"/>
          <w:sz w:val="21"/>
          <w:szCs w:val="21"/>
          <w:color w:val="auto"/>
        </w:rPr>
      </w:pPr>
    </w:p>
    <w:p>
      <w:pPr>
        <w:jc w:val="both"/>
        <w:ind w:left="-8" w:firstLine="1174"/>
        <w:spacing w:after="0" w:line="270" w:lineRule="auto"/>
        <w:tabs>
          <w:tab w:leader="none" w:pos="1536"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w:t>
      </w:r>
    </w:p>
    <w:p>
      <w:pPr>
        <w:spacing w:after="0" w:line="4" w:lineRule="exact"/>
        <w:rPr>
          <w:rFonts w:ascii="Arial" w:cs="Arial" w:eastAsia="Arial" w:hAnsi="Arial"/>
          <w:sz w:val="19"/>
          <w:szCs w:val="19"/>
          <w:color w:val="auto"/>
        </w:rPr>
      </w:pPr>
    </w:p>
    <w:p>
      <w:pPr>
        <w:jc w:val="both"/>
        <w:ind w:left="-8" w:firstLine="8"/>
        <w:spacing w:after="0" w:line="233" w:lineRule="auto"/>
        <w:tabs>
          <w:tab w:leader="none" w:pos="408" w:val="left"/>
        </w:tabs>
        <w:numPr>
          <w:ilvl w:val="0"/>
          <w:numId w:val="38"/>
        </w:numPr>
        <w:rPr>
          <w:rFonts w:ascii="Arial" w:cs="Arial" w:eastAsia="Arial" w:hAnsi="Arial"/>
          <w:sz w:val="22"/>
          <w:szCs w:val="22"/>
          <w:color w:val="auto"/>
        </w:rPr>
      </w:pPr>
      <w:r>
        <w:rPr>
          <w:rFonts w:ascii="Arial" w:cs="Arial" w:eastAsia="Arial" w:hAnsi="Arial"/>
          <w:sz w:val="22"/>
          <w:szCs w:val="22"/>
          <w:color w:val="auto"/>
        </w:rPr>
        <w:t>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spacing w:after="0" w:line="212" w:lineRule="exact"/>
        <w:rPr>
          <w:rFonts w:ascii="Arial" w:cs="Arial" w:eastAsia="Arial" w:hAnsi="Arial"/>
          <w:sz w:val="22"/>
          <w:szCs w:val="22"/>
          <w:color w:val="auto"/>
        </w:rPr>
      </w:pPr>
    </w:p>
    <w:p>
      <w:pPr>
        <w:jc w:val="both"/>
        <w:ind w:left="-8" w:firstLine="1174"/>
        <w:spacing w:after="0" w:line="271" w:lineRule="auto"/>
        <w:tabs>
          <w:tab w:leader="none" w:pos="1547" w:val="left"/>
        </w:tabs>
        <w:numPr>
          <w:ilvl w:val="1"/>
          <w:numId w:val="38"/>
        </w:numPr>
        <w:rPr>
          <w:rFonts w:ascii="Arial" w:cs="Arial" w:eastAsia="Arial" w:hAnsi="Arial"/>
          <w:sz w:val="19"/>
          <w:szCs w:val="19"/>
          <w:color w:val="auto"/>
        </w:rPr>
      </w:pPr>
      <w:r>
        <w:rPr>
          <w:rFonts w:ascii="Arial" w:cs="Arial" w:eastAsia="Arial" w:hAnsi="Arial"/>
          <w:sz w:val="19"/>
          <w:szCs w:val="19"/>
          <w:color w:val="auto"/>
        </w:rPr>
        <w:t>"Terminating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 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 (C) the relocation of the Executive’s principal place of employment (without his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elimination of the Executive's participation in the Company's Executive Incentive Compensation Plan (“EIC”) or a reduction in the Executive’s target bonus amount under the EIC.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65" w:name="page66"/>
    <w:bookmarkEnd w:id="65"/>
    <w:p>
      <w:pPr>
        <w:ind w:left="1440" w:hanging="266"/>
        <w:spacing w:after="0"/>
        <w:tabs>
          <w:tab w:leader="none" w:pos="144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34" w:lineRule="exact"/>
        <w:rPr>
          <w:sz w:val="20"/>
          <w:szCs w:val="20"/>
          <w:color w:val="auto"/>
        </w:rPr>
      </w:pPr>
    </w:p>
    <w:p>
      <w:pPr>
        <w:jc w:val="both"/>
        <w:ind w:firstLine="1174"/>
        <w:spacing w:after="0" w:line="233" w:lineRule="auto"/>
        <w:tabs>
          <w:tab w:leader="none" w:pos="155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If the Company terminates the employment of the Executive without Cause, other than as a result of a Terminating Event, then commencing on the date of such termination and for a period of six (6) months thereafter, the Company shall provide Executive with a severance package which shall consist of the following: (i) payment on the first business day of each month of an amount equal to one-twelfth of the Executive's then current annual base salary; (ii) payment on the first business day of each month of an amount equal to one-sixth of the Executive's annual target bonus amount under the EIC, pro rated for the portion of the fiscal year occurring prior to termination; and (iii)subject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w:t>
      </w:r>
    </w:p>
    <w:p>
      <w:pPr>
        <w:spacing w:after="0" w:line="219" w:lineRule="exact"/>
        <w:rPr>
          <w:rFonts w:ascii="Arial" w:cs="Arial" w:eastAsia="Arial" w:hAnsi="Arial"/>
          <w:sz w:val="22"/>
          <w:szCs w:val="22"/>
          <w:color w:val="auto"/>
        </w:rPr>
      </w:pPr>
    </w:p>
    <w:p>
      <w:pPr>
        <w:jc w:val="both"/>
        <w:ind w:firstLine="1174"/>
        <w:spacing w:after="0" w:line="268" w:lineRule="auto"/>
        <w:tabs>
          <w:tab w:leader="none" w:pos="158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With A Terminating Event.</w:t>
      </w:r>
      <w:r>
        <w:rPr>
          <w:rFonts w:ascii="Arial" w:cs="Arial" w:eastAsia="Arial" w:hAnsi="Arial"/>
          <w:sz w:val="19"/>
          <w:szCs w:val="19"/>
          <w:color w:val="auto"/>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(i) payment on the first business day of each month an amount equal to one-twelfth of the Executive's then current annual base salary; (ii) payment on the first business day of each month of an amount equal to one-twelfth of the Executive's annual target bonus amount under the Company's Executive Incentive Compensation Plan; and (iii)subject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the employment of the Executive as a result of a Terminating Event, then the Company shall cause the immediate vesting of all options granted by the Company to the Executive under the Company's stock plans. At any time when the Company is obligated to make monthly payments under Section 2(b), the Company shall, ten (10) days after receipt of a written request from the Executive, pay the Executive an amount equal to the balance of the amounts payable under Section 2(b)</w:t>
      </w:r>
    </w:p>
    <w:p>
      <w:pPr>
        <w:spacing w:after="0" w:line="6"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(i)-(ii), provided that the obligation of the Company to continue to contribute to medical and dental benefits pursuant to Section 2(b)(iii) or to make monthly payments under 2(b)(i)-(ii) shall cease upon the payment of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firstLine="1174"/>
        <w:spacing w:after="0" w:line="238" w:lineRule="auto"/>
        <w:tabs>
          <w:tab w:leader="none" w:pos="1527"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General Release</w:t>
      </w:r>
      <w:r>
        <w:rPr>
          <w:rFonts w:ascii="Arial" w:cs="Arial" w:eastAsia="Arial" w:hAnsi="Arial"/>
          <w:sz w:val="22"/>
          <w:szCs w:val="22"/>
          <w:color w:val="auto"/>
        </w:rPr>
        <w:t>. As a condition precedent to receiving any severance payment, the Executive shall execute a general release of any and all claims which Executive or his heirs, executors, agents or assigns might have against the Company, its subsidiaries, affiliates, successors, assigns and their past, present and future employees, officers, directors, agents and attorneys.</w:t>
      </w:r>
    </w:p>
    <w:p>
      <w:pPr>
        <w:spacing w:after="0" w:line="212" w:lineRule="exact"/>
        <w:rPr>
          <w:rFonts w:ascii="Arial" w:cs="Arial" w:eastAsia="Arial" w:hAnsi="Arial"/>
          <w:sz w:val="22"/>
          <w:szCs w:val="22"/>
          <w:color w:val="auto"/>
        </w:rPr>
      </w:pPr>
    </w:p>
    <w:p>
      <w:pPr>
        <w:ind w:right="20" w:firstLine="1174"/>
        <w:spacing w:after="0" w:line="250" w:lineRule="auto"/>
        <w:tabs>
          <w:tab w:leader="none" w:pos="1594"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under this Agreement shall be net of any tax or other amounts required to be withheld by the Employer under applicable law.</w:t>
      </w:r>
    </w:p>
    <w:p>
      <w:pPr>
        <w:spacing w:after="0" w:line="201" w:lineRule="exact"/>
        <w:rPr>
          <w:rFonts w:ascii="Arial" w:cs="Arial" w:eastAsia="Arial" w:hAnsi="Arial"/>
          <w:sz w:val="22"/>
          <w:szCs w:val="22"/>
          <w:color w:val="auto"/>
        </w:rPr>
      </w:pPr>
    </w:p>
    <w:p>
      <w:pPr>
        <w:jc w:val="both"/>
        <w:ind w:firstLine="980"/>
        <w:spacing w:after="0" w:line="257" w:lineRule="auto"/>
        <w:tabs>
          <w:tab w:leader="none" w:pos="1302"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In the event that the Executive breaches Section 3 of this Agreement, he shall forfeit any right to severance payments of benefits contribution hereunder and shall be required to return any severance payments or benefits contributions provided prior to such breach within ten (10) days after a written demand by the Company.</w:t>
      </w: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jc w:val="both"/>
        <w:ind w:firstLine="526"/>
        <w:spacing w:after="0" w:line="273" w:lineRule="auto"/>
        <w:tabs>
          <w:tab w:leader="none" w:pos="78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Executive's employment with the Company and (a) in the case of termination other than as a result of a Terminating Event, for six (6) months following the termination of Executive's employment with the Company or (b) in the case of termination as a result of a Terminating Event, for one (1)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his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spacing w:after="0" w:line="182" w:lineRule="exact"/>
        <w:rPr>
          <w:sz w:val="20"/>
          <w:szCs w:val="20"/>
          <w:color w:val="auto"/>
        </w:rPr>
      </w:pPr>
    </w:p>
    <w:p>
      <w:pPr>
        <w:jc w:val="both"/>
        <w:ind w:firstLine="518"/>
        <w:spacing w:after="0" w:line="250" w:lineRule="auto"/>
        <w:rPr>
          <w:sz w:val="20"/>
          <w:szCs w:val="20"/>
          <w:color w:val="auto"/>
        </w:rPr>
      </w:pPr>
      <w:r>
        <w:rPr>
          <w:rFonts w:ascii="Arial" w:cs="Arial" w:eastAsia="Arial" w:hAnsi="Arial"/>
          <w:sz w:val="22"/>
          <w:szCs w:val="22"/>
          <w:color w:val="auto"/>
        </w:rPr>
        <w:t>For purposes of this Agreement, the term "Person" shall mean an individual or corporation, association or partnership in estate or trust or any other entity or organization.</w:t>
      </w:r>
    </w:p>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1"/>
          <w:szCs w:val="21"/>
          <w:color w:val="auto"/>
        </w:rPr>
        <w:t>The Executive recognizes and agrees that because a violation by him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ind w:firstLine="518"/>
        <w:spacing w:after="0" w:line="277" w:lineRule="auto"/>
        <w:rPr>
          <w:sz w:val="20"/>
          <w:szCs w:val="20"/>
          <w:color w:val="auto"/>
        </w:rPr>
      </w:pPr>
      <w:r>
        <w:rPr>
          <w:rFonts w:ascii="Arial" w:cs="Arial" w:eastAsia="Arial" w:hAnsi="Arial"/>
          <w:sz w:val="19"/>
          <w:szCs w:val="19"/>
          <w:color w:val="auto"/>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spacing w:after="0" w:line="179" w:lineRule="exact"/>
        <w:rPr>
          <w:sz w:val="20"/>
          <w:szCs w:val="20"/>
          <w:color w:val="auto"/>
        </w:rPr>
      </w:pPr>
    </w:p>
    <w:p>
      <w:pPr>
        <w:jc w:val="both"/>
        <w:ind w:firstLine="526"/>
        <w:spacing w:after="0" w:line="238" w:lineRule="auto"/>
        <w:tabs>
          <w:tab w:leader="none" w:pos="91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Confidentiality Covenants</w:t>
      </w:r>
      <w:r>
        <w:rPr>
          <w:rFonts w:ascii="Arial" w:cs="Arial" w:eastAsia="Arial" w:hAnsi="Arial"/>
          <w:sz w:val="22"/>
          <w:szCs w:val="22"/>
          <w:color w:val="auto"/>
        </w:rPr>
        <w:t>. Executive understands that the Company may impart to him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spacing w:after="0" w:line="212"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Executive agrees as follows: (1) only to use the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1"/>
          <w:szCs w:val="21"/>
          <w:color w:val="auto"/>
        </w:rPr>
        <w:t>The Executive recognizes and agrees that because a violation by him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196" w:lineRule="exact"/>
        <w:rPr>
          <w:sz w:val="20"/>
          <w:szCs w:val="20"/>
          <w:color w:val="auto"/>
        </w:rPr>
      </w:pPr>
    </w:p>
    <w:p>
      <w:pPr>
        <w:jc w:val="both"/>
        <w:ind w:firstLine="526"/>
        <w:spacing w:after="0" w:line="297" w:lineRule="auto"/>
        <w:tabs>
          <w:tab w:leader="none" w:pos="78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Governing Law/Jurisdiction</w:t>
      </w:r>
      <w:r>
        <w:rPr>
          <w:rFonts w:ascii="Arial" w:cs="Arial" w:eastAsia="Arial" w:hAnsi="Arial"/>
          <w:sz w:val="19"/>
          <w:szCs w:val="19"/>
          <w:color w:val="auto"/>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both"/>
        <w:ind w:firstLine="526"/>
        <w:spacing w:after="0" w:line="238" w:lineRule="auto"/>
        <w:tabs>
          <w:tab w:leader="none" w:pos="84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spacing w:after="0" w:line="212" w:lineRule="exact"/>
        <w:rPr>
          <w:rFonts w:ascii="Arial" w:cs="Arial" w:eastAsia="Arial" w:hAnsi="Arial"/>
          <w:sz w:val="22"/>
          <w:szCs w:val="22"/>
          <w:color w:val="auto"/>
        </w:rPr>
      </w:pPr>
    </w:p>
    <w:p>
      <w:pPr>
        <w:jc w:val="both"/>
        <w:ind w:firstLine="526"/>
        <w:spacing w:after="0"/>
        <w:tabs>
          <w:tab w:leader="none" w:pos="78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spacing w:after="0" w:line="213" w:lineRule="exact"/>
        <w:rPr>
          <w:rFonts w:ascii="Arial" w:cs="Arial" w:eastAsia="Arial" w:hAnsi="Arial"/>
          <w:sz w:val="22"/>
          <w:szCs w:val="22"/>
          <w:color w:val="auto"/>
        </w:rPr>
      </w:pPr>
    </w:p>
    <w:p>
      <w:pPr>
        <w:ind w:left="1460" w:hanging="286"/>
        <w:spacing w:after="0"/>
        <w:tabs>
          <w:tab w:leader="none" w:pos="14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to the Company at:</w:t>
      </w:r>
    </w:p>
    <w:p>
      <w:pPr>
        <w:spacing w:after="0" w:line="23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7 Laser Lane</w:t>
      </w:r>
    </w:p>
    <w:p>
      <w:pPr>
        <w:ind w:left="1820"/>
        <w:spacing w:after="0" w:line="238" w:lineRule="auto"/>
        <w:rPr>
          <w:sz w:val="20"/>
          <w:szCs w:val="20"/>
          <w:color w:val="auto"/>
        </w:rPr>
      </w:pPr>
      <w:r>
        <w:rPr>
          <w:rFonts w:ascii="Arial" w:cs="Arial" w:eastAsia="Arial" w:hAnsi="Arial"/>
          <w:sz w:val="22"/>
          <w:szCs w:val="22"/>
          <w:color w:val="auto"/>
        </w:rPr>
        <w:t>Wallingford, Connecticut 06492</w:t>
      </w:r>
    </w:p>
    <w:p>
      <w:pPr>
        <w:ind w:left="1820"/>
        <w:spacing w:after="0"/>
        <w:rPr>
          <w:sz w:val="20"/>
          <w:szCs w:val="20"/>
          <w:color w:val="auto"/>
        </w:rPr>
      </w:pPr>
      <w:r>
        <w:rPr>
          <w:rFonts w:ascii="Arial" w:cs="Arial" w:eastAsia="Arial" w:hAnsi="Arial"/>
          <w:sz w:val="22"/>
          <w:szCs w:val="22"/>
          <w:color w:val="auto"/>
        </w:rPr>
        <w:t>Attn: CEO</w:t>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(b) to the Executive at:</w:t>
      </w:r>
    </w:p>
    <w:p>
      <w:pPr>
        <w:spacing w:after="0" w:line="23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90 South Main Street</w:t>
      </w:r>
    </w:p>
    <w:p>
      <w:pPr>
        <w:spacing w:after="0" w:line="8"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Homer, NY 13077</w:t>
      </w:r>
    </w:p>
    <w:p>
      <w:pPr>
        <w:spacing w:after="0" w:line="215"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22"/>
          <w:szCs w:val="22"/>
          <w:color w:val="auto"/>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spacing w:after="0" w:line="212" w:lineRule="exact"/>
        <w:rPr>
          <w:sz w:val="20"/>
          <w:szCs w:val="20"/>
          <w:color w:val="auto"/>
        </w:rPr>
      </w:pPr>
    </w:p>
    <w:p>
      <w:pPr>
        <w:jc w:val="both"/>
        <w:ind w:firstLine="518"/>
        <w:spacing w:after="0" w:line="250" w:lineRule="auto"/>
        <w:rPr>
          <w:sz w:val="20"/>
          <w:szCs w:val="20"/>
          <w:color w:val="auto"/>
        </w:rPr>
      </w:pPr>
      <w:r>
        <w:rPr>
          <w:rFonts w:ascii="Arial" w:cs="Arial" w:eastAsia="Arial" w:hAnsi="Arial"/>
          <w:sz w:val="22"/>
          <w:szCs w:val="22"/>
          <w:color w:val="auto"/>
        </w:rPr>
        <w:t>Either party may, by notice given to the other party in accordance with this section, designate another address or person for receipt of notices hereunder.</w:t>
      </w:r>
    </w:p>
    <w:p>
      <w:pPr>
        <w:spacing w:after="0" w:line="202" w:lineRule="exact"/>
        <w:rPr>
          <w:sz w:val="20"/>
          <w:szCs w:val="20"/>
          <w:color w:val="auto"/>
        </w:rPr>
      </w:pPr>
    </w:p>
    <w:p>
      <w:pPr>
        <w:jc w:val="both"/>
        <w:ind w:firstLine="526"/>
        <w:spacing w:after="0" w:line="248" w:lineRule="auto"/>
        <w:tabs>
          <w:tab w:leader="none" w:pos="869"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Agreement, or the application thereof to any person or under any circumstance, shall to any extent be invalid or unenforceable, the remainder of this Agreement, or the application of such terms to the persons or under circumstances 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656"/>
        <w:spacing w:after="0" w:line="235" w:lineRule="auto"/>
        <w:tabs>
          <w:tab w:leader="none" w:pos="91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spacing w:after="0" w:line="215" w:lineRule="exact"/>
        <w:rPr>
          <w:rFonts w:ascii="Arial" w:cs="Arial" w:eastAsia="Arial" w:hAnsi="Arial"/>
          <w:sz w:val="22"/>
          <w:szCs w:val="22"/>
          <w:color w:val="auto"/>
        </w:rPr>
      </w:pPr>
    </w:p>
    <w:p>
      <w:pPr>
        <w:jc w:val="both"/>
        <w:ind w:firstLine="656"/>
        <w:spacing w:after="0" w:line="279" w:lineRule="auto"/>
        <w:tabs>
          <w:tab w:leader="none" w:pos="102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Successors and Assignment</w:t>
      </w:r>
      <w:r>
        <w:rPr>
          <w:rFonts w:ascii="Arial" w:cs="Arial" w:eastAsia="Arial" w:hAnsi="Arial"/>
          <w:sz w:val="19"/>
          <w:szCs w:val="19"/>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This Agreement shall inure to the benefit of and be binding upon the Company and the Executive, their respective successors, executors, administrators, heirs and permitted assigns.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TRANSACT TECHNOLOGIES INCORPORATED</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Bart C. Shuldman</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Chairman, President and CEO</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J. Hoffman</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 Operations</w:t>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SEVERANCE AGREEMENT</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This Second Amendment to Severance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the 29th day of April 2021, by and between TransAct Technologies Incorporated,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Steven A. DeMartino, an executive officer of the Company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Executive and the Company are party to that certain Severance Agreement, dated as of June 1, 2004,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by the Amendment to Severance Agreement, dated as of December 23, 2008 (as so amended,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and the Company wish to enter into this Amendment solely to clarify a possible ambiguity</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meaning of certain provisions of the Agreement and to reflect the understanding of the Executive, the Company and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regarding such provisions.</w:t>
      </w:r>
    </w:p>
    <w:p>
      <w:pPr>
        <w:spacing w:after="0" w:line="17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Executive’s continuing employment with the Company and for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hereby agree as follows:</w:t>
      </w:r>
    </w:p>
    <w:p>
      <w:pPr>
        <w:spacing w:after="0" w:line="94"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of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Agreement is hereby amended solely to make the following changes:</w:t>
      </w:r>
    </w:p>
    <w:p>
      <w:pPr>
        <w:spacing w:after="0" w:line="200" w:lineRule="exact"/>
        <w:rPr>
          <w:rFonts w:ascii="Arial" w:cs="Arial" w:eastAsia="Arial" w:hAnsi="Arial"/>
          <w:sz w:val="19"/>
          <w:szCs w:val="19"/>
          <w:b w:val="1"/>
          <w:bCs w:val="1"/>
          <w:color w:val="auto"/>
        </w:rPr>
      </w:pPr>
    </w:p>
    <w:p>
      <w:pPr>
        <w:spacing w:after="0" w:line="262" w:lineRule="exact"/>
        <w:rPr>
          <w:rFonts w:ascii="Arial" w:cs="Arial" w:eastAsia="Arial" w:hAnsi="Arial"/>
          <w:sz w:val="19"/>
          <w:szCs w:val="19"/>
          <w:b w:val="1"/>
          <w:bCs w:val="1"/>
          <w:color w:val="auto"/>
        </w:rPr>
      </w:pPr>
    </w:p>
    <w:p>
      <w:pPr>
        <w:ind w:left="1620" w:hanging="316"/>
        <w:spacing w:after="0" w:line="250" w:lineRule="auto"/>
        <w:tabs>
          <w:tab w:leader="none" w:pos="1620"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Clause (iii) of Section 2(a) of the Agreement shall be deleted and replaced in its entirety with the following text:</w:t>
      </w:r>
    </w:p>
    <w:p>
      <w:pPr>
        <w:spacing w:after="0" w:line="390" w:lineRule="exact"/>
        <w:rPr>
          <w:rFonts w:ascii="Arial" w:cs="Arial" w:eastAsia="Arial" w:hAnsi="Arial"/>
          <w:sz w:val="22"/>
          <w:szCs w:val="22"/>
          <w:b w:val="1"/>
          <w:bCs w:val="1"/>
          <w:color w:val="auto"/>
        </w:rPr>
      </w:pPr>
    </w:p>
    <w:p>
      <w:pPr>
        <w:jc w:val="both"/>
        <w:ind w:left="162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“(iii) continuation of the following benefits (the “Benefits”): eligibility to participate in, and receive the maximum benefits available under, the Company’s insurance programs (including health, disability and life insurance) and any ERISA benefit plans, as the same may be adopted and/or amended from time to time, and all other fringe benefits that are provided by the Company to other senior executives, to receive the contribution by the Company to the Executive’s account of the maximum amount permitted under the Company’s 401(k) Plan and any other Company pension or retirement plan to the same extent available to the Executive during the Executive’s employment with the Company, and to receive the automobile allowance provided for the office of President and Chief Financial Officer under the Company’s automobile allowance policy.”</w:t>
      </w:r>
    </w:p>
    <w:p>
      <w:pPr>
        <w:spacing w:after="0" w:line="192" w:lineRule="exact"/>
        <w:rPr>
          <w:rFonts w:ascii="Arial" w:cs="Arial" w:eastAsia="Arial" w:hAnsi="Arial"/>
          <w:sz w:val="22"/>
          <w:szCs w:val="22"/>
          <w:b w:val="1"/>
          <w:bCs w:val="1"/>
          <w:color w:val="auto"/>
        </w:rPr>
      </w:pPr>
    </w:p>
    <w:p>
      <w:pPr>
        <w:ind w:left="1620" w:hanging="316"/>
        <w:spacing w:after="0" w:line="250" w:lineRule="auto"/>
        <w:tabs>
          <w:tab w:leader="none" w:pos="1620"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Clause (iii) of Section 2(b) of the Agreement shall be deleted and replaced in its entirety with the following text:</w:t>
      </w:r>
    </w:p>
    <w:p>
      <w:pPr>
        <w:spacing w:after="0" w:line="390"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“(iii) continuation of the Benefits.”</w:t>
      </w:r>
    </w:p>
    <w:p>
      <w:pPr>
        <w:spacing w:after="0" w:line="200" w:lineRule="exact"/>
        <w:rPr>
          <w:rFonts w:ascii="Arial" w:cs="Arial" w:eastAsia="Arial" w:hAnsi="Arial"/>
          <w:sz w:val="22"/>
          <w:szCs w:val="22"/>
          <w:b w:val="1"/>
          <w:bCs w:val="1"/>
          <w:color w:val="auto"/>
        </w:rPr>
      </w:pPr>
    </w:p>
    <w:p>
      <w:pPr>
        <w:spacing w:after="0" w:line="243" w:lineRule="exact"/>
        <w:rPr>
          <w:rFonts w:ascii="Arial" w:cs="Arial" w:eastAsia="Arial" w:hAnsi="Arial"/>
          <w:sz w:val="22"/>
          <w:szCs w:val="22"/>
          <w:b w:val="1"/>
          <w:bCs w:val="1"/>
          <w:color w:val="auto"/>
        </w:rPr>
      </w:pPr>
    </w:p>
    <w:p>
      <w:pPr>
        <w:jc w:val="both"/>
        <w:ind w:left="1300" w:hanging="644"/>
        <w:spacing w:after="0" w:line="237" w:lineRule="auto"/>
        <w:tabs>
          <w:tab w:leader="none" w:pos="130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Reference to and Effect on the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On and after the date of this Amendment, each reference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“this Agreement,” “hereunder,” “hereof” or words of like import referring to the Agreement shall mean and be a reference to the Agreement, as amended by this Amendment. The Agreement, as specifically amended by this Amendment, is and shall continue to be in full force and effect and is hereby in all respects ratified and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both"/>
        <w:ind w:left="644" w:hanging="644"/>
        <w:spacing w:after="0" w:line="239" w:lineRule="auto"/>
        <w:tabs>
          <w:tab w:leader="none" w:pos="64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governed by and interpreted and governed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the State of Connecticut. The parties agree that this Amendment was made and entered into in Connecticut and each party hereby consents to the jurisdiction of a competent court in Connecticut to hear any dispute arising out of this Agreement.</w:t>
      </w:r>
    </w:p>
    <w:p>
      <w:pPr>
        <w:spacing w:after="0" w:line="396" w:lineRule="exact"/>
        <w:rPr>
          <w:rFonts w:ascii="Arial" w:cs="Arial" w:eastAsia="Arial" w:hAnsi="Arial"/>
          <w:sz w:val="22"/>
          <w:szCs w:val="22"/>
          <w:b w:val="1"/>
          <w:bCs w:val="1"/>
          <w:color w:val="auto"/>
        </w:rPr>
      </w:pPr>
    </w:p>
    <w:p>
      <w:pPr>
        <w:jc w:val="both"/>
        <w:ind w:left="644" w:hanging="644"/>
        <w:spacing w:after="0" w:line="243" w:lineRule="auto"/>
        <w:tabs>
          <w:tab w:leader="none" w:pos="64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 Section headings used herein are for convenience of reference only, are not part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and are not to affect the construction of, or to be taken into consideration in interpreting, this Amendment.</w:t>
      </w:r>
    </w:p>
    <w:p>
      <w:pPr>
        <w:spacing w:after="0" w:line="392" w:lineRule="exact"/>
        <w:rPr>
          <w:rFonts w:ascii="Arial" w:cs="Arial" w:eastAsia="Arial" w:hAnsi="Arial"/>
          <w:sz w:val="22"/>
          <w:szCs w:val="22"/>
          <w:b w:val="1"/>
          <w:bCs w:val="1"/>
          <w:color w:val="auto"/>
        </w:rPr>
      </w:pPr>
    </w:p>
    <w:p>
      <w:pPr>
        <w:jc w:val="both"/>
        <w:ind w:left="644" w:hanging="644"/>
        <w:spacing w:after="0" w:line="283" w:lineRule="auto"/>
        <w:tabs>
          <w:tab w:leader="none" w:pos="64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may be executed in any number of counterparts and by different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(including, without limitation, DocuSign, shall be effective as delivery of an original executed counterpart hereof.</w:t>
      </w:r>
    </w:p>
    <w:p>
      <w:pPr>
        <w:spacing w:after="0" w:line="35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as of the date set forth below:</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22"/>
          <w:szCs w:val="22"/>
          <w:b w:val="1"/>
          <w:bCs w:val="1"/>
          <w:color w:val="auto"/>
        </w:rPr>
        <w:t>TRANSACT TECHNOLOGIES INCORPORATED:</w:t>
      </w:r>
    </w:p>
    <w:p>
      <w:pPr>
        <w:spacing w:after="0" w:line="200" w:lineRule="exact"/>
        <w:rPr>
          <w:sz w:val="20"/>
          <w:szCs w:val="20"/>
          <w:color w:val="auto"/>
        </w:rPr>
      </w:pPr>
    </w:p>
    <w:p>
      <w:pPr>
        <w:spacing w:after="0" w:line="236" w:lineRule="exact"/>
        <w:rPr>
          <w:sz w:val="20"/>
          <w:szCs w:val="20"/>
          <w:color w:val="auto"/>
        </w:rPr>
      </w:pPr>
    </w:p>
    <w:p>
      <w:pPr>
        <w:ind w:left="5344"/>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Bart C. Shuldman</w:t>
      </w:r>
    </w:p>
    <w:p>
      <w:pPr>
        <w:ind w:left="5344"/>
        <w:spacing w:after="0"/>
        <w:tabs>
          <w:tab w:leader="none" w:pos="608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Bart C. Shuldman</w:t>
      </w:r>
    </w:p>
    <w:p>
      <w:pPr>
        <w:spacing w:after="0" w:line="13" w:lineRule="exact"/>
        <w:rPr>
          <w:sz w:val="20"/>
          <w:szCs w:val="20"/>
          <w:color w:val="auto"/>
        </w:rPr>
      </w:pPr>
    </w:p>
    <w:p>
      <w:pPr>
        <w:ind w:left="5344"/>
        <w:spacing w:after="0"/>
        <w:tabs>
          <w:tab w:leader="none" w:pos="6064" w:val="left"/>
        </w:tabs>
        <w:rPr>
          <w:sz w:val="20"/>
          <w:szCs w:val="20"/>
          <w:color w:val="auto"/>
        </w:rPr>
      </w:pPr>
      <w:r>
        <w:rPr>
          <w:rFonts w:ascii="Arial" w:cs="Arial" w:eastAsia="Arial" w:hAnsi="Arial"/>
          <w:sz w:val="22"/>
          <w:szCs w:val="22"/>
          <w:color w:val="auto"/>
        </w:rPr>
        <w:t>Title:</w:t>
        <w:tab/>
        <w:t>Chief Executive Officer</w:t>
      </w:r>
    </w:p>
    <w:p>
      <w:pPr>
        <w:spacing w:after="0" w:line="241" w:lineRule="exact"/>
        <w:rPr>
          <w:sz w:val="20"/>
          <w:szCs w:val="20"/>
          <w:color w:val="auto"/>
        </w:rPr>
      </w:pPr>
    </w:p>
    <w:p>
      <w:pPr>
        <w:ind w:left="4964"/>
        <w:spacing w:after="0"/>
        <w:rPr>
          <w:sz w:val="20"/>
          <w:szCs w:val="20"/>
          <w:color w:val="auto"/>
        </w:rPr>
      </w:pP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4964"/>
        <w:spacing w:after="0"/>
        <w:rPr>
          <w:sz w:val="20"/>
          <w:szCs w:val="20"/>
          <w:color w:val="auto"/>
        </w:rPr>
      </w:pPr>
      <w:r>
        <w:rPr>
          <w:rFonts w:ascii="Arial" w:cs="Arial" w:eastAsia="Arial" w:hAnsi="Arial"/>
          <w:sz w:val="22"/>
          <w:szCs w:val="22"/>
          <w:u w:val="single" w:color="auto"/>
          <w:color w:val="auto"/>
        </w:rPr>
        <w:t>/s/ Steven A. DeMartino</w:t>
      </w:r>
    </w:p>
    <w:p>
      <w:pPr>
        <w:ind w:left="4964"/>
        <w:spacing w:after="0"/>
        <w:rPr>
          <w:sz w:val="20"/>
          <w:szCs w:val="20"/>
          <w:color w:val="auto"/>
        </w:rPr>
      </w:pPr>
      <w:r>
        <w:rPr>
          <w:rFonts w:ascii="Arial" w:cs="Arial" w:eastAsia="Arial" w:hAnsi="Arial"/>
          <w:sz w:val="22"/>
          <w:szCs w:val="22"/>
          <w:color w:val="auto"/>
        </w:rPr>
        <w:t>STEVEN A. DEMARTINO</w:t>
      </w:r>
    </w:p>
    <w:p>
      <w:pPr>
        <w:sectPr>
          <w:pgSz w:w="11900" w:h="16838" w:orient="portrait"/>
          <w:cols w:equalWidth="0" w:num="1">
            <w:col w:w="10584"/>
          </w:cols>
          <w:pgMar w:left="976" w:top="31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INDEPENDENT REGISTERED PUBLIC ACCOUNTING FIRM’S CONSENT</w:t>
      </w: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consent to the incorporation by reference in the Registration Statement of TransAct Technologies Incorporated on Form S-8 [File Nos. 333-203184, 333-132624, 333-170515, 333-221514, and 333-248054] and Form S-3 [File No. 333-248055 and 333-261026] of our report dated March 24, 2022, with respect to our audits of the consolidated financial statements of TransAct Technologies Incorporated as of December 31, 2021 and 2020 and for the years ended December 31, 2021 and 2020, which report is included in this Annual Report on Form 10-K of TransAct Technologies Incorporated for the year ended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Hartford, CT</w:t>
      </w:r>
    </w:p>
    <w:p>
      <w:pPr>
        <w:spacing w:after="0"/>
        <w:rPr>
          <w:sz w:val="20"/>
          <w:szCs w:val="20"/>
          <w:color w:val="auto"/>
        </w:rPr>
      </w:pPr>
      <w:r>
        <w:rPr>
          <w:rFonts w:ascii="Arial" w:cs="Arial" w:eastAsia="Arial" w:hAnsi="Arial"/>
          <w:sz w:val="22"/>
          <w:szCs w:val="22"/>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1298575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515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2021, as filed with the Securities and Exchange Commission on the date hereof (the “Report”), each of the undersigned officers of the Company, certify, pursuant to 18 U.S.C. § 1350, as adopted pursuant to § 906 of the Sarbanes-Oxley Act of 2002, that to the best of his knowledge:</w:t>
      </w:r>
    </w:p>
    <w:p>
      <w:pPr>
        <w:spacing w:after="0" w:line="150" w:lineRule="exact"/>
        <w:rPr>
          <w:sz w:val="20"/>
          <w:szCs w:val="20"/>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upperLetter"/>
      <w:start w:val="68"/>
    </w:lvl>
  </w:abstractNum>
  <w:abstractNum w:abstractNumId="14">
    <w:nsid w:val="614FD4A1"/>
    <w:multiLevelType w:val="hybridMultilevel"/>
    <w:lvl w:ilvl="0">
      <w:lvlJc w:val="left"/>
      <w:lvlText w:val="%1"/>
      <w:numFmt w:val="upperLetter"/>
      <w:start w:val="68"/>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Roman"/>
      <w:start w:val="4"/>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2"/>
    </w:lvl>
  </w:abstractNum>
  <w:abstractNum w:abstractNumId="19">
    <w:nsid w:val="3804823E"/>
    <w:multiLevelType w:val="hybridMultilevel"/>
    <w:lvl w:ilvl="0">
      <w:lvlJc w:val="left"/>
      <w:lvlText w:val="%1"/>
      <w:numFmt w:val="decimal"/>
      <w:start w:val="21"/>
    </w:lvl>
  </w:abstractNum>
  <w:abstractNum w:abstractNumId="20">
    <w:nsid w:val="77465F01"/>
    <w:multiLevelType w:val="hybridMultilevel"/>
    <w:lvl w:ilvl="0">
      <w:lvlJc w:val="left"/>
      <w:lvlText w:val="(%1)"/>
      <w:numFmt w:val="lowerRoman"/>
      <w:start w:val="10"/>
    </w:lvl>
  </w:abstractNum>
  <w:abstractNum w:abstractNumId="21">
    <w:nsid w:val="7724C67E"/>
    <w:multiLevelType w:val="hybridMultilevel"/>
    <w:lvl w:ilvl="0">
      <w:lvlJc w:val="left"/>
      <w:lvlText w:val="(%1)"/>
      <w:numFmt w:val="decimal"/>
      <w:start w:val="2"/>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upperLetter"/>
      <w:start w:val="68"/>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2"/>
    </w:lvl>
  </w:abstractNum>
  <w:abstractNum w:abstractNumId="28">
    <w:nsid w:val="153EA438"/>
    <w:multiLevelType w:val="hybridMultilevel"/>
    <w:lvl w:ilvl="0">
      <w:lvlJc w:val="left"/>
      <w:lvlText w:val="%1."/>
      <w:numFmt w:val="decimal"/>
      <w:start w:val="3"/>
    </w:lvl>
  </w:abstractNum>
  <w:abstractNum w:abstractNumId="29">
    <w:nsid w:val="3855585C"/>
    <w:multiLevelType w:val="hybridMultilevel"/>
    <w:lvl w:ilvl="0">
      <w:lvlJc w:val="left"/>
      <w:lvlText w:val="%1."/>
      <w:numFmt w:val="decimal"/>
      <w:start w:val="4"/>
    </w:lvl>
  </w:abstractNum>
  <w:abstractNum w:abstractNumId="30">
    <w:nsid w:val="70A64E2A"/>
    <w:multiLevelType w:val="hybridMultilevel"/>
    <w:lvl w:ilvl="0">
      <w:lvlJc w:val="left"/>
      <w:lvlText w:val="%1."/>
      <w:numFmt w:val="decimal"/>
      <w:start w:val="5"/>
    </w:lvl>
  </w:abstractNum>
  <w:abstractNum w:abstractNumId="31">
    <w:nsid w:val="6A2342EC"/>
    <w:multiLevelType w:val="hybridMultilevel"/>
    <w:lvl w:ilvl="0">
      <w:lvlJc w:val="left"/>
      <w:lvlText w:val="%1."/>
      <w:numFmt w:val="decimal"/>
      <w:start w:val="6"/>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lvl w:ilvl="1">
      <w:lvlJc w:val="left"/>
      <w:lvlText w:val="(%2)"/>
      <w:numFmt w:val="lowerLetter"/>
      <w:start w:val="2"/>
    </w:lvl>
  </w:abstractNum>
  <w:abstractNum w:abstractNumId="37">
    <w:nsid w:val="7A6D8D3C"/>
    <w:multiLevelType w:val="hybridMultilevel"/>
    <w:lvl w:ilvl="0">
      <w:lvlJc w:val="left"/>
      <w:lvlText w:val="(%1)"/>
      <w:numFmt w:val="decimal"/>
      <w:start w:val="12"/>
    </w:lvl>
    <w:lvl w:ilvl="1">
      <w:lvlJc w:val="left"/>
      <w:lvlText w:val="(%2)"/>
      <w:numFmt w:val="lowerLetter"/>
      <w:start w:val="4"/>
    </w:lvl>
  </w:abstractNum>
  <w:abstractNum w:abstractNumId="38">
    <w:nsid w:val="4B588F54"/>
    <w:multiLevelType w:val="hybridMultilevel"/>
    <w:lvl w:ilvl="0">
      <w:lvlJc w:val="left"/>
      <w:lvlText w:val="%1."/>
      <w:numFmt w:val="decimal"/>
      <w:start w:val="2"/>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1">
    <w:nsid w:val="38437FD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2">
    <w:nsid w:val="7644A4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decimal"/>
      <w:start w:val="6"/>
    </w:lvl>
    <w:lvl w:ilvl="1">
      <w:lvlJc w:val="left"/>
      <w:lvlText w:val="(%2)"/>
      <w:numFmt w:val="lowerLetter"/>
      <w:start w:val="1"/>
    </w:lvl>
  </w:abstractNum>
  <w:abstractNum w:abstractNumId="46">
    <w:nsid w:val="749ABB43"/>
    <w:multiLevelType w:val="hybridMultilevel"/>
    <w:lvl w:ilvl="0">
      <w:lvlJc w:val="left"/>
      <w:lvlText w:val="%1."/>
      <w:numFmt w:val="decimal"/>
      <w:start w:val="8"/>
    </w:lvl>
  </w:abstractNum>
  <w:abstractNum w:abstractNumId="47">
    <w:nsid w:val="3DC240FB"/>
    <w:multiLevelType w:val="hybridMultilevel"/>
    <w:lvl w:ilvl="0">
      <w:lvlJc w:val="left"/>
      <w:lvlText w:val="%1."/>
      <w:numFmt w:val="decimal"/>
      <w:start w:val="9"/>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3"/>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9" Type="http://schemas.openxmlformats.org/officeDocument/2006/relationships/image" Target="media/image35.png"/><Relationship Id="rId62" Type="http://schemas.openxmlformats.org/officeDocument/2006/relationships/image" Target="media/image36.png"/><Relationship Id="rId65" Type="http://schemas.openxmlformats.org/officeDocument/2006/relationships/image" Target="media/image37.png"/><Relationship Id="rId68" Type="http://schemas.openxmlformats.org/officeDocument/2006/relationships/image" Target="media/image38.png"/><Relationship Id="rId71" Type="http://schemas.openxmlformats.org/officeDocument/2006/relationships/image" Target="media/image39.png"/><Relationship Id="rId74" Type="http://schemas.openxmlformats.org/officeDocument/2006/relationships/image" Target="media/image40.png"/><Relationship Id="rId77"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42" Type="http://schemas.openxmlformats.org/officeDocument/2006/relationships/hyperlink" Target="https://www.sec.gov/Archives/edgar/data/1017303/000101730319000054/certificateofincorporation.htm" TargetMode="External"/><Relationship Id="rId43" Type="http://schemas.openxmlformats.org/officeDocument/2006/relationships/hyperlink" Target="https://www.sec.gov/Archives/edgar/data/1017303/0000914039-99-000055.txt" TargetMode="External"/><Relationship Id="rId44" Type="http://schemas.openxmlformats.org/officeDocument/2006/relationships/hyperlink" Target="https://www.sec.gov/Archives/edgar/data/1017303/000091403900000221/0000914039-00-000221.txt" TargetMode="External"/><Relationship Id="rId45" Type="http://schemas.openxmlformats.org/officeDocument/2006/relationships/hyperlink" Target="https://www.sec.gov/Archives/edgar/data/1017303/000101730319000050/exhibit31.htm" TargetMode="External"/><Relationship Id="rId46" Type="http://schemas.openxmlformats.org/officeDocument/2006/relationships/hyperlink" Target="https://www.sec.gov/Archives/edgar/data/1017303/0000950135-96-003298.txt" TargetMode="External"/><Relationship Id="rId47" Type="http://schemas.openxmlformats.org/officeDocument/2006/relationships/hyperlink" Target="https://www.sec.gov/Archives/edgar/data/1017303/000101730320000012/exhibit42.htm" TargetMode="External"/><Relationship Id="rId48" Type="http://schemas.openxmlformats.org/officeDocument/2006/relationships/hyperlink" Target="https://www.sec.gov/Archives/edgar/data/1017303/000095012305006988/y09630exv99w1.txt" TargetMode="External"/><Relationship Id="rId49" Type="http://schemas.openxmlformats.org/officeDocument/2006/relationships/hyperlink" Target="https://www.sec.gov/Archives/edgar/data/1017303/000101730320000024/def14aproxy.htm" TargetMode="External"/><Relationship Id="rId50" Type="http://schemas.openxmlformats.org/officeDocument/2006/relationships/hyperlink" Target="https://www.sec.gov/Archives/edgar/data/1017303/000101730316000100/exhibit102.htm" TargetMode="External"/><Relationship Id="rId51" Type="http://schemas.openxmlformats.org/officeDocument/2006/relationships/hyperlink" Target="https://www.sec.gov/Archives/edgar/data/1017303/000101730316000112/exhibit101.htm" TargetMode="External"/><Relationship Id="rId52" Type="http://schemas.openxmlformats.org/officeDocument/2006/relationships/hyperlink" Target="https://www.sec.gov/Archives/edgar/data/1017303/000101730314000027/exhibit10-02.htm" TargetMode="External"/><Relationship Id="rId53" Type="http://schemas.openxmlformats.org/officeDocument/2006/relationships/hyperlink" Target="https://www.sec.gov/Archives/edgar/data/1017303/000095012305003228/y06777exv10w8wx.txt" TargetMode="External"/><Relationship Id="rId54" Type="http://schemas.openxmlformats.org/officeDocument/2006/relationships/hyperlink" Target="https://www.sec.gov/Archives/edgar/data/1017303/000101730309000003/exhibit1010x.htm" TargetMode="External"/><Relationship Id="rId55" Type="http://schemas.openxmlformats.org/officeDocument/2006/relationships/hyperlink" Target="https://www.sec.gov/Archives/edgar/data/1017303/000101730309000003/exhibit1012x.htm" TargetMode="External"/><Relationship Id="rId56" Type="http://schemas.openxmlformats.org/officeDocument/2006/relationships/hyperlink" Target="https://www.sec.gov/Archives/edgar/data/1017303/0000950135-96-002813.txt" TargetMode="External"/><Relationship Id="rId57" Type="http://schemas.openxmlformats.org/officeDocument/2006/relationships/hyperlink" Target="https://www.sec.gov/Archives/edgar/data/1017303/0000914039-98-000134.txt" TargetMode="External"/><Relationship Id="rId58" Type="http://schemas.openxmlformats.org/officeDocument/2006/relationships/hyperlink" Target="https://www.sec.gov/Archives/edgar/data/1017303/000091403902000121/y58940ex10-8.txt" TargetMode="External"/><Relationship Id="rId60" Type="http://schemas.openxmlformats.org/officeDocument/2006/relationships/hyperlink" Target="https://www.sec.gov/Archives/edgar/data/1017303/000101730312000026/exhibit1016.htm" TargetMode="External"/><Relationship Id="rId61" Type="http://schemas.openxmlformats.org/officeDocument/2006/relationships/hyperlink" Target="https://www.sec.gov/Archives/edgar/data/1017303/000101730316000085/exhibit1013.htm" TargetMode="External"/><Relationship Id="rId63" Type="http://schemas.openxmlformats.org/officeDocument/2006/relationships/hyperlink" Target="https://www.sec.gov/Archives/edgar/data/1017303/000101730320000006/exhibit101.htm" TargetMode="External"/><Relationship Id="rId64" Type="http://schemas.openxmlformats.org/officeDocument/2006/relationships/hyperlink" Target="https://www.sec.gov/Archives/edgar/data/1017303/000095012305003228/y06777exv10w13.txt" TargetMode="External"/><Relationship Id="rId66" Type="http://schemas.openxmlformats.org/officeDocument/2006/relationships/hyperlink" Target="https://www.sec.gov/Archives/edgar/data/1017303/000101730310000006/exhibit1019.htm" TargetMode="External"/><Relationship Id="rId67" Type="http://schemas.openxmlformats.org/officeDocument/2006/relationships/hyperlink" Target="https://www.sec.gov/Archives/edgar/data/1017303/000101730315000047/exhibit102.htm" TargetMode="External"/><Relationship Id="rId69" Type="http://schemas.openxmlformats.org/officeDocument/2006/relationships/hyperlink" Target="https://www.sec.gov/Archives/edgar/data/1017303/000095012307003917/y31948exv10w14.txt" TargetMode="External"/><Relationship Id="rId70" Type="http://schemas.openxmlformats.org/officeDocument/2006/relationships/hyperlink" Target="https://www.sec.gov/Archives/edgar/data/1017303/000101730317000014/exhibit1020.htm" TargetMode="External"/><Relationship Id="rId72" Type="http://schemas.openxmlformats.org/officeDocument/2006/relationships/hyperlink" Target="https://www.sec.gov/Archives/edgar/data/1017303/000101730321000042/exhbit101.htm" TargetMode="External"/><Relationship Id="rId73" Type="http://schemas.openxmlformats.org/officeDocument/2006/relationships/hyperlink" Target="https://www.sec.gov/Archives/edgar/data/1017303/000101730320000037/exhibit102.htm" TargetMode="External"/><Relationship Id="rId75" Type="http://schemas.openxmlformats.org/officeDocument/2006/relationships/hyperlink" Target="https://www.sec.gov/Archives/edgar/data/1017303/000101730321000061/exihibit991.htm" TargetMode="External"/><Relationship Id="rId76" Type="http://schemas.openxmlformats.org/officeDocument/2006/relationships/hyperlink" Target="https://www.sec.gov/Archives/edgar/data/1017303/000101730321000020/ex10_24.htm" TargetMode="External"/><Relationship Id="rId78" Type="http://schemas.openxmlformats.org/officeDocument/2006/relationships/hyperlink" Target="https://www.sec.gov/Archives/edgar/data/1017303/000101730321000020/ex10_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2022-03-24T14:03:26Z</dcterms:created>
  <dcterms:modified xsi:type="dcterms:W3CDTF">2022-03-24T14:03:26Z</dcterms:modified>
</cp:coreProperties>
</file>