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6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2016</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34"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 (d) OF THE SECURITIES EXCHANGE ACT OF 1934</w:t>
      </w:r>
    </w:p>
    <w:p>
      <w:pPr>
        <w:spacing w:after="0" w:line="252" w:lineRule="exact"/>
        <w:rPr>
          <w:sz w:val="24"/>
          <w:szCs w:val="24"/>
          <w:color w:val="auto"/>
        </w:rPr>
      </w:pPr>
    </w:p>
    <w:p>
      <w:pPr>
        <w:ind w:left="660"/>
        <w:spacing w:after="0"/>
        <w:tabs>
          <w:tab w:leader="none" w:pos="3900" w:val="left"/>
          <w:tab w:leader="none" w:pos="49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0-21121</w:t>
      </w:r>
    </w:p>
    <w:p>
      <w:pPr>
        <w:spacing w:after="0" w:line="27" w:lineRule="exact"/>
        <w:rPr>
          <w:sz w:val="24"/>
          <w:szCs w:val="24"/>
          <w:color w:val="auto"/>
        </w:rPr>
      </w:pPr>
    </w:p>
    <w:p>
      <w:pPr>
        <w:ind w:left="2560"/>
        <w:spacing w:after="0"/>
        <w:rPr>
          <w:sz w:val="20"/>
          <w:szCs w:val="20"/>
          <w:color w:val="auto"/>
        </w:rPr>
      </w:pPr>
      <w:r>
        <w:rPr>
          <w:rFonts w:ascii="Arial" w:cs="Arial" w:eastAsia="Arial" w:hAnsi="Arial"/>
          <w:sz w:val="18"/>
          <w:szCs w:val="18"/>
          <w:b w:val="1"/>
          <w:bCs w:val="1"/>
          <w:color w:val="auto"/>
        </w:rPr>
        <w:t>______________________________________________________________________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1780540</wp:posOffset>
            </wp:positionH>
            <wp:positionV relativeFrom="paragraph">
              <wp:posOffset>5715</wp:posOffset>
            </wp:positionV>
            <wp:extent cx="3696335" cy="8750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96335" cy="8750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ind w:left="2560"/>
        <w:spacing w:after="0"/>
        <w:rPr>
          <w:sz w:val="20"/>
          <w:szCs w:val="20"/>
          <w:color w:val="auto"/>
        </w:rPr>
      </w:pPr>
      <w:r>
        <w:rPr>
          <w:rFonts w:ascii="Arial" w:cs="Arial" w:eastAsia="Arial" w:hAnsi="Arial"/>
          <w:sz w:val="18"/>
          <w:szCs w:val="18"/>
          <w:color w:val="auto"/>
        </w:rPr>
        <w:t>______________________________________________________________________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54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880" w:type="dxa"/>
            <w:vAlign w:val="bottom"/>
            <w:gridSpan w:val="2"/>
          </w:tcPr>
          <w:p>
            <w:pPr>
              <w:jc w:val="right"/>
              <w:ind w:right="2250"/>
              <w:spacing w:after="0"/>
              <w:rPr>
                <w:sz w:val="20"/>
                <w:szCs w:val="20"/>
                <w:color w:val="auto"/>
              </w:rPr>
            </w:pPr>
            <w:r>
              <w:rPr>
                <w:rFonts w:ascii="Arial" w:cs="Arial" w:eastAsia="Arial" w:hAnsi="Arial"/>
                <w:sz w:val="18"/>
                <w:szCs w:val="18"/>
                <w:b w:val="1"/>
                <w:bCs w:val="1"/>
                <w:color w:val="auto"/>
              </w:rPr>
              <w:t>06-1456680</w:t>
            </w:r>
          </w:p>
        </w:tc>
      </w:tr>
      <w:tr>
        <w:trPr>
          <w:trHeight w:val="230"/>
        </w:trPr>
        <w:tc>
          <w:tcPr>
            <w:tcW w:w="5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40" w:type="dxa"/>
            <w:vAlign w:val="bottom"/>
          </w:tcPr>
          <w:p>
            <w:pPr>
              <w:spacing w:after="0"/>
              <w:rPr>
                <w:sz w:val="20"/>
                <w:szCs w:val="20"/>
                <w:color w:val="auto"/>
              </w:rPr>
            </w:pPr>
          </w:p>
        </w:tc>
        <w:tc>
          <w:tcPr>
            <w:tcW w:w="5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452"/>
        </w:trPr>
        <w:tc>
          <w:tcPr>
            <w:tcW w:w="5540" w:type="dxa"/>
            <w:vAlign w:val="bottom"/>
          </w:tcPr>
          <w:p>
            <w:pPr>
              <w:jc w:val="center"/>
              <w:spacing w:after="0"/>
              <w:rPr>
                <w:sz w:val="20"/>
                <w:szCs w:val="20"/>
                <w:color w:val="auto"/>
              </w:rPr>
            </w:pPr>
            <w:r>
              <w:rPr>
                <w:rFonts w:ascii="Arial" w:cs="Arial" w:eastAsia="Arial" w:hAnsi="Arial"/>
                <w:sz w:val="18"/>
                <w:szCs w:val="18"/>
                <w:b w:val="1"/>
                <w:bCs w:val="1"/>
                <w:color w:val="auto"/>
                <w:w w:val="91"/>
              </w:rPr>
              <w:t>One Hamden Center, 2319 Whitney Avenue, Suite 3B, Hamden, CT</w:t>
            </w:r>
          </w:p>
        </w:tc>
        <w:tc>
          <w:tcPr>
            <w:tcW w:w="5880" w:type="dxa"/>
            <w:vAlign w:val="bottom"/>
            <w:gridSpan w:val="2"/>
          </w:tcPr>
          <w:p>
            <w:pPr>
              <w:jc w:val="right"/>
              <w:ind w:right="2450"/>
              <w:spacing w:after="0"/>
              <w:rPr>
                <w:sz w:val="20"/>
                <w:szCs w:val="20"/>
                <w:color w:val="auto"/>
              </w:rPr>
            </w:pPr>
            <w:r>
              <w:rPr>
                <w:rFonts w:ascii="Arial" w:cs="Arial" w:eastAsia="Arial" w:hAnsi="Arial"/>
                <w:sz w:val="18"/>
                <w:szCs w:val="18"/>
                <w:b w:val="1"/>
                <w:bCs w:val="1"/>
                <w:color w:val="auto"/>
              </w:rPr>
              <w:t>06518</w:t>
            </w:r>
          </w:p>
        </w:tc>
      </w:tr>
      <w:tr>
        <w:trPr>
          <w:trHeight w:val="230"/>
        </w:trPr>
        <w:tc>
          <w:tcPr>
            <w:tcW w:w="5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40" w:type="dxa"/>
            <w:vAlign w:val="bottom"/>
          </w:tcPr>
          <w:p>
            <w:pPr>
              <w:spacing w:after="0"/>
              <w:rPr>
                <w:sz w:val="20"/>
                <w:szCs w:val="20"/>
                <w:color w:val="auto"/>
              </w:rPr>
            </w:pPr>
          </w:p>
        </w:tc>
        <w:tc>
          <w:tcPr>
            <w:tcW w:w="5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(Zip Code)</w:t>
            </w:r>
          </w:p>
        </w:tc>
      </w:tr>
    </w:tbl>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(203) 859-6800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52" w:lineRule="exact"/>
        <w:rPr>
          <w:sz w:val="24"/>
          <w:szCs w:val="24"/>
          <w:color w:val="auto"/>
        </w:rPr>
      </w:pPr>
    </w:p>
    <w:p>
      <w:pPr>
        <w:ind w:right="3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11" w:lineRule="exact"/>
        <w:rPr>
          <w:sz w:val="24"/>
          <w:szCs w:val="24"/>
          <w:color w:val="auto"/>
        </w:rPr>
      </w:pPr>
    </w:p>
    <w:p>
      <w:pPr>
        <w:jc w:val="both"/>
        <w:spacing w:after="0" w:line="27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tbl>
      <w:tblPr>
        <w:tblLayout w:type="fixed"/>
        <w:tblInd w:w="0" w:type="dxa"/>
        <w:tblCellMar>
          <w:top w:w="0" w:type="dxa"/>
          <w:left w:w="0" w:type="dxa"/>
          <w:bottom w:w="0" w:type="dxa"/>
          <w:right w:w="0" w:type="dxa"/>
        </w:tblCellMar>
      </w:tblPr>
      <w:tr>
        <w:trPr>
          <w:trHeight w:val="202"/>
        </w:trPr>
        <w:tc>
          <w:tcPr>
            <w:tcW w:w="1620" w:type="dxa"/>
            <w:vAlign w:val="bottom"/>
          </w:tcPr>
          <w:p>
            <w:pPr>
              <w:spacing w:after="0" w:line="202" w:lineRule="exact"/>
              <w:rPr>
                <w:sz w:val="20"/>
                <w:szCs w:val="20"/>
                <w:color w:val="auto"/>
              </w:rPr>
            </w:pPr>
            <w:r>
              <w:rPr>
                <w:rFonts w:ascii="Arial" w:cs="Arial" w:eastAsia="Arial" w:hAnsi="Arial"/>
                <w:sz w:val="18"/>
                <w:szCs w:val="18"/>
                <w:color w:val="auto"/>
                <w:w w:val="89"/>
              </w:rPr>
              <w:t>Large accelerated filer</w:t>
            </w:r>
          </w:p>
        </w:tc>
        <w:tc>
          <w:tcPr>
            <w:tcW w:w="4200" w:type="dxa"/>
            <w:vAlign w:val="bottom"/>
          </w:tcPr>
          <w:p>
            <w:pPr>
              <w:ind w:left="100"/>
              <w:spacing w:after="0" w:line="202" w:lineRule="exact"/>
              <w:rPr>
                <w:sz w:val="20"/>
                <w:szCs w:val="20"/>
                <w:color w:val="auto"/>
              </w:rPr>
            </w:pPr>
            <w:r>
              <w:rPr>
                <w:rFonts w:ascii="Arial" w:cs="Arial" w:eastAsia="Arial" w:hAnsi="Arial"/>
                <w:sz w:val="18"/>
                <w:szCs w:val="18"/>
                <w:color w:val="auto"/>
              </w:rPr>
              <w:t>o</w:t>
            </w:r>
          </w:p>
        </w:tc>
        <w:tc>
          <w:tcPr>
            <w:tcW w:w="2720" w:type="dxa"/>
            <w:vAlign w:val="bottom"/>
          </w:tcPr>
          <w:p>
            <w:pPr>
              <w:ind w:left="720"/>
              <w:spacing w:after="0" w:line="202" w:lineRule="exact"/>
              <w:rPr>
                <w:sz w:val="20"/>
                <w:szCs w:val="20"/>
                <w:color w:val="auto"/>
              </w:rPr>
            </w:pPr>
            <w:r>
              <w:rPr>
                <w:rFonts w:ascii="Arial" w:cs="Arial" w:eastAsia="Arial" w:hAnsi="Arial"/>
                <w:sz w:val="18"/>
                <w:szCs w:val="18"/>
                <w:color w:val="auto"/>
              </w:rPr>
              <w:t>Accelerated filer o</w:t>
            </w:r>
          </w:p>
        </w:tc>
        <w:tc>
          <w:tcPr>
            <w:tcW w:w="820" w:type="dxa"/>
            <w:vAlign w:val="bottom"/>
            <w:vMerge w:val="restart"/>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0"/>
        </w:trPr>
        <w:tc>
          <w:tcPr>
            <w:tcW w:w="1620" w:type="dxa"/>
            <w:vAlign w:val="bottom"/>
          </w:tcPr>
          <w:p>
            <w:pPr>
              <w:spacing w:after="0"/>
              <w:rPr>
                <w:sz w:val="20"/>
                <w:szCs w:val="20"/>
                <w:color w:val="auto"/>
              </w:rPr>
            </w:pPr>
            <w:r>
              <w:rPr>
                <w:rFonts w:ascii="Arial" w:cs="Arial" w:eastAsia="Arial" w:hAnsi="Arial"/>
                <w:sz w:val="18"/>
                <w:szCs w:val="18"/>
                <w:color w:val="auto"/>
                <w:w w:val="96"/>
              </w:rPr>
              <w:t>Non-accelerated filer</w:t>
            </w:r>
          </w:p>
        </w:tc>
        <w:tc>
          <w:tcPr>
            <w:tcW w:w="4200" w:type="dxa"/>
            <w:vAlign w:val="bottom"/>
          </w:tcPr>
          <w:p>
            <w:pPr>
              <w:spacing w:after="0"/>
              <w:rPr>
                <w:sz w:val="20"/>
                <w:szCs w:val="20"/>
                <w:color w:val="auto"/>
              </w:rPr>
            </w:pPr>
            <w:r>
              <w:rPr>
                <w:rFonts w:ascii="Arial" w:cs="Arial" w:eastAsia="Arial" w:hAnsi="Arial"/>
                <w:sz w:val="18"/>
                <w:szCs w:val="18"/>
                <w:color w:val="auto"/>
              </w:rPr>
              <w:t>o (Do not check if a smaller reporting company)</w:t>
            </w:r>
          </w:p>
        </w:tc>
        <w:tc>
          <w:tcPr>
            <w:tcW w:w="2720" w:type="dxa"/>
            <w:vAlign w:val="bottom"/>
          </w:tcPr>
          <w:p>
            <w:pPr>
              <w:ind w:left="720"/>
              <w:spacing w:after="0"/>
              <w:rPr>
                <w:sz w:val="20"/>
                <w:szCs w:val="20"/>
                <w:color w:val="auto"/>
              </w:rPr>
            </w:pPr>
            <w:r>
              <w:rPr>
                <w:rFonts w:ascii="Arial" w:cs="Arial" w:eastAsia="Arial" w:hAnsi="Arial"/>
                <w:sz w:val="18"/>
                <w:szCs w:val="18"/>
                <w:color w:val="auto"/>
                <w:w w:val="92"/>
              </w:rPr>
              <w:t>Smaller reporting company</w:t>
            </w: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8540" w:type="dxa"/>
            <w:vAlign w:val="bottom"/>
            <w:gridSpan w:val="3"/>
          </w:tcPr>
          <w:p>
            <w:pPr>
              <w:spacing w:after="0"/>
              <w:rPr>
                <w:sz w:val="20"/>
                <w:szCs w:val="20"/>
                <w:color w:val="auto"/>
              </w:rPr>
            </w:pPr>
            <w:r>
              <w:rPr>
                <w:rFonts w:ascii="Arial" w:cs="Arial" w:eastAsia="Arial" w:hAnsi="Arial"/>
                <w:sz w:val="18"/>
                <w:szCs w:val="18"/>
                <w:color w:val="auto"/>
                <w:w w:val="91"/>
              </w:rPr>
              <w:t>Indicate by check mark whether the registrant is a shell company (as defined in Rule 12b-2 of the Exchange Act). Yes</w:t>
            </w:r>
          </w:p>
        </w:tc>
        <w:tc>
          <w:tcPr>
            <w:tcW w:w="82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o  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As of July 29, 2016, the number of shares outstanding of the Company’s common stock, $0.01 par value, was 7,459,009.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467360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06"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80" w:type="dxa"/>
            <w:vAlign w:val="bottom"/>
            <w:gridSpan w:val="11"/>
          </w:tcPr>
          <w:p>
            <w:pPr>
              <w:jc w:val="center"/>
              <w:ind w:right="2860"/>
              <w:spacing w:after="0"/>
              <w:rPr>
                <w:sz w:val="20"/>
                <w:szCs w:val="20"/>
                <w:color w:val="auto"/>
              </w:rPr>
            </w:pPr>
            <w:r>
              <w:rPr>
                <w:rFonts w:ascii="Arial" w:cs="Arial" w:eastAsia="Arial" w:hAnsi="Arial"/>
                <w:sz w:val="18"/>
                <w:szCs w:val="18"/>
                <w:b w:val="1"/>
                <w:bCs w:val="1"/>
                <w:color w:val="auto"/>
              </w:rPr>
              <w:t>TRANSACT TECHNOLOGIES INCORPORATED</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300" w:type="dxa"/>
            <w:vAlign w:val="bottom"/>
            <w:tcBorders>
              <w:top w:val="single" w:sz="8" w:color="auto"/>
            </w:tcBorders>
            <w:gridSpan w:val="5"/>
          </w:tcPr>
          <w:p>
            <w:pPr>
              <w:jc w:val="center"/>
              <w:ind w:right="1720"/>
              <w:spacing w:after="0"/>
              <w:rPr>
                <w:sz w:val="20"/>
                <w:szCs w:val="20"/>
                <w:color w:val="auto"/>
              </w:rPr>
            </w:pPr>
            <w:r>
              <w:rPr>
                <w:rFonts w:ascii="Arial" w:cs="Arial" w:eastAsia="Arial" w:hAnsi="Arial"/>
                <w:sz w:val="18"/>
                <w:szCs w:val="18"/>
                <w:b w:val="1"/>
                <w:bCs w:val="1"/>
                <w:color w:val="auto"/>
              </w:rPr>
              <w:t>INDEX</w:t>
            </w:r>
          </w:p>
        </w:tc>
        <w:tc>
          <w:tcPr>
            <w:tcW w:w="2860" w:type="dxa"/>
            <w:vAlign w:val="bottom"/>
            <w:gridSpan w:val="4"/>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542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 Financial Information:</w:t>
              </w:r>
            </w:hyperlink>
          </w:p>
        </w:tc>
        <w:tc>
          <w:tcPr>
            <w:tcW w:w="580" w:type="dxa"/>
            <w:vAlign w:val="bottom"/>
            <w:tcBorders>
              <w:top w:val="single" w:sz="8" w:color="auto"/>
            </w:tcBorders>
            <w:gridSpan w:val="2"/>
          </w:tcPr>
          <w:p>
            <w:pPr>
              <w:spacing w:after="0"/>
              <w:rPr>
                <w:sz w:val="24"/>
                <w:szCs w:val="24"/>
                <w:color w:val="auto"/>
              </w:rPr>
            </w:pPr>
          </w:p>
        </w:tc>
        <w:tc>
          <w:tcPr>
            <w:tcW w:w="4580" w:type="dxa"/>
            <w:vAlign w:val="bottom"/>
            <w:gridSpan w:val="7"/>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
        </w:trPr>
        <w:tc>
          <w:tcPr>
            <w:tcW w:w="180" w:type="dxa"/>
            <w:vAlign w:val="bottom"/>
          </w:tcPr>
          <w:p>
            <w:pPr>
              <w:spacing w:after="0"/>
              <w:rPr>
                <w:sz w:val="2"/>
                <w:szCs w:val="2"/>
                <w:color w:val="auto"/>
              </w:rPr>
            </w:pPr>
          </w:p>
        </w:tc>
        <w:tc>
          <w:tcPr>
            <w:tcW w:w="900" w:type="dxa"/>
            <w:vAlign w:val="bottom"/>
            <w:vMerge w:val="restart"/>
          </w:tcPr>
          <w:p>
            <w:pPr>
              <w:spacing w:after="0"/>
              <w:rPr>
                <w:sz w:val="20"/>
                <w:szCs w:val="20"/>
                <w:color w:val="auto"/>
              </w:rPr>
            </w:pPr>
            <w:r>
              <w:rPr>
                <w:rFonts w:ascii="Arial" w:cs="Arial" w:eastAsia="Arial" w:hAnsi="Arial"/>
                <w:sz w:val="18"/>
                <w:szCs w:val="18"/>
                <w:color w:val="auto"/>
              </w:rPr>
              <w:t>Item 1</w:t>
            </w:r>
          </w:p>
        </w:tc>
        <w:tc>
          <w:tcPr>
            <w:tcW w:w="2380" w:type="dxa"/>
            <w:vAlign w:val="bottom"/>
            <w:gridSpan w:val="10"/>
            <w:vMerge w:val="restart"/>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(unaudited)</w:t>
              </w:r>
            </w:hyperlink>
          </w:p>
        </w:tc>
        <w:tc>
          <w:tcPr>
            <w:tcW w:w="7120" w:type="dxa"/>
            <w:vAlign w:val="bottom"/>
            <w:gridSpan w:val="12"/>
            <w:vMerge w:val="restart"/>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7"/>
        </w:trPr>
        <w:tc>
          <w:tcPr>
            <w:tcW w:w="180" w:type="dxa"/>
            <w:vAlign w:val="bottom"/>
          </w:tcPr>
          <w:p>
            <w:pPr>
              <w:spacing w:after="0"/>
              <w:rPr>
                <w:sz w:val="24"/>
                <w:szCs w:val="24"/>
                <w:color w:val="auto"/>
              </w:rPr>
            </w:pPr>
          </w:p>
        </w:tc>
        <w:tc>
          <w:tcPr>
            <w:tcW w:w="900" w:type="dxa"/>
            <w:vAlign w:val="bottom"/>
            <w:vMerge w:val="continue"/>
          </w:tcPr>
          <w:p>
            <w:pPr>
              <w:spacing w:after="0"/>
              <w:rPr>
                <w:sz w:val="24"/>
                <w:szCs w:val="24"/>
                <w:color w:val="auto"/>
              </w:rPr>
            </w:pPr>
          </w:p>
        </w:tc>
        <w:tc>
          <w:tcPr>
            <w:tcW w:w="2380" w:type="dxa"/>
            <w:vAlign w:val="bottom"/>
            <w:tcBorders>
              <w:bottom w:val="single" w:sz="8" w:color="0000EE"/>
            </w:tcBorders>
            <w:gridSpan w:val="10"/>
            <w:vMerge w:val="continue"/>
          </w:tcPr>
          <w:p>
            <w:pPr>
              <w:spacing w:after="0"/>
              <w:rPr>
                <w:sz w:val="24"/>
                <w:szCs w:val="24"/>
                <w:color w:val="auto"/>
              </w:rPr>
            </w:pPr>
          </w:p>
        </w:tc>
        <w:tc>
          <w:tcPr>
            <w:tcW w:w="7120" w:type="dxa"/>
            <w:vAlign w:val="bottom"/>
            <w:gridSpan w:val="12"/>
            <w:vMerge w:val="continue"/>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14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as of June 30, 2016 and December 31, 2015</w:t>
              </w:r>
            </w:hyperlink>
          </w:p>
        </w:tc>
        <w:tc>
          <w:tcPr>
            <w:tcW w:w="3360" w:type="dxa"/>
            <w:vAlign w:val="bottom"/>
            <w:gridSpan w:val="6"/>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700" w:type="dxa"/>
            <w:vAlign w:val="bottom"/>
            <w:tcBorders>
              <w:bottom w:val="single" w:sz="8" w:color="0000EE"/>
            </w:tcBorders>
            <w:gridSpan w:val="20"/>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Income for the three and six months ended June 30, 2016 and 2015</w:t>
              </w:r>
            </w:hyperlink>
          </w:p>
        </w:tc>
        <w:tc>
          <w:tcPr>
            <w:tcW w:w="1800" w:type="dxa"/>
            <w:vAlign w:val="bottom"/>
            <w:gridSpan w:val="2"/>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80" w:type="dxa"/>
            <w:vAlign w:val="bottom"/>
            <w:tcBorders>
              <w:bottom w:val="single" w:sz="8" w:color="0000EE"/>
            </w:tcBorders>
            <w:gridSpan w:val="21"/>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Comprehensive Income for the three and six months ended June 30, 2016 and 2015</w:t>
              </w:r>
            </w:hyperlink>
          </w:p>
        </w:tc>
        <w:tc>
          <w:tcPr>
            <w:tcW w:w="6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300" w:type="dxa"/>
            <w:vAlign w:val="bottom"/>
            <w:tcBorders>
              <w:bottom w:val="single" w:sz="8" w:color="0000EE"/>
            </w:tcBorders>
            <w:gridSpan w:val="19"/>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Cash Flows for the six months ended June 30, 2016 and 2015</w:t>
              </w:r>
            </w:hyperlink>
          </w:p>
        </w:tc>
        <w:tc>
          <w:tcPr>
            <w:tcW w:w="2200" w:type="dxa"/>
            <w:vAlign w:val="bottom"/>
            <w:gridSpan w:val="3"/>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500" w:type="dxa"/>
            <w:vAlign w:val="bottom"/>
            <w:gridSpan w:val="22"/>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74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306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644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11">
              <w:r>
                <w:rPr>
                  <w:rFonts w:ascii="Arial" w:cs="Arial" w:eastAsia="Arial" w:hAnsi="Arial"/>
                  <w:sz w:val="18"/>
                  <w:szCs w:val="18"/>
                  <w:color w:val="0000EE"/>
                  <w:w w:val="90"/>
                </w:rPr>
                <w:t>Management's Discussion and Analysis of Financial Condition and Results of Operations</w:t>
              </w:r>
            </w:hyperlink>
          </w:p>
        </w:tc>
        <w:tc>
          <w:tcPr>
            <w:tcW w:w="3060" w:type="dxa"/>
            <w:vAlign w:val="bottom"/>
            <w:gridSpan w:val="5"/>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21">
              <w:r>
                <w:rPr>
                  <w:rFonts w:ascii="Arial" w:cs="Arial" w:eastAsia="Arial" w:hAnsi="Arial"/>
                  <w:sz w:val="18"/>
                  <w:szCs w:val="18"/>
                  <w:color w:val="0000EE"/>
                  <w:w w:val="92"/>
                </w:rPr>
                <w:t>Quantitative and Qualitative Disclosures About Market Risk</w:t>
              </w:r>
            </w:hyperlink>
          </w:p>
        </w:tc>
        <w:tc>
          <w:tcPr>
            <w:tcW w:w="5140" w:type="dxa"/>
            <w:vAlign w:val="bottom"/>
            <w:gridSpan w:val="8"/>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9500" w:type="dxa"/>
            <w:vAlign w:val="bottom"/>
            <w:gridSpan w:val="22"/>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Controls and Procedures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5160" w:type="dxa"/>
            <w:vAlign w:val="bottom"/>
            <w:gridSpan w:val="9"/>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580" w:type="dxa"/>
            <w:vAlign w:val="bottom"/>
            <w:gridSpan w:val="24"/>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PART II - Other Information:</w:t>
              </w:r>
            </w:hyperlink>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5160" w:type="dxa"/>
            <w:vAlign w:val="bottom"/>
            <w:gridSpan w:val="9"/>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9500" w:type="dxa"/>
            <w:vAlign w:val="bottom"/>
            <w:gridSpan w:val="22"/>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Legal Proceedings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7"/>
              </w:rPr>
            </w:pPr>
            <w:hyperlink w:anchor="page21">
              <w:r>
                <w:rPr>
                  <w:rFonts w:ascii="Arial" w:cs="Arial" w:eastAsia="Arial" w:hAnsi="Arial"/>
                  <w:sz w:val="18"/>
                  <w:szCs w:val="18"/>
                  <w:color w:val="0000EE"/>
                  <w:w w:val="87"/>
                </w:rPr>
                <w:t>Risk Factors</w:t>
              </w:r>
            </w:hyperlink>
          </w:p>
        </w:tc>
        <w:tc>
          <w:tcPr>
            <w:tcW w:w="420" w:type="dxa"/>
            <w:vAlign w:val="bottom"/>
            <w:tcBorders>
              <w:top w:val="single" w:sz="8" w:color="0000EE"/>
            </w:tcBorders>
            <w:gridSpan w:val="4"/>
          </w:tcPr>
          <w:p>
            <w:pPr>
              <w:spacing w:after="0"/>
              <w:rPr>
                <w:sz w:val="24"/>
                <w:szCs w:val="24"/>
                <w:color w:val="auto"/>
              </w:rPr>
            </w:pPr>
          </w:p>
        </w:tc>
        <w:tc>
          <w:tcPr>
            <w:tcW w:w="8180" w:type="dxa"/>
            <w:vAlign w:val="bottom"/>
            <w:gridSpan w:val="15"/>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9500" w:type="dxa"/>
            <w:vAlign w:val="bottom"/>
            <w:gridSpan w:val="22"/>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Unregistered Sales of Equity Securities and Use of Proceeds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tcBorders>
            <w:gridSpan w:val="13"/>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Default Upon Senior Securities</w:t>
              </w:r>
            </w:hyperlink>
          </w:p>
        </w:tc>
        <w:tc>
          <w:tcPr>
            <w:tcW w:w="5160" w:type="dxa"/>
            <w:vAlign w:val="bottom"/>
            <w:gridSpan w:val="9"/>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2240" w:type="dxa"/>
            <w:vAlign w:val="bottom"/>
            <w:tcBorders>
              <w:top w:val="single" w:sz="8" w:color="0000EE"/>
            </w:tcBorders>
            <w:gridSpan w:val="9"/>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Mine Safety Disclosures</w:t>
              </w:r>
            </w:hyperlink>
          </w:p>
        </w:tc>
        <w:tc>
          <w:tcPr>
            <w:tcW w:w="7260" w:type="dxa"/>
            <w:vAlign w:val="bottom"/>
            <w:gridSpan w:val="13"/>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8"/>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Other Information</w:t>
              </w:r>
            </w:hyperlink>
          </w:p>
        </w:tc>
        <w:tc>
          <w:tcPr>
            <w:tcW w:w="7740" w:type="dxa"/>
            <w:vAlign w:val="bottom"/>
            <w:gridSpan w:val="14"/>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1"/>
              </w:rPr>
            </w:pPr>
            <w:hyperlink w:anchor="page22">
              <w:r>
                <w:rPr>
                  <w:rFonts w:ascii="Arial" w:cs="Arial" w:eastAsia="Arial" w:hAnsi="Arial"/>
                  <w:sz w:val="18"/>
                  <w:szCs w:val="18"/>
                  <w:color w:val="0000EE"/>
                  <w:w w:val="91"/>
                </w:rPr>
                <w:t>Exhibits</w:t>
              </w:r>
            </w:hyperlink>
          </w:p>
        </w:tc>
        <w:tc>
          <w:tcPr>
            <w:tcW w:w="700" w:type="dxa"/>
            <w:vAlign w:val="bottom"/>
            <w:tcBorders>
              <w:top w:val="single" w:sz="8" w:color="0000EE"/>
            </w:tcBorders>
            <w:gridSpan w:val="4"/>
          </w:tcPr>
          <w:p>
            <w:pPr>
              <w:spacing w:after="0"/>
              <w:rPr>
                <w:sz w:val="24"/>
                <w:szCs w:val="24"/>
                <w:color w:val="auto"/>
              </w:rPr>
            </w:pPr>
          </w:p>
        </w:tc>
        <w:tc>
          <w:tcPr>
            <w:tcW w:w="8200" w:type="dxa"/>
            <w:vAlign w:val="bottom"/>
            <w:gridSpan w:val="16"/>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110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23">
              <w:r>
                <w:rPr>
                  <w:rFonts w:ascii="Arial" w:cs="Arial" w:eastAsia="Arial" w:hAnsi="Arial"/>
                  <w:sz w:val="18"/>
                  <w:szCs w:val="18"/>
                  <w:color w:val="0000EE"/>
                  <w:w w:val="92"/>
                </w:rPr>
                <w:t>SIGNATURES</w:t>
              </w:r>
            </w:hyperlink>
          </w:p>
        </w:tc>
        <w:tc>
          <w:tcPr>
            <w:tcW w:w="9300" w:type="dxa"/>
            <w:vAlign w:val="bottom"/>
            <w:gridSpan w:val="21"/>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43"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460" w:type="dxa"/>
            <w:vAlign w:val="bottom"/>
          </w:tcPr>
          <w:p>
            <w:pPr>
              <w:ind w:left="80"/>
              <w:spacing w:after="0"/>
              <w:rPr>
                <w:sz w:val="20"/>
                <w:szCs w:val="20"/>
                <w:color w:val="auto"/>
              </w:rPr>
            </w:pPr>
            <w:r>
              <w:rPr>
                <w:rFonts w:ascii="Arial" w:cs="Arial" w:eastAsia="Arial" w:hAnsi="Arial"/>
                <w:sz w:val="18"/>
                <w:szCs w:val="18"/>
                <w:b w:val="1"/>
                <w:bCs w:val="1"/>
                <w:color w:val="auto"/>
              </w:rPr>
              <w:t>FINANCIAL STATEMENTS</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460" w:type="dxa"/>
            <w:vAlign w:val="bottom"/>
          </w:tcPr>
          <w:p>
            <w:pPr>
              <w:jc w:val="center"/>
              <w:ind w:left="950"/>
              <w:spacing w:after="0"/>
              <w:rPr>
                <w:sz w:val="20"/>
                <w:szCs w:val="20"/>
                <w:color w:val="auto"/>
              </w:rPr>
            </w:pPr>
            <w:r>
              <w:rPr>
                <w:rFonts w:ascii="Arial" w:cs="Arial" w:eastAsia="Arial" w:hAnsi="Arial"/>
                <w:sz w:val="18"/>
                <w:szCs w:val="18"/>
                <w:b w:val="1"/>
                <w:bCs w:val="1"/>
                <w:color w:val="auto"/>
              </w:rPr>
              <w:t>TRANSACT TECHNOLOGIES INCORPORATED</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460" w:type="dxa"/>
            <w:vAlign w:val="bottom"/>
          </w:tcPr>
          <w:p>
            <w:pPr>
              <w:jc w:val="center"/>
              <w:ind w:left="95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460" w:type="dxa"/>
            <w:vAlign w:val="bottom"/>
          </w:tcPr>
          <w:p>
            <w:pPr>
              <w:jc w:val="center"/>
              <w:ind w:left="950"/>
              <w:spacing w:after="0"/>
              <w:rPr>
                <w:sz w:val="20"/>
                <w:szCs w:val="20"/>
                <w:color w:val="auto"/>
              </w:rPr>
            </w:pPr>
            <w:r>
              <w:rPr>
                <w:rFonts w:ascii="Arial" w:cs="Arial" w:eastAsia="Arial" w:hAnsi="Arial"/>
                <w:sz w:val="18"/>
                <w:szCs w:val="18"/>
                <w:b w:val="1"/>
                <w:bCs w:val="1"/>
                <w:color w:val="auto"/>
                <w:w w:val="91"/>
              </w:rPr>
              <w:t>(unaudited)</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w w:val="97"/>
              </w:rPr>
              <w:t>June 30,</w:t>
            </w: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w w:val="93"/>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46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Assets:</w:t>
            </w:r>
          </w:p>
        </w:tc>
        <w:tc>
          <w:tcPr>
            <w:tcW w:w="7460" w:type="dxa"/>
            <w:vAlign w:val="bottom"/>
          </w:tcPr>
          <w:p>
            <w:pPr>
              <w:spacing w:after="0"/>
              <w:rPr>
                <w:sz w:val="17"/>
                <w:szCs w:val="17"/>
                <w:color w:val="auto"/>
              </w:rPr>
            </w:pPr>
          </w:p>
        </w:tc>
        <w:tc>
          <w:tcPr>
            <w:tcW w:w="1140" w:type="dxa"/>
            <w:vAlign w:val="bottom"/>
            <w:gridSpan w:val="2"/>
          </w:tcPr>
          <w:p>
            <w:pPr>
              <w:ind w:left="20"/>
              <w:spacing w:after="0" w:line="201" w:lineRule="exact"/>
              <w:rPr>
                <w:sz w:val="20"/>
                <w:szCs w:val="20"/>
                <w:color w:val="auto"/>
              </w:rPr>
            </w:pPr>
            <w:r>
              <w:rPr>
                <w:rFonts w:ascii="Arial" w:cs="Arial" w:eastAsia="Arial" w:hAnsi="Arial"/>
                <w:sz w:val="18"/>
                <w:szCs w:val="18"/>
                <w:i w:val="1"/>
                <w:iCs w:val="1"/>
                <w:color w:val="auto"/>
                <w:w w:val="96"/>
              </w:rPr>
              <w:t>(In thousands,</w:t>
            </w:r>
          </w:p>
        </w:tc>
        <w:tc>
          <w:tcPr>
            <w:tcW w:w="1360" w:type="dxa"/>
            <w:vAlign w:val="bottom"/>
            <w:gridSpan w:val="3"/>
          </w:tcPr>
          <w:p>
            <w:pPr>
              <w:jc w:val="right"/>
              <w:ind w:right="10"/>
              <w:spacing w:after="0" w:line="201" w:lineRule="exact"/>
              <w:rPr>
                <w:sz w:val="20"/>
                <w:szCs w:val="20"/>
                <w:color w:val="auto"/>
              </w:rPr>
            </w:pPr>
            <w:r>
              <w:rPr>
                <w:rFonts w:ascii="Arial" w:cs="Arial" w:eastAsia="Arial" w:hAnsi="Arial"/>
                <w:sz w:val="18"/>
                <w:szCs w:val="18"/>
                <w:i w:val="1"/>
                <w:iCs w:val="1"/>
                <w:color w:val="auto"/>
                <w:w w:val="83"/>
              </w:rPr>
              <w:t>except share data)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7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2,555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ind w:left="48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10,369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Inventories</w:t>
            </w:r>
          </w:p>
        </w:tc>
        <w:tc>
          <w:tcPr>
            <w:tcW w:w="7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9,019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ind w:left="480"/>
              <w:spacing w:after="0"/>
              <w:rPr>
                <w:sz w:val="20"/>
                <w:szCs w:val="20"/>
                <w:color w:val="auto"/>
              </w:rPr>
            </w:pPr>
            <w:r>
              <w:rPr>
                <w:rFonts w:ascii="Arial" w:cs="Arial" w:eastAsia="Arial" w:hAnsi="Arial"/>
                <w:sz w:val="18"/>
                <w:szCs w:val="18"/>
                <w:color w:val="auto"/>
              </w:rPr>
              <w:t>Prepaid income taxes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Deferred tax assets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1,762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gridSpan w:val="2"/>
          </w:tcPr>
          <w:p>
            <w:pPr>
              <w:ind w:left="48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480</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24,385</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assets, net of accumulated depreciation of $18,771 and $18,336, respectively</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2,441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Goodwill</w:t>
            </w:r>
          </w:p>
        </w:tc>
        <w:tc>
          <w:tcPr>
            <w:tcW w:w="7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2,621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w w:val="90"/>
              </w:rPr>
              <w:t>Deferred tax assets</w:t>
            </w:r>
          </w:p>
        </w:tc>
        <w:tc>
          <w:tcPr>
            <w:tcW w:w="7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1,223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spacing w:after="0"/>
              <w:rPr>
                <w:sz w:val="20"/>
                <w:szCs w:val="20"/>
                <w:color w:val="auto"/>
              </w:rPr>
            </w:pPr>
            <w:r>
              <w:rPr>
                <w:rFonts w:ascii="Arial" w:cs="Arial" w:eastAsia="Arial" w:hAnsi="Arial"/>
                <w:sz w:val="18"/>
                <w:szCs w:val="18"/>
                <w:color w:val="auto"/>
              </w:rPr>
              <w:t>Intangible assets, net of accumulated amortization of $2,943, and $2,779, respectively</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724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74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7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7,037</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74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31,422</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32,569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9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Current liabilities:</w:t>
            </w:r>
          </w:p>
        </w:tc>
        <w:tc>
          <w:tcPr>
            <w:tcW w:w="7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4,512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ind w:left="480"/>
              <w:spacing w:after="0"/>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2,183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Income taxes payable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gridSpan w:val="2"/>
          </w:tcPr>
          <w:p>
            <w:pPr>
              <w:ind w:left="480"/>
              <w:spacing w:after="0"/>
              <w:rPr>
                <w:sz w:val="20"/>
                <w:szCs w:val="20"/>
                <w:color w:val="auto"/>
              </w:rPr>
            </w:pPr>
            <w:r>
              <w:rPr>
                <w:rFonts w:ascii="Arial" w:cs="Arial" w:eastAsia="Arial" w:hAnsi="Arial"/>
                <w:sz w:val="18"/>
                <w:szCs w:val="18"/>
                <w:color w:val="auto"/>
              </w:rPr>
              <w:t>Deferred revenue</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152</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6,851</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revenue, net of current portion</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spacing w:after="0"/>
              <w:rPr>
                <w:sz w:val="20"/>
                <w:szCs w:val="20"/>
                <w:color w:val="auto"/>
              </w:rPr>
            </w:pPr>
            <w:r>
              <w:rPr>
                <w:rFonts w:ascii="Arial" w:cs="Arial" w:eastAsia="Arial" w:hAnsi="Arial"/>
                <w:sz w:val="18"/>
                <w:szCs w:val="18"/>
                <w:color w:val="auto"/>
              </w:rPr>
              <w:t>Deferred rent, net of current portion</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199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74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284</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7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561</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7,412</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(Note 7)</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00" w:type="dxa"/>
            <w:vAlign w:val="bottom"/>
            <w:gridSpan w:val="2"/>
          </w:tcPr>
          <w:p>
            <w:pPr>
              <w:ind w:left="480"/>
              <w:spacing w:after="0" w:line="201" w:lineRule="exact"/>
              <w:rPr>
                <w:sz w:val="20"/>
                <w:szCs w:val="20"/>
                <w:color w:val="auto"/>
              </w:rPr>
            </w:pPr>
            <w:r>
              <w:rPr>
                <w:rFonts w:ascii="Arial" w:cs="Arial" w:eastAsia="Arial" w:hAnsi="Arial"/>
                <w:sz w:val="18"/>
                <w:szCs w:val="18"/>
                <w:color w:val="auto"/>
                <w:w w:val="98"/>
              </w:rPr>
              <w:t>Common stock, $0.01 par value, 20,000,000 shares authorized; 11,185,331 and 11,170,881 shares issued,</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ind w:left="800"/>
              <w:spacing w:after="0"/>
              <w:rPr>
                <w:sz w:val="20"/>
                <w:szCs w:val="20"/>
                <w:color w:val="auto"/>
              </w:rPr>
            </w:pPr>
            <w:r>
              <w:rPr>
                <w:rFonts w:ascii="Arial" w:cs="Arial" w:eastAsia="Arial" w:hAnsi="Arial"/>
                <w:sz w:val="18"/>
                <w:szCs w:val="18"/>
                <w:color w:val="auto"/>
              </w:rPr>
              <w:t>respectively; 7,508,951 and 7,782,292 shares</w:t>
            </w:r>
          </w:p>
        </w:tc>
        <w:tc>
          <w:tcPr>
            <w:tcW w:w="1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112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00" w:type="dxa"/>
            <w:vAlign w:val="bottom"/>
            <w:gridSpan w:val="2"/>
          </w:tcPr>
          <w:p>
            <w:pPr>
              <w:ind w:left="840"/>
              <w:spacing w:after="0"/>
              <w:rPr>
                <w:sz w:val="20"/>
                <w:szCs w:val="20"/>
                <w:color w:val="auto"/>
              </w:rPr>
            </w:pPr>
            <w:r>
              <w:rPr>
                <w:rFonts w:ascii="Arial" w:cs="Arial" w:eastAsia="Arial" w:hAnsi="Arial"/>
                <w:sz w:val="18"/>
                <w:szCs w:val="18"/>
                <w:color w:val="auto"/>
              </w:rPr>
              <w:t>outstanding, respectively</w:t>
            </w:r>
          </w:p>
        </w:tc>
        <w:tc>
          <w:tcPr>
            <w:tcW w:w="18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29,348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ind w:left="48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23,102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22,956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Accumulated other comprehensive loss, net of tax</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(98)</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gridSpan w:val="2"/>
          </w:tcPr>
          <w:p>
            <w:pPr>
              <w:ind w:left="480"/>
              <w:spacing w:after="0"/>
              <w:rPr>
                <w:sz w:val="20"/>
                <w:szCs w:val="20"/>
                <w:color w:val="auto"/>
              </w:rPr>
            </w:pPr>
            <w:r>
              <w:rPr>
                <w:rFonts w:ascii="Arial" w:cs="Arial" w:eastAsia="Arial" w:hAnsi="Arial"/>
                <w:sz w:val="18"/>
                <w:szCs w:val="18"/>
                <w:color w:val="auto"/>
              </w:rPr>
              <w:t>Treasury stock, at cost, 3,676,380 and 3,388,589 shares, respectively</w:t>
            </w:r>
          </w:p>
        </w:tc>
        <w:tc>
          <w:tcPr>
            <w:tcW w:w="180" w:type="dxa"/>
            <w:vAlign w:val="bottom"/>
          </w:tcPr>
          <w:p>
            <w:pPr>
              <w:spacing w:after="0"/>
              <w:rPr>
                <w:sz w:val="19"/>
                <w:szCs w:val="19"/>
                <w:color w:val="auto"/>
              </w:rPr>
            </w:pPr>
          </w:p>
        </w:tc>
        <w:tc>
          <w:tcPr>
            <w:tcW w:w="11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(28,454)</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(26,181)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24,010</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31,422</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TRANSACT TECHNOLOGIES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6"/>
          </w:tcPr>
          <w:p>
            <w:pPr>
              <w:ind w:left="20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20" w:type="dxa"/>
            <w:vAlign w:val="bottom"/>
            <w:gridSpan w:val="6"/>
          </w:tcPr>
          <w:p>
            <w:pPr>
              <w:ind w:left="32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20" w:type="dxa"/>
            <w:vAlign w:val="bottom"/>
            <w:gridSpan w:val="8"/>
          </w:tcPr>
          <w:p>
            <w:pPr>
              <w:jc w:val="right"/>
              <w:ind w:right="100"/>
              <w:spacing w:after="0"/>
              <w:rPr>
                <w:sz w:val="20"/>
                <w:szCs w:val="20"/>
                <w:color w:val="auto"/>
              </w:rPr>
            </w:pPr>
            <w:r>
              <w:rPr>
                <w:rFonts w:ascii="Arial" w:cs="Arial" w:eastAsia="Arial" w:hAnsi="Arial"/>
                <w:sz w:val="18"/>
                <w:szCs w:val="18"/>
                <w:i w:val="1"/>
                <w:iCs w:val="1"/>
                <w:color w:val="auto"/>
                <w:w w:val="90"/>
              </w:rPr>
              <w:t>(In thousands, except per share data)</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8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14,801</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17,224</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29,158</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33,388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Cost of sales</w:t>
            </w: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8,818</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10,063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17,290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19,735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Gross profit</w:t>
            </w: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5,983</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7,161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11,868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13,653</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Operating expenses:</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Engineering, design and product development</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1,089</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2,325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320"/>
              <w:spacing w:after="0"/>
              <w:rPr>
                <w:sz w:val="20"/>
                <w:szCs w:val="20"/>
                <w:color w:val="auto"/>
              </w:rPr>
            </w:pPr>
            <w:r>
              <w:rPr>
                <w:rFonts w:ascii="Arial" w:cs="Arial" w:eastAsia="Arial" w:hAnsi="Arial"/>
                <w:sz w:val="18"/>
                <w:szCs w:val="18"/>
                <w:color w:val="auto"/>
              </w:rPr>
              <w:t>Selling and marketing</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1,859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2,100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3,652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General and administrative</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1,935</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3,852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160"/>
              <w:spacing w:after="0"/>
              <w:rPr>
                <w:sz w:val="20"/>
                <w:szCs w:val="20"/>
                <w:color w:val="auto"/>
              </w:rPr>
            </w:pPr>
            <w:r>
              <w:rPr>
                <w:rFonts w:ascii="Arial" w:cs="Arial" w:eastAsia="Arial" w:hAnsi="Arial"/>
                <w:sz w:val="18"/>
                <w:szCs w:val="18"/>
                <w:color w:val="auto"/>
              </w:rPr>
              <w:t>Legal fees associated with lawsuit (Note 7)</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4,883</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9,829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11,231</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1,100</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2,039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2,422</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Interest and other income (expense):</w:t>
            </w:r>
          </w:p>
        </w:tc>
        <w:tc>
          <w:tcPr>
            <w:tcW w:w="1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net</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320"/>
              <w:spacing w:after="0"/>
              <w:rPr>
                <w:sz w:val="20"/>
                <w:szCs w:val="20"/>
                <w:color w:val="auto"/>
              </w:rPr>
            </w:pPr>
            <w:r>
              <w:rPr>
                <w:rFonts w:ascii="Arial" w:cs="Arial" w:eastAsia="Arial" w:hAnsi="Arial"/>
                <w:sz w:val="18"/>
                <w:szCs w:val="18"/>
                <w:color w:val="auto"/>
              </w:rPr>
              <w:t>Other, net</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15</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8</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1,108</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2,044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Income tax provision</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355</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781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666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753</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1,378</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320"/>
              <w:spacing w:after="0"/>
              <w:rPr>
                <w:sz w:val="20"/>
                <w:szCs w:val="20"/>
                <w:color w:val="auto"/>
              </w:rPr>
            </w:pPr>
            <w:r>
              <w:rPr>
                <w:rFonts w:ascii="Arial" w:cs="Arial" w:eastAsia="Arial" w:hAnsi="Arial"/>
                <w:sz w:val="18"/>
                <w:szCs w:val="18"/>
                <w:color w:val="auto"/>
              </w:rPr>
              <w:t>Basic</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0.10</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0.18</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0.18</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Diluted</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0.10</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0.18</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per-share calculation:</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320"/>
              <w:spacing w:after="0"/>
              <w:rPr>
                <w:sz w:val="20"/>
                <w:szCs w:val="20"/>
                <w:color w:val="auto"/>
              </w:rPr>
            </w:pPr>
            <w:r>
              <w:rPr>
                <w:rFonts w:ascii="Arial" w:cs="Arial" w:eastAsia="Arial" w:hAnsi="Arial"/>
                <w:sz w:val="18"/>
                <w:szCs w:val="18"/>
                <w:color w:val="auto"/>
              </w:rPr>
              <w:t>Basic</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7,689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7,798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7,761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Diluted</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7,743</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7,819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7,813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and paid per common share:</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0.08</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0.16</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 w:name="page5"/>
    <w:bookmarkEnd w:id="4"/>
    <w:p>
      <w:pPr>
        <w:jc w:val="center"/>
        <w:spacing w:after="0" w:line="275" w:lineRule="auto"/>
        <w:rPr>
          <w:sz w:val="20"/>
          <w:szCs w:val="20"/>
          <w:color w:val="auto"/>
        </w:rPr>
      </w:pPr>
      <w:r>
        <w:rPr>
          <w:rFonts w:ascii="Arial" w:cs="Arial" w:eastAsia="Arial" w:hAnsi="Arial"/>
          <w:sz w:val="18"/>
          <w:szCs w:val="18"/>
          <w:b w:val="1"/>
          <w:bCs w:val="1"/>
          <w:color w:val="auto"/>
        </w:rPr>
        <w:t>TRANSACT TECHNOLOGIES INCORPORATED CONDENSED CONSOLIDATED STATEMENTS OF COMPREHENSIVE INCOME (unaudited)</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20" w:type="dxa"/>
            <w:vAlign w:val="bottom"/>
            <w:gridSpan w:val="7"/>
          </w:tcPr>
          <w:p>
            <w:pPr>
              <w:ind w:left="44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80" w:type="dxa"/>
            <w:vAlign w:val="bottom"/>
            <w:gridSpan w:val="6"/>
          </w:tcPr>
          <w:p>
            <w:pPr>
              <w:ind w:left="18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3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4"/>
              </w:rPr>
              <w:t>2016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i w:val="1"/>
                <w:iCs w:val="1"/>
                <w:color w:val="auto"/>
              </w:rPr>
              <w:t>(In</w:t>
            </w:r>
          </w:p>
        </w:tc>
        <w:tc>
          <w:tcPr>
            <w:tcW w:w="600" w:type="dxa"/>
            <w:vAlign w:val="bottom"/>
            <w:gridSpan w:val="3"/>
          </w:tcPr>
          <w:p>
            <w:pPr>
              <w:jc w:val="right"/>
              <w:ind w:right="20"/>
              <w:spacing w:after="0"/>
              <w:rPr>
                <w:sz w:val="20"/>
                <w:szCs w:val="20"/>
                <w:color w:val="auto"/>
              </w:rPr>
            </w:pPr>
            <w:r>
              <w:rPr>
                <w:rFonts w:ascii="Arial" w:cs="Arial" w:eastAsia="Arial" w:hAnsi="Arial"/>
                <w:sz w:val="16"/>
                <w:szCs w:val="16"/>
                <w:i w:val="1"/>
                <w:iCs w:val="1"/>
                <w:color w:val="auto"/>
                <w:w w:val="70"/>
              </w:rPr>
              <w:t>thousands)</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8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4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b w:val="1"/>
                <w:bCs w:val="1"/>
                <w:color w:val="auto"/>
              </w:rPr>
              <w:t>$</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753</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1,388</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1,378</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Foreign currency translation adjustment, net of tax</w:t>
            </w:r>
          </w:p>
        </w:tc>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9"/>
              </w:rPr>
              <w:t>(14)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04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b w:val="1"/>
                <w:bCs w:val="1"/>
                <w:color w:val="auto"/>
              </w:rPr>
              <w:t>$</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739</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1,401</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1,360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TRANSACT TECHNOLOGIES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5"/>
          </w:tcPr>
          <w:p>
            <w:pPr>
              <w:ind w:left="30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6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85"/>
              <w:spacing w:after="0"/>
              <w:rPr>
                <w:sz w:val="20"/>
                <w:szCs w:val="20"/>
                <w:color w:val="auto"/>
              </w:rPr>
            </w:pPr>
            <w:r>
              <w:rPr>
                <w:rFonts w:ascii="Arial" w:cs="Arial" w:eastAsia="Arial" w:hAnsi="Arial"/>
                <w:sz w:val="18"/>
                <w:szCs w:val="18"/>
                <w:b w:val="1"/>
                <w:bCs w:val="1"/>
                <w:color w:val="auto"/>
              </w:rPr>
              <w:t>June 30,</w:t>
            </w:r>
          </w:p>
        </w:tc>
        <w:tc>
          <w:tcPr>
            <w:tcW w:w="7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9"/>
              </w:rPr>
              <w:t>2015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gridSpan w:val="2"/>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i w:val="1"/>
                <w:iCs w:val="1"/>
                <w:color w:val="auto"/>
              </w:rPr>
              <w:t>(In</w:t>
            </w:r>
          </w:p>
        </w:tc>
        <w:tc>
          <w:tcPr>
            <w:tcW w:w="600" w:type="dxa"/>
            <w:vAlign w:val="bottom"/>
            <w:gridSpan w:val="2"/>
          </w:tcPr>
          <w:p>
            <w:pPr>
              <w:jc w:val="right"/>
              <w:spacing w:after="0"/>
              <w:rPr>
                <w:sz w:val="20"/>
                <w:szCs w:val="20"/>
                <w:color w:val="auto"/>
              </w:rPr>
            </w:pPr>
            <w:r>
              <w:rPr>
                <w:rFonts w:ascii="Arial" w:cs="Arial" w:eastAsia="Arial" w:hAnsi="Arial"/>
                <w:sz w:val="16"/>
                <w:szCs w:val="16"/>
                <w:i w:val="1"/>
                <w:iCs w:val="1"/>
                <w:color w:val="auto"/>
                <w:w w:val="73"/>
              </w:rPr>
              <w:t>thousands)</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620" w:type="dxa"/>
            <w:vAlign w:val="bottom"/>
            <w:gridSpan w:val="2"/>
            <w:vMerge w:val="continue"/>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income</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1,378</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4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Share-based compensation expense</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305</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960"/>
              <w:spacing w:after="0"/>
              <w:rPr>
                <w:sz w:val="20"/>
                <w:szCs w:val="20"/>
                <w:color w:val="auto"/>
              </w:rPr>
            </w:pPr>
            <w:r>
              <w:rPr>
                <w:rFonts w:ascii="Arial" w:cs="Arial" w:eastAsia="Arial" w:hAnsi="Arial"/>
                <w:sz w:val="18"/>
                <w:szCs w:val="18"/>
                <w:color w:val="auto"/>
              </w:rPr>
              <w:t>Incremental tax benefits from stock options exercised</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Depreciation and amortization</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643</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960"/>
              <w:spacing w:after="0"/>
              <w:rPr>
                <w:sz w:val="20"/>
                <w:szCs w:val="20"/>
                <w:color w:val="auto"/>
              </w:rPr>
            </w:pPr>
            <w:r>
              <w:rPr>
                <w:rFonts w:ascii="Arial" w:cs="Arial" w:eastAsia="Arial" w:hAnsi="Arial"/>
                <w:sz w:val="18"/>
                <w:szCs w:val="18"/>
                <w:color w:val="auto"/>
              </w:rPr>
              <w:t>Deferred income tax provision</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170</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Gain on the sale of fixed assets</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960"/>
              <w:spacing w:after="0"/>
              <w:rPr>
                <w:sz w:val="20"/>
                <w:szCs w:val="20"/>
                <w:color w:val="auto"/>
              </w:rPr>
            </w:pPr>
            <w:r>
              <w:rPr>
                <w:rFonts w:ascii="Arial" w:cs="Arial" w:eastAsia="Arial" w:hAnsi="Arial"/>
                <w:sz w:val="18"/>
                <w:szCs w:val="18"/>
                <w:color w:val="auto"/>
              </w:rPr>
              <w:t>Foreign currency transaction (gains) losses</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Changes in operating assets and liabilities:</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440"/>
              <w:spacing w:after="0"/>
              <w:rPr>
                <w:sz w:val="20"/>
                <w:szCs w:val="20"/>
                <w:color w:val="auto"/>
              </w:rPr>
            </w:pPr>
            <w:r>
              <w:rPr>
                <w:rFonts w:ascii="Arial" w:cs="Arial" w:eastAsia="Arial" w:hAnsi="Arial"/>
                <w:sz w:val="18"/>
                <w:szCs w:val="18"/>
                <w:color w:val="auto"/>
              </w:rPr>
              <w:t>Accounts receivable</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(3,203)</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Inventories</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2,273</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440"/>
              <w:spacing w:after="0"/>
              <w:rPr>
                <w:sz w:val="20"/>
                <w:szCs w:val="20"/>
                <w:color w:val="auto"/>
              </w:rPr>
            </w:pPr>
            <w:r>
              <w:rPr>
                <w:rFonts w:ascii="Arial" w:cs="Arial" w:eastAsia="Arial" w:hAnsi="Arial"/>
                <w:sz w:val="18"/>
                <w:szCs w:val="18"/>
                <w:color w:val="auto"/>
              </w:rPr>
              <w:t>Prepaid income taxes</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(205)</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Other current and long term assets</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440"/>
              <w:spacing w:after="0"/>
              <w:rPr>
                <w:sz w:val="20"/>
                <w:szCs w:val="20"/>
                <w:color w:val="auto"/>
              </w:rPr>
            </w:pPr>
            <w:r>
              <w:rPr>
                <w:rFonts w:ascii="Arial" w:cs="Arial" w:eastAsia="Arial" w:hAnsi="Arial"/>
                <w:sz w:val="18"/>
                <w:szCs w:val="18"/>
                <w:color w:val="auto"/>
              </w:rPr>
              <w:t>Accounts payable</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1,871</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Accrued liabilities and other liabilities</w:t>
            </w:r>
          </w:p>
        </w:tc>
        <w:tc>
          <w:tcPr>
            <w:tcW w:w="1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(1,272)</w:t>
            </w: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Borders>
              <w:top w:val="single" w:sz="8" w:color="CCEEFF"/>
            </w:tcBorders>
          </w:tcPr>
          <w:p>
            <w:pPr>
              <w:ind w:left="800"/>
              <w:spacing w:after="0"/>
              <w:rPr>
                <w:sz w:val="20"/>
                <w:szCs w:val="20"/>
                <w:color w:val="auto"/>
              </w:rPr>
            </w:pPr>
            <w:r>
              <w:rPr>
                <w:rFonts w:ascii="Arial" w:cs="Arial" w:eastAsia="Arial" w:hAnsi="Arial"/>
                <w:sz w:val="18"/>
                <w:szCs w:val="18"/>
                <w:color w:val="auto"/>
              </w:rPr>
              <w:t>Net cash provided by operating activities</w:t>
            </w:r>
          </w:p>
        </w:tc>
        <w:tc>
          <w:tcPr>
            <w:tcW w:w="128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1,897</w:t>
            </w:r>
          </w:p>
        </w:tc>
        <w:tc>
          <w:tcPr>
            <w:tcW w:w="220" w:type="dxa"/>
            <w:vAlign w:val="bottom"/>
            <w:tcBorders>
              <w:top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Capital expenditures</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(330)</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320"/>
              <w:spacing w:after="0"/>
              <w:rPr>
                <w:sz w:val="20"/>
                <w:szCs w:val="20"/>
                <w:color w:val="auto"/>
              </w:rPr>
            </w:pPr>
            <w:r>
              <w:rPr>
                <w:rFonts w:ascii="Arial" w:cs="Arial" w:eastAsia="Arial" w:hAnsi="Arial"/>
                <w:sz w:val="18"/>
                <w:szCs w:val="18"/>
                <w:color w:val="auto"/>
              </w:rPr>
              <w:t>Proceeds from sale of fixed assets</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Net cash used in investing activities</w:t>
            </w:r>
          </w:p>
        </w:tc>
        <w:tc>
          <w:tcPr>
            <w:tcW w:w="1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(322)</w:t>
            </w: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480"/>
              <w:spacing w:after="0"/>
              <w:rPr>
                <w:sz w:val="20"/>
                <w:szCs w:val="20"/>
                <w:color w:val="auto"/>
              </w:rPr>
            </w:pPr>
            <w:r>
              <w:rPr>
                <w:rFonts w:ascii="Arial" w:cs="Arial" w:eastAsia="Arial" w:hAnsi="Arial"/>
                <w:sz w:val="18"/>
                <w:szCs w:val="18"/>
                <w:color w:val="auto"/>
              </w:rPr>
              <w:t>Revolving credit line borrowings</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Revolving credit line payments</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480"/>
              <w:spacing w:after="0"/>
              <w:rPr>
                <w:sz w:val="20"/>
                <w:szCs w:val="20"/>
                <w:color w:val="auto"/>
              </w:rPr>
            </w:pPr>
            <w:r>
              <w:rPr>
                <w:rFonts w:ascii="Arial" w:cs="Arial" w:eastAsia="Arial" w:hAnsi="Arial"/>
                <w:sz w:val="18"/>
                <w:szCs w:val="18"/>
                <w:color w:val="auto"/>
              </w:rPr>
              <w:t>Payment of dividends on common stock</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(1,232)</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Purchases of common stock for treasury</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(2,273)</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480"/>
              <w:spacing w:after="0"/>
              <w:rPr>
                <w:sz w:val="20"/>
                <w:szCs w:val="20"/>
                <w:color w:val="auto"/>
              </w:rPr>
            </w:pPr>
            <w:r>
              <w:rPr>
                <w:rFonts w:ascii="Arial" w:cs="Arial" w:eastAsia="Arial" w:hAnsi="Arial"/>
                <w:sz w:val="18"/>
                <w:szCs w:val="18"/>
                <w:color w:val="auto"/>
              </w:rPr>
              <w:t>Proceeds from stock option exercises</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Incremental tax benefits on stock options exercised</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Pr>
          <w:p>
            <w:pPr>
              <w:ind w:left="960"/>
              <w:spacing w:after="0"/>
              <w:rPr>
                <w:sz w:val="20"/>
                <w:szCs w:val="20"/>
                <w:color w:val="auto"/>
              </w:rPr>
            </w:pPr>
            <w:r>
              <w:rPr>
                <w:rFonts w:ascii="Arial" w:cs="Arial" w:eastAsia="Arial" w:hAnsi="Arial"/>
                <w:sz w:val="18"/>
                <w:szCs w:val="18"/>
                <w:color w:val="auto"/>
              </w:rPr>
              <w:t>Net cash used in financing activities</w:t>
            </w: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(3,481)</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(2,263)</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Decrease in cash and cash equivalents</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(1,918)</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4,473</w:t>
            </w:r>
          </w:p>
        </w:tc>
        <w:tc>
          <w:tcPr>
            <w:tcW w:w="2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2,555</w:t>
            </w:r>
          </w:p>
        </w:tc>
        <w:tc>
          <w:tcPr>
            <w:tcW w:w="220" w:type="dxa"/>
            <w:vAlign w:val="bottom"/>
          </w:tcPr>
          <w:p>
            <w:pPr>
              <w:spacing w:after="0"/>
              <w:rPr>
                <w:sz w:val="18"/>
                <w:szCs w:val="18"/>
                <w:color w:val="auto"/>
              </w:rPr>
            </w:pP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Supplemental schedule of non-cash investing activities:</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Capital expenditures funded by accounts payable</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 w:name="page7"/>
    <w:bookmarkEnd w:id="6"/>
    <w:p>
      <w:pPr>
        <w:jc w:val="center"/>
        <w:spacing w:after="0" w:line="275" w:lineRule="auto"/>
        <w:rPr>
          <w:sz w:val="20"/>
          <w:szCs w:val="20"/>
          <w:color w:val="auto"/>
        </w:rPr>
      </w:pPr>
      <w:r>
        <w:rPr>
          <w:rFonts w:ascii="Arial" w:cs="Arial" w:eastAsia="Arial" w:hAnsi="Arial"/>
          <w:sz w:val="18"/>
          <w:szCs w:val="18"/>
          <w:b w:val="1"/>
          <w:bCs w:val="1"/>
          <w:color w:val="auto"/>
        </w:rPr>
        <w:t xml:space="preserve">TRANSACT TECHNOLOGIES INCORPORATED NOTES TO CONDENSED CONSOLIDATED FINANCIAL STATEMENTS </w:t>
      </w:r>
      <w:r>
        <w:rPr>
          <w:rFonts w:ascii="Arial" w:cs="Arial" w:eastAsia="Arial" w:hAnsi="Arial"/>
          <w:sz w:val="18"/>
          <w:szCs w:val="18"/>
          <w:color w:val="auto"/>
        </w:rPr>
        <w:t>(unaudited)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accompanying unaudited financial statements of TransAct Technologies Incorporated have been prepared in accordance with accounting principles generally accepted in the United States of America for interim financial information. Accordingly, they do not include all of the information and footnotes required by accounting principles generally accepted in the United States of America to be included in full year financial statements. In the opinion of management, all adjustments considered necessary for a fair statement of the results for the periods presented have been included and are of a normal recurring nature. The December 31, 2015 Condensed Consolidated Balance Sheet data was derived from audited financial statements, but does not include all disclosures required by accounting principles generally accepted in the United States of America. These interim financial statements should be read in conjunction with the audited financial statements for the year ended December 31, 2015 included in our Annual Report on Form 10-K.</w:t>
      </w:r>
    </w:p>
    <w:p>
      <w:pPr>
        <w:spacing w:after="0" w:line="20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financial position and results of operations of our U.K. subsidiary are measured using local currency as the functional currency. Assets and liabilities of such subsidiary have been translated at the end of period exchange rates, and related revenues and expenses have been translated at the weighted average exchange rates with the resulting translation gain or loss recorded in accumulated other comprehensive income (loss) in the Condensed Consolidated Balance Sheets. Transaction gains and losses are included in other income (expenses) in the Condensed Consolidated Statements of Income.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results of operations for the three and six months ended June 30, 2016 are not necessarily indicative of the results to be expected for the full year.</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00" w:type="dxa"/>
            <w:vAlign w:val="bottom"/>
            <w:gridSpan w:val="2"/>
          </w:tcPr>
          <w:p>
            <w:pPr>
              <w:spacing w:after="0"/>
              <w:rPr>
                <w:sz w:val="20"/>
                <w:szCs w:val="20"/>
                <w:color w:val="auto"/>
              </w:rPr>
            </w:pPr>
            <w:r>
              <w:rPr>
                <w:rFonts w:ascii="Arial" w:cs="Arial" w:eastAsia="Arial" w:hAnsi="Arial"/>
                <w:sz w:val="18"/>
                <w:szCs w:val="18"/>
                <w:b w:val="1"/>
                <w:bCs w:val="1"/>
                <w:color w:val="auto"/>
              </w:rPr>
              <w:t>2. Inventories</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900" w:type="dxa"/>
            <w:vAlign w:val="bottom"/>
            <w:gridSpan w:val="2"/>
          </w:tcPr>
          <w:p>
            <w:pPr>
              <w:spacing w:after="0"/>
              <w:rPr>
                <w:sz w:val="20"/>
                <w:szCs w:val="20"/>
                <w:color w:val="auto"/>
              </w:rPr>
            </w:pPr>
            <w:r>
              <w:rPr>
                <w:rFonts w:ascii="Arial" w:cs="Arial" w:eastAsia="Arial" w:hAnsi="Arial"/>
                <w:sz w:val="18"/>
                <w:szCs w:val="18"/>
                <w:color w:val="auto"/>
              </w:rPr>
              <w:t>The components of inventories are:</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b w:val="1"/>
                <w:bCs w:val="1"/>
                <w:color w:val="auto"/>
                <w:w w:val="97"/>
              </w:rPr>
              <w:t>June 30,</w:t>
            </w:r>
          </w:p>
        </w:tc>
        <w:tc>
          <w:tcPr>
            <w:tcW w:w="220" w:type="dxa"/>
            <w:vAlign w:val="bottom"/>
          </w:tcPr>
          <w:p>
            <w:pPr>
              <w:spacing w:after="0"/>
              <w:rPr>
                <w:sz w:val="24"/>
                <w:szCs w:val="24"/>
                <w:color w:val="auto"/>
              </w:rPr>
            </w:pPr>
          </w:p>
        </w:tc>
        <w:tc>
          <w:tcPr>
            <w:tcW w:w="1180" w:type="dxa"/>
            <w:vAlign w:val="bottom"/>
            <w:gridSpan w:val="3"/>
          </w:tcPr>
          <w:p>
            <w:pPr>
              <w:ind w:left="80"/>
              <w:spacing w:after="0"/>
              <w:rPr>
                <w:sz w:val="20"/>
                <w:szCs w:val="20"/>
                <w:color w:val="auto"/>
              </w:rPr>
            </w:pPr>
            <w:r>
              <w:rPr>
                <w:rFonts w:ascii="Arial" w:cs="Arial" w:eastAsia="Arial" w:hAnsi="Arial"/>
                <w:sz w:val="18"/>
                <w:szCs w:val="18"/>
                <w:color w:val="auto"/>
                <w:w w:val="95"/>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8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i w:val="1"/>
                <w:iCs w:val="1"/>
                <w:color w:val="auto"/>
              </w:rPr>
              <w:t>(In</w:t>
            </w:r>
          </w:p>
        </w:tc>
        <w:tc>
          <w:tcPr>
            <w:tcW w:w="1380" w:type="dxa"/>
            <w:vAlign w:val="bottom"/>
            <w:gridSpan w:val="3"/>
          </w:tcPr>
          <w:p>
            <w:pPr>
              <w:jc w:val="right"/>
              <w:ind w:right="650"/>
              <w:spacing w:after="0"/>
              <w:rPr>
                <w:sz w:val="20"/>
                <w:szCs w:val="20"/>
                <w:color w:val="auto"/>
              </w:rPr>
            </w:pPr>
            <w:r>
              <w:rPr>
                <w:rFonts w:ascii="Arial" w:cs="Arial" w:eastAsia="Arial" w:hAnsi="Arial"/>
                <w:sz w:val="17"/>
                <w:szCs w:val="17"/>
                <w:i w:val="1"/>
                <w:iCs w:val="1"/>
                <w:color w:val="auto"/>
                <w:w w:val="73"/>
              </w:rPr>
              <w:t>thousands)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8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purchased component parts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5,285</w:t>
            </w:r>
          </w:p>
        </w:tc>
        <w:tc>
          <w:tcPr>
            <w:tcW w:w="4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Work-in-process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3,678</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9,019</w:t>
            </w:r>
          </w:p>
        </w:tc>
        <w:tc>
          <w:tcPr>
            <w:tcW w:w="4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11,296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Accrued product warranty liability</w:t>
      </w:r>
    </w:p>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generally warrant our products for up to 36 months and record the estimated cost of such product warranties at the time the sale is recorded. Estimated warranty costs are based upon actual past experience of product repairs and the related estimated cost of labor and material to make the necessary repairs.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activity recorded in the accrued product warranty liability during the six months ended June 30, 2016 and 2015:</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00" w:type="dxa"/>
            <w:vAlign w:val="bottom"/>
            <w:gridSpan w:val="4"/>
          </w:tcPr>
          <w:p>
            <w:pPr>
              <w:jc w:val="center"/>
              <w:ind w:left="290"/>
              <w:spacing w:after="0"/>
              <w:rPr>
                <w:sz w:val="20"/>
                <w:szCs w:val="20"/>
                <w:color w:val="auto"/>
              </w:rPr>
            </w:pPr>
            <w:r>
              <w:rPr>
                <w:rFonts w:ascii="Arial" w:cs="Arial" w:eastAsia="Arial" w:hAnsi="Arial"/>
                <w:sz w:val="18"/>
                <w:szCs w:val="18"/>
                <w:b w:val="1"/>
                <w:bCs w:val="1"/>
                <w:color w:val="auto"/>
                <w:w w:val="87"/>
              </w:rPr>
              <w:t>Six months ended</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center"/>
              <w:ind w:right="277"/>
              <w:spacing w:after="0"/>
              <w:rPr>
                <w:sz w:val="20"/>
                <w:szCs w:val="20"/>
                <w:color w:val="auto"/>
              </w:rPr>
            </w:pPr>
            <w:r>
              <w:rPr>
                <w:rFonts w:ascii="Arial" w:cs="Arial" w:eastAsia="Arial" w:hAnsi="Arial"/>
                <w:sz w:val="18"/>
                <w:szCs w:val="18"/>
                <w:b w:val="1"/>
                <w:bCs w:val="1"/>
                <w:color w:val="auto"/>
                <w:w w:val="88"/>
              </w:rPr>
              <w:t>June 30,</w:t>
            </w:r>
          </w:p>
        </w:tc>
        <w:tc>
          <w:tcPr>
            <w:tcW w:w="4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3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w:t>
            </w:r>
          </w:p>
        </w:tc>
        <w:tc>
          <w:tcPr>
            <w:tcW w:w="4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gridSpan w:val="2"/>
          </w:tcPr>
          <w:p>
            <w:pPr>
              <w:jc w:val="right"/>
              <w:ind w:right="110"/>
              <w:spacing w:after="0"/>
              <w:rPr>
                <w:sz w:val="20"/>
                <w:szCs w:val="20"/>
                <w:color w:val="auto"/>
              </w:rPr>
            </w:pPr>
            <w:r>
              <w:rPr>
                <w:rFonts w:ascii="Arial" w:cs="Arial" w:eastAsia="Arial" w:hAnsi="Arial"/>
                <w:sz w:val="18"/>
                <w:szCs w:val="18"/>
                <w:i w:val="1"/>
                <w:iCs w:val="1"/>
                <w:color w:val="auto"/>
              </w:rPr>
              <w:t>(In</w:t>
            </w:r>
          </w:p>
        </w:tc>
        <w:tc>
          <w:tcPr>
            <w:tcW w:w="980" w:type="dxa"/>
            <w:vAlign w:val="bottom"/>
            <w:gridSpan w:val="2"/>
          </w:tcPr>
          <w:p>
            <w:pPr>
              <w:jc w:val="right"/>
              <w:ind w:right="257"/>
              <w:spacing w:after="0"/>
              <w:rPr>
                <w:sz w:val="20"/>
                <w:szCs w:val="20"/>
                <w:color w:val="auto"/>
              </w:rPr>
            </w:pPr>
            <w:r>
              <w:rPr>
                <w:rFonts w:ascii="Arial" w:cs="Arial" w:eastAsia="Arial" w:hAnsi="Arial"/>
                <w:sz w:val="17"/>
                <w:szCs w:val="17"/>
                <w:i w:val="1"/>
                <w:iCs w:val="1"/>
                <w:color w:val="auto"/>
                <w:w w:val="73"/>
              </w:rPr>
              <w:t>thousands)</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vMerge w:val="restart"/>
          </w:tcPr>
          <w:p>
            <w:pPr>
              <w:spacing w:after="0"/>
              <w:rPr>
                <w:sz w:val="24"/>
                <w:szCs w:val="24"/>
                <w:color w:val="auto"/>
              </w:rPr>
            </w:pPr>
          </w:p>
        </w:tc>
        <w:tc>
          <w:tcPr>
            <w:tcW w:w="8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760" w:type="dxa"/>
            <w:vAlign w:val="bottom"/>
            <w:gridSpan w:val="2"/>
            <w:shd w:val="clear" w:color="auto" w:fill="CCEEFF"/>
          </w:tcPr>
          <w:p>
            <w:pPr>
              <w:jc w:val="right"/>
              <w:ind w:right="590"/>
              <w:spacing w:after="0"/>
              <w:rPr>
                <w:sz w:val="20"/>
                <w:szCs w:val="20"/>
                <w:color w:val="auto"/>
              </w:rPr>
            </w:pPr>
            <w:r>
              <w:rPr>
                <w:rFonts w:ascii="Arial" w:cs="Arial" w:eastAsia="Arial" w:hAnsi="Arial"/>
                <w:sz w:val="15"/>
                <w:szCs w:val="15"/>
                <w:b w:val="1"/>
                <w:bCs w:val="1"/>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277</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7"/>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Warranties issued</w:t>
            </w: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131</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Warranty settlements</w:t>
            </w:r>
          </w:p>
        </w:tc>
        <w:tc>
          <w:tcPr>
            <w:tcW w:w="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(136)</w:t>
            </w: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Balance, end of period</w:t>
            </w:r>
          </w:p>
        </w:tc>
        <w:tc>
          <w:tcPr>
            <w:tcW w:w="760" w:type="dxa"/>
            <w:vAlign w:val="bottom"/>
            <w:tcBorders>
              <w:bottom w:val="single" w:sz="8" w:color="auto"/>
            </w:tcBorders>
            <w:gridSpan w:val="2"/>
          </w:tcPr>
          <w:p>
            <w:pPr>
              <w:jc w:val="right"/>
              <w:ind w:right="590"/>
              <w:spacing w:after="0"/>
              <w:rPr>
                <w:sz w:val="20"/>
                <w:szCs w:val="20"/>
                <w:color w:val="auto"/>
              </w:rPr>
            </w:pPr>
            <w:r>
              <w:rPr>
                <w:rFonts w:ascii="Arial" w:cs="Arial" w:eastAsia="Arial" w:hAnsi="Arial"/>
                <w:sz w:val="15"/>
                <w:szCs w:val="15"/>
                <w:b w:val="1"/>
                <w:bCs w:val="1"/>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272</w:t>
            </w:r>
          </w:p>
        </w:tc>
        <w:tc>
          <w:tcPr>
            <w:tcW w:w="22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$164,000 of the accrued product warranty liability is classified as current in Accrued liabilities at June 30, 2016 in the Condensed Consolidated Balance Sheets. The remaining $108,000 of the accrued product warranty liability is classified as long-term in Other liabilities.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 w:name="page8"/>
    <w:bookmarkEnd w:id="7"/>
    <w:p>
      <w:pPr>
        <w:jc w:val="center"/>
        <w:spacing w:after="0" w:line="275" w:lineRule="auto"/>
        <w:rPr>
          <w:sz w:val="20"/>
          <w:szCs w:val="20"/>
          <w:color w:val="auto"/>
        </w:rPr>
      </w:pPr>
      <w:r>
        <w:rPr>
          <w:rFonts w:ascii="Arial" w:cs="Arial" w:eastAsia="Arial" w:hAnsi="Arial"/>
          <w:sz w:val="18"/>
          <w:szCs w:val="18"/>
          <w:b w:val="1"/>
          <w:bCs w:val="1"/>
          <w:color w:val="auto"/>
        </w:rPr>
        <w:t xml:space="preserve">TRANSACT TECHNOLOGIES INCORPORATED NOTES TO CONDENSED CONSOLIDATED FINANCIAL STATEMENTS </w:t>
      </w:r>
      <w:r>
        <w:rPr>
          <w:rFonts w:ascii="Arial" w:cs="Arial" w:eastAsia="Arial" w:hAnsi="Arial"/>
          <w:sz w:val="18"/>
          <w:szCs w:val="18"/>
          <w:color w:val="auto"/>
        </w:rPr>
        <w:t>(unaudited)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Earnings per share</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reconciliation of basic weighted average shares outstanding and diluted weighted average shares outstanding:</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2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20" w:type="dxa"/>
            <w:vAlign w:val="bottom"/>
            <w:gridSpan w:val="8"/>
          </w:tcPr>
          <w:p>
            <w:pPr>
              <w:jc w:val="right"/>
              <w:ind w:right="100"/>
              <w:spacing w:after="0"/>
              <w:rPr>
                <w:sz w:val="20"/>
                <w:szCs w:val="20"/>
                <w:color w:val="auto"/>
              </w:rPr>
            </w:pPr>
            <w:r>
              <w:rPr>
                <w:rFonts w:ascii="Arial" w:cs="Arial" w:eastAsia="Arial" w:hAnsi="Arial"/>
                <w:sz w:val="18"/>
                <w:szCs w:val="18"/>
                <w:i w:val="1"/>
                <w:iCs w:val="1"/>
                <w:color w:val="auto"/>
                <w:w w:val="90"/>
              </w:rPr>
              <w:t>(In thousands, except per share data)</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753</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1,378</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Shares:</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Basic: Weighted average common shares outstanding</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7,689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7,798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7,761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Add: Dilutive effect of outstanding options as determined by the</w:t>
            </w: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52</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treasury stock method</w:t>
            </w:r>
          </w:p>
        </w:tc>
        <w:tc>
          <w:tcPr>
            <w:tcW w:w="6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tcBorders>
              <w:right w:val="single" w:sz="8" w:color="CCEEFF"/>
            </w:tcBorders>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5500" w:type="dxa"/>
            <w:vAlign w:val="bottom"/>
          </w:tcPr>
          <w:p>
            <w:pPr>
              <w:spacing w:after="0" w:line="201" w:lineRule="exact"/>
              <w:rPr>
                <w:sz w:val="20"/>
                <w:szCs w:val="20"/>
                <w:color w:val="auto"/>
              </w:rPr>
            </w:pPr>
            <w:r>
              <w:rPr>
                <w:rFonts w:ascii="Arial" w:cs="Arial" w:eastAsia="Arial" w:hAnsi="Arial"/>
                <w:sz w:val="18"/>
                <w:szCs w:val="18"/>
                <w:color w:val="auto"/>
              </w:rPr>
              <w:t>Diluted: Weighted average common and common equivalent shares</w:t>
            </w: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7,743</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7,813</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20" w:type="dxa"/>
            <w:vAlign w:val="bottom"/>
            <w:gridSpan w:val="2"/>
          </w:tcPr>
          <w:p>
            <w:pPr>
              <w:spacing w:after="0"/>
              <w:rPr>
                <w:sz w:val="20"/>
                <w:szCs w:val="20"/>
                <w:color w:val="auto"/>
              </w:rPr>
            </w:pPr>
            <w:r>
              <w:rPr>
                <w:rFonts w:ascii="Arial" w:cs="Arial" w:eastAsia="Arial" w:hAnsi="Arial"/>
                <w:sz w:val="18"/>
                <w:szCs w:val="18"/>
                <w:color w:val="auto"/>
              </w:rPr>
              <w:t>outstanding</w:t>
            </w: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7,819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7,847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Basic</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0.10</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0.18</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00" w:type="dxa"/>
            <w:vAlign w:val="bottom"/>
          </w:tcPr>
          <w:p>
            <w:pPr>
              <w:ind w:left="480"/>
              <w:spacing w:after="0"/>
              <w:rPr>
                <w:sz w:val="20"/>
                <w:szCs w:val="20"/>
                <w:color w:val="auto"/>
              </w:rPr>
            </w:pPr>
            <w:r>
              <w:rPr>
                <w:rFonts w:ascii="Arial" w:cs="Arial" w:eastAsia="Arial" w:hAnsi="Arial"/>
                <w:sz w:val="18"/>
                <w:szCs w:val="18"/>
                <w:color w:val="auto"/>
              </w:rPr>
              <w:t>Diluted</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0.10</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0.18</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0.18</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computation of diluted earnings per share excludes the effect of the potential exercise of stock awards, including stock options, restricted stock units and performance stock awards, when the average market price of the common stock is lower than the exercise price of the related stock award during the period. These outstanding stock awards are not included in the computation of diluted earnings per share because the effect would be anti-dilutive. For the three months ended June 30, 2016 and 2015, there were 827,000 and 877,000, respectively, potentially dilutive shares consisting of stock awards that were excluded from the calculation of earnings per diluted share. For the six months ended June 30, 2016 and 2015, there were 827,000 and 877,000, respectively, potentially dilutive shares consisting of stock awards that were excluded from the calculation of earnings per diluted share.</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60" w:type="dxa"/>
            <w:vAlign w:val="bottom"/>
            <w:gridSpan w:val="2"/>
          </w:tcPr>
          <w:p>
            <w:pPr>
              <w:spacing w:after="0"/>
              <w:rPr>
                <w:sz w:val="20"/>
                <w:szCs w:val="20"/>
                <w:color w:val="auto"/>
              </w:rPr>
            </w:pPr>
            <w:r>
              <w:rPr>
                <w:rFonts w:ascii="Arial" w:cs="Arial" w:eastAsia="Arial" w:hAnsi="Arial"/>
                <w:sz w:val="18"/>
                <w:szCs w:val="18"/>
                <w:b w:val="1"/>
                <w:bCs w:val="1"/>
                <w:color w:val="auto"/>
              </w:rPr>
              <w:t>5. Shareholders’ equity</w:t>
            </w: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59"/>
        </w:trPr>
        <w:tc>
          <w:tcPr>
            <w:tcW w:w="10260" w:type="dxa"/>
            <w:vAlign w:val="bottom"/>
            <w:gridSpan w:val="2"/>
          </w:tcPr>
          <w:p>
            <w:pPr>
              <w:spacing w:after="0"/>
              <w:rPr>
                <w:sz w:val="20"/>
                <w:szCs w:val="20"/>
                <w:color w:val="auto"/>
              </w:rPr>
            </w:pPr>
            <w:r>
              <w:rPr>
                <w:rFonts w:ascii="Arial" w:cs="Arial" w:eastAsia="Arial" w:hAnsi="Arial"/>
                <w:sz w:val="18"/>
                <w:szCs w:val="18"/>
                <w:color w:val="auto"/>
              </w:rPr>
              <w:t>Changes in shareholders’ equity for the six months ended June 30, 2016 were as follows (in thousands):</w:t>
            </w: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10260" w:type="dxa"/>
            <w:vAlign w:val="bottom"/>
            <w:gridSpan w:val="2"/>
          </w:tcPr>
          <w:p>
            <w:pPr>
              <w:spacing w:after="0"/>
              <w:rPr>
                <w:sz w:val="20"/>
                <w:szCs w:val="20"/>
                <w:color w:val="auto"/>
              </w:rPr>
            </w:pPr>
            <w:r>
              <w:rPr>
                <w:rFonts w:ascii="Arial" w:cs="Arial" w:eastAsia="Arial" w:hAnsi="Arial"/>
                <w:sz w:val="18"/>
                <w:szCs w:val="18"/>
                <w:color w:val="auto"/>
              </w:rPr>
              <w:t>Balance at December 31, 2015</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25,728</w:t>
            </w:r>
          </w:p>
        </w:tc>
      </w:tr>
      <w:tr>
        <w:trPr>
          <w:trHeight w:val="216"/>
        </w:trPr>
        <w:tc>
          <w:tcPr>
            <w:tcW w:w="20" w:type="dxa"/>
            <w:vAlign w:val="bottom"/>
          </w:tcPr>
          <w:p>
            <w:pPr>
              <w:spacing w:after="0"/>
              <w:rPr>
                <w:sz w:val="18"/>
                <w:szCs w:val="18"/>
                <w:color w:val="auto"/>
              </w:rPr>
            </w:pPr>
          </w:p>
        </w:tc>
        <w:tc>
          <w:tcPr>
            <w:tcW w:w="102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240" w:type="dxa"/>
            <w:vAlign w:val="bottom"/>
            <w:shd w:val="clear" w:color="auto" w:fill="CCEEFF"/>
          </w:tcPr>
          <w:p>
            <w:pPr>
              <w:spacing w:after="0"/>
              <w:rPr>
                <w:sz w:val="20"/>
                <w:szCs w:val="20"/>
                <w:color w:val="auto"/>
              </w:rPr>
            </w:pPr>
            <w:r>
              <w:rPr>
                <w:rFonts w:ascii="Arial" w:cs="Arial" w:eastAsia="Arial" w:hAnsi="Arial"/>
                <w:sz w:val="18"/>
                <w:szCs w:val="18"/>
                <w:color w:val="auto"/>
              </w:rPr>
              <w:t>Issuance of deferred stock units, net of relinquishments</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Issuance of shares from exercise of stock options, net of tax benefit</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2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Reversal of deferred tax asset in connection with stock options forfeited</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24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and paid on common stock</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Purchase of common stock for treasury</w:t>
            </w: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(2,273)</w:t>
            </w:r>
          </w:p>
        </w:tc>
        <w:tc>
          <w:tcPr>
            <w:tcW w:w="2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10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2016</w:t>
            </w:r>
          </w:p>
        </w:tc>
        <w:tc>
          <w:tcPr>
            <w:tcW w:w="36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24,010</w:t>
            </w:r>
          </w:p>
        </w:tc>
        <w:tc>
          <w:tcPr>
            <w:tcW w:w="20" w:type="dxa"/>
            <w:vAlign w:val="bottom"/>
          </w:tcPr>
          <w:p>
            <w:pPr>
              <w:spacing w:after="0"/>
              <w:rPr>
                <w:sz w:val="22"/>
                <w:szCs w:val="22"/>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paid a portion of the 2015 incentive bonus for the chief executive officer and chief financial officer in the form of 28,231 deferred stock units. Such deferred stock units were granted in February 2016 and were fully vested at the time of grant.</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months ended June 30, 2016, our Board of Directors declared a quarterly cash dividend of $0.08 per share, totaling $609,000, which was paid in June 2016 to common shareholders of record at the close of business on May 20, 2016. For the three months ended June 30, 2015, dividends declared and paid totaled $620,000, or $0.08 per share. For the six months ended June 30, 2016 and 2015, dividends declared and paid totaled $1,232,000, or $0.16 per share and $1,243,000, or $0.16 per share,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8" w:name="page9"/>
    <w:bookmarkEnd w:id="8"/>
    <w:p>
      <w:pPr>
        <w:jc w:val="center"/>
        <w:spacing w:after="0" w:line="275" w:lineRule="auto"/>
        <w:rPr>
          <w:sz w:val="20"/>
          <w:szCs w:val="20"/>
          <w:color w:val="auto"/>
        </w:rPr>
      </w:pPr>
      <w:r>
        <w:rPr>
          <w:rFonts w:ascii="Arial" w:cs="Arial" w:eastAsia="Arial" w:hAnsi="Arial"/>
          <w:sz w:val="18"/>
          <w:szCs w:val="18"/>
          <w:b w:val="1"/>
          <w:bCs w:val="1"/>
          <w:color w:val="auto"/>
        </w:rPr>
        <w:t xml:space="preserve">TRANSACT TECHNOLOGIES INCORPORATED NOTES TO CONDENSED CONSOLIDATED FINANCIAL STATEMENTS </w:t>
      </w:r>
      <w:r>
        <w:rPr>
          <w:rFonts w:ascii="Arial" w:cs="Arial" w:eastAsia="Arial" w:hAnsi="Arial"/>
          <w:sz w:val="18"/>
          <w:szCs w:val="18"/>
          <w:color w:val="auto"/>
        </w:rPr>
        <w:t>(unaudited)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Shareholders’ equity (continued)</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six months ended June 30, 2016, we purchased 287,791 shares of our common stock for approximately $2,273,000 at an average price per share of $7.90, under a stock repurchase program (the “Stock Repurchase Program”) approved by our Board of Directors on February 25, 2016. Under the Stock Repurchase Program, we are authorized to repurchase up to $5,000,000 of our outstanding shares of common stock from time to time in the open market through December 31, 2017 at prevailing market prices based on market conditions, share price and other factors. We use the cost method to account for treasury stock purchases, under which the price paid for the stock is charged to the treasury stock account. Repurchases of our common stock are accounted for as of the settlement date.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recorded an income tax provision for the second quarter of 2016 of $355,000 at an effective tax rate of 32.0%, compared to an income tax provision during the second quarter of 2015 of $781,000 at an effective tax rate of 36.0%. For the six months ended June 30, 2016, we recorded an income tax provision of $666,000 at an effective tax rate of 32.6%, compared to an income tax provision during the six months ended June 30, 2015 of $862,000 at an effective tax rate of 36.0%. Our effective tax rate for the second quarter of 2016 was lower than the second quarter of 2015 because it includes the benefit from the 2016 federal research and development credit (“R&amp;D credit”). In 2015, the R&amp;D credit was not renewed until December 2015, and as such, the benefit was not recorded until the fourth quarter of 2015.</w:t>
      </w:r>
    </w:p>
    <w:p>
      <w:pPr>
        <w:spacing w:after="0" w:line="22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subject to U.S. federal income tax as well as income tax in certain state and foreign jurisdictions. We have substantially concluded all U.S. federal income tax, state and local, and foreign tax regulatory examination matters through 2011. During 2013, an examination of our 2010 federal tax return was completed. However, our federal tax returns for the years 2012 through 2014 remain open to examination. Various state and foreign tax jurisdiction tax years remain open to examination as well, though we believe that any additional assessment would be immaterial to the Condensed Consolidated Financial Statements. No state or foreign tax jurisdiction income tax returns are currently under examination. As of June 30, 2016, we had $114,000 of total gross unrecognized tax benefits that, if recognized, would favorably affect the effective income tax rate in any future periods.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25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On June 8, 2012, Avery Dennison Corporation (“AD”) filed a civil complaint against us and a former employee of ours and of AD, in the Court of Common Pleas (the “Court”) in Lake County, Ohio. The complaint alleged that we and this former employee misappropriated unspecified trade secrets and confidential information from AD related to the design of our food safety terminals. The complaint requested a preliminary and permanent injunction against us from manufacturing and selling our Ithaca® 9700 and 9800 food safety terminals. On July 16, 2012, we filed our answer, affirmative defenses and counterclaims, seeking all available damages including legal fees. A hearing on the plaintiff's motion for preliminary injunction took place in August 2012, and in November 2012, the Court denied this request. AD filed an appeal of the Court’s ruling to the Eleventh Appellate District, which heard oral arguments on the appeal on July 16, 2013. On July 23, 2013, AD requested that the Eleventh Appellate District enjoin our further sale and marketing of the food safety terminals, pending the Court of Appeals’ decision. On July 29, 2013, we opposed this request. On October 15, 2013, the Eleventh District Court of Appeals affirmed the lower court’s decision in our favor and denied AD’s further request of an injunction pending the Court of Appeals’ decision. On October 24, 2013, AD filed a motion seeking that the Court of Appeals reconsider its decision. On April 16, 2014, the Court of Appeals denied AD’s motion to reconsider its decision. On July 28, 2014, AD filed a motion requesting leave from the Court to file an amended complaint and indicating that it has elected to pursue only its claim for damages, dropping its claim for injunctive relief. On September 4, 2014, the Court granted AD’s motion to file an amended complaint. On September 25, 2014, we filed our answer, affirmative defenses and counterclaims with respect to the amended complaint, seeking all available damages including legal fees. On January 30, 2015, we filed a motion for summary judgment seeking judgment in our favor on all counts as to the Company. On the same day, AD filed two motions for partial summary judgment. On February 17, 2015, we opposed both of AD’s motions, and AD opposed our motion. On February 23, 2015, the Company filed a reply brief in support of its motion for summary judgment. A trial was scheduled to begin on April 21, 2015 however, on March 25, 2015 the parties executed a confidential settlement agreement and release (the “Settlement Agreement”) in which the parties mutually agreed to resolve the dispute that was the subject of the lawsuit filed by AD against the Company to the parties’ mutual satisfaction. Under the terms of the Settlement Agreement, we agreed to pay AD $3,600,000 payable on or before April 8, 2015 and also to qualify certain AD labels for use on our food safety terminals at an estimated cost of $25,000. We made the $3,600,000 payment to AD on April 8, 2015 and borrowed $2,500,000 under our revolving credit facility with TD Bank to fund the payment. We recorded the total expense of $3,625,000 in the fourth quarter 2014 as an operating expense included in the line item “Legal fees and settlement expense associated with lawsuit” on the Consolidated Statement of Operations and as a current liability included in the line item “Accrued lawsuit settlement expenses” on the Consolidated Balance Sheet. In the second quarter of 2015, we reversed $25,000 of this expense because AD did not provide the label testing information by the due date required per the settlement agreement.</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9" w:name="page10"/>
    <w:bookmarkEnd w:id="9"/>
    <w:p>
      <w:pPr>
        <w:jc w:val="center"/>
        <w:spacing w:after="0" w:line="275" w:lineRule="auto"/>
        <w:rPr>
          <w:sz w:val="20"/>
          <w:szCs w:val="20"/>
          <w:color w:val="auto"/>
        </w:rPr>
      </w:pPr>
      <w:r>
        <w:rPr>
          <w:rFonts w:ascii="Arial" w:cs="Arial" w:eastAsia="Arial" w:hAnsi="Arial"/>
          <w:sz w:val="18"/>
          <w:szCs w:val="18"/>
          <w:b w:val="1"/>
          <w:bCs w:val="1"/>
          <w:color w:val="auto"/>
        </w:rPr>
        <w:t xml:space="preserve">TRANSACT TECHNOLOGIES INCORPORATED NOTES TO CONDENSED CONSOLIDATED FINANCIAL STATEMENTS </w:t>
      </w:r>
      <w:r>
        <w:rPr>
          <w:rFonts w:ascii="Arial" w:cs="Arial" w:eastAsia="Arial" w:hAnsi="Arial"/>
          <w:sz w:val="18"/>
          <w:szCs w:val="18"/>
          <w:color w:val="auto"/>
        </w:rPr>
        <w:t>(unaudited)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Accounting pronouncements</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May 2014, the FASB issued Accounting Standards Update (ASU) 2014-09, "Revenue from Contracts with Customers." This ASU is intended to clarify the principles for recognizing revenue by removing inconsistencies in revenue requirements; providing a more robust framework for addressing revenue issues; improving comparability of revenue recognition practices across entities, industries, jurisdictions and capital markets; and providing more useful information to users of financial statements through improved revenue disclosure requirements. In April 2015, the FASB voted to defer the effective date of the new revenue recognition standard by one year. As a result, the provisions of this ASU are now effective for interim and annual periods beginning after December 15, 2017. We are currently evaluating the impact this ASU may have on our consolidated financial position, results of operations or cash flows.</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July 2015, FASB issued ASU 2015-11, “Simplifying the Measurement of Inventory.” This ASU changes the measurement principle for inventory from the lower of cost or market to lower of cost or net realizable value. Net realizable value is defined as the estimated selling prices in the ordinary course of business less reasonably predictable costs of completion, disposal and transportation. The provisions of this ASU are effective for years beginning after December 15, 2016. This ASU is not expected to have a significant impact on our financial statements or disclosures.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2015, the FASB issued ASU 2015-17, “Balance Sheet Classification of Deferred Taxes.” This ASU eliminates the requirement to present deferred tax assets and liabilities as current and noncurrent on the balance sheet. Instead, all deferred tax assets and liabilities are now classified as noncurrent. ASU 2015-17 is effective for fiscal years beginning after December 15, 2016 with early adoption permitted. We will prospectively adopt ASU 2015-17 as required in the first reporting period for the year ending December 31, 2017.</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2016, the FASB issued ASU 2016-02, “Leases”. The core principle of this ASU requires that a lessee should recognize the assets and liabilities on the balance sheet and disclose key information about leasing arrangements. The amendments in ASU 2016-02 are effective for fiscal years beginning after December 15, 2018, including interim periods. We are currently evaluating the impact this ASU may have on our consolidated financial position, results of operation or cash flows.</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2016, the FASB issued ASU 2016-09, “Compensation-Stock Compensation: Improvements to Employee Share-Based Payment Accounting”. This ASU is intended to simplify several aspects of the accounting for share-based payment transactions, including the income tax consequences, classification of awards as either equity or liabilities, classification on the statement of cash flows and accounting for forfeitures. The provisions of this ASU are effective for years beginning after December 15, 2016. We are currently evaluating the impact this ASU may have on our consolidated financial position, results of operation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Certain statements included in this report, including without limitation statements in this Management’s Discussion and Analysis of Financial Condition and Results of Operations, which are not historical facts are “forward-looking statements” within the meaning of Section 27A of the Securities Act of 1933, as amended, and Section 21E of the Securities Exchange Act of 1934, as amended. Forward-looking statements generally can be identified by the use of forward-looking terminology, such as “may”, “will”, “expect”, “intend”, ”estimate”, “anticipate”, “believe”, “project” or “continue” or the negative thereof or other similar words. All forward-looking statements involve risks and uncertainties, including, but not limited to those listed in Item 1A of our most recently filed Annual Report on Form 10-K. Actual results may differ materially from those discussed in, or implied by, the forward-looking statements. The forward-looking statements speak only as of the date of this report and we assume no duty to update them. As used in this Quarterly Report on Form 10-Q, unless the context otherwise requires, references to “we”, “us”, “our”, the “Company” and “TransAct” refer to the consolidated operations of TransAct Technologies Incorporated, and its consolidated subsidiaries.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TransAct Technologies Incorporated (“TransAct”) is a global leader in developing and selling software-driven technology and printing solutions for high growth markets including food safety, POS automation, casino and gaming, lottery, mobile and oil and gas. Our world-class products are designed from the ground up based on market and customer requirements and are sold under the AccuDate™, Epic, EPICENTRALTM, Ithaca®, Printrex® and Responder® brand names. Known and respected worldwide for innovative designs and real-world service reliability, our thermal, inkjet and impact printers and terminals generate top-quality labels and transaction records such as receipts, tickets, coupons, register journals and other documents as well as printed logging and plotting of data. We sell our products to original equipment manufacturers (“OEMs”), value-added resellers ("VARs"), select distributors, as well as directly to end-users. Our product distribution spans across the Americas, Europe, the Middle East, Africa, Asia, Australia, the Caribbean Islands and the South Pacific. TransAct also provides world-class service, spare parts, accessories and printing supplies to its growing worldwide installed base of products. Through our TransAct Services Group (“TSG”) we provide a complete range of supplies and consumables used in the printing and scanning activities of customers in the hospitality, banking, retail, casino and gaming, government and oil and gas exploration markets. Through our webstore, </w:t>
      </w:r>
      <w:r>
        <w:rPr>
          <w:rFonts w:ascii="Arial" w:cs="Arial" w:eastAsia="Arial" w:hAnsi="Arial"/>
          <w:sz w:val="17"/>
          <w:szCs w:val="17"/>
          <w:u w:val="single" w:color="auto"/>
          <w:color w:val="auto"/>
        </w:rPr>
        <w:t>www.transactsupplies.com</w:t>
      </w:r>
      <w:r>
        <w:rPr>
          <w:rFonts w:ascii="Arial" w:cs="Arial" w:eastAsia="Arial" w:hAnsi="Arial"/>
          <w:sz w:val="17"/>
          <w:szCs w:val="17"/>
          <w:color w:val="auto"/>
        </w:rPr>
        <w:t>, and our direct selling team, we address the on-line demand for these products. We operate in one reportable segment: the design, development, assembly and marketing of software-driven technology and printing solutions including related software maintenance, hardware repair services, consumables and spare parts.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Judgments and Estimates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Condensed Consolidated Financial Statements, which have been prepared by us in accordance with accounting principles generally accepted in the United States of America. The presentation of these financial statements requires us to make estimates and judgments that affect the reported amounts of assets, liabilities, revenue and expenses, and disclosure of contingent assets and liabilities. Our estimates include those related to revenue recognition, inventory obsolescence, the valuation of deferred tax assets and liabilities, depreciable lives of equipment, warranty obligations, and contingent liabilities. We base our estimates on historical experience and on various other assumptions that we believe to be reasonable under the circumstances.</w:t>
      </w:r>
    </w:p>
    <w:p>
      <w:pPr>
        <w:spacing w:after="0" w:line="2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a complete description of our accounting policies, see Item 7 - Management’s Discussion and Analysis of Financial Condition and Results of Operations, “Critical Accounting Policies and Estimates,” included in our Annual Report on Form 10-K for the year ended December 31, 2015. We have reviewed those policies and determined that they remain our critical accounting policies for the six months ended June 30, 2016.</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Three months ended June 30, 2016 compared to three months ended June 30, 2015</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Net sales, which include printer, terminal and software sales as well as sales of replacement parts, consumables and maintenance and repair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by market for the three months ended June 30, 2016 and 2015 were as follows (in thousands, except percentages):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89"/>
              </w:rPr>
              <w:t>Three months ended</w:t>
            </w:r>
          </w:p>
        </w:tc>
        <w:tc>
          <w:tcPr>
            <w:tcW w:w="300" w:type="dxa"/>
            <w:vAlign w:val="bottom"/>
          </w:tcPr>
          <w:p>
            <w:pPr>
              <w:spacing w:after="0"/>
              <w:rPr>
                <w:sz w:val="18"/>
                <w:szCs w:val="18"/>
                <w:color w:val="auto"/>
              </w:rPr>
            </w:pPr>
          </w:p>
        </w:tc>
        <w:tc>
          <w:tcPr>
            <w:tcW w:w="236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89"/>
              </w:rPr>
              <w:t>Three months ended</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center"/>
              <w:ind w:left="290"/>
              <w:spacing w:after="0"/>
              <w:rPr>
                <w:sz w:val="20"/>
                <w:szCs w:val="20"/>
                <w:color w:val="auto"/>
              </w:rPr>
            </w:pPr>
            <w:r>
              <w:rPr>
                <w:rFonts w:ascii="Arial" w:cs="Arial" w:eastAsia="Arial" w:hAnsi="Arial"/>
                <w:sz w:val="18"/>
                <w:szCs w:val="18"/>
                <w:b w:val="1"/>
                <w:bCs w:val="1"/>
                <w:color w:val="auto"/>
                <w:w w:val="88"/>
              </w:rPr>
              <w:t>June 30, 2016</w:t>
            </w:r>
          </w:p>
        </w:tc>
        <w:tc>
          <w:tcPr>
            <w:tcW w:w="6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center"/>
              <w:ind w:left="270"/>
              <w:spacing w:after="0"/>
              <w:rPr>
                <w:sz w:val="20"/>
                <w:szCs w:val="20"/>
                <w:color w:val="auto"/>
              </w:rPr>
            </w:pPr>
            <w:r>
              <w:rPr>
                <w:rFonts w:ascii="Arial" w:cs="Arial" w:eastAsia="Arial" w:hAnsi="Arial"/>
                <w:sz w:val="18"/>
                <w:szCs w:val="18"/>
                <w:b w:val="1"/>
                <w:bCs w:val="1"/>
                <w:color w:val="auto"/>
                <w:w w:val="88"/>
              </w:rPr>
              <w:t>June 30, 2015</w:t>
            </w:r>
          </w:p>
        </w:tc>
        <w:tc>
          <w:tcPr>
            <w:tcW w:w="6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Food safety</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1,715</w:t>
            </w:r>
          </w:p>
        </w:tc>
        <w:tc>
          <w:tcPr>
            <w:tcW w:w="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1,011</w:t>
            </w:r>
          </w:p>
        </w:tc>
        <w:tc>
          <w:tcPr>
            <w:tcW w:w="5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704</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POS automation and banking</w:t>
            </w: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3,203</w:t>
            </w:r>
          </w:p>
        </w:tc>
        <w:tc>
          <w:tcPr>
            <w:tcW w:w="5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21.6%</w:t>
            </w:r>
          </w:p>
        </w:tc>
        <w:tc>
          <w:tcPr>
            <w:tcW w:w="3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2,416</w:t>
            </w:r>
          </w:p>
        </w:tc>
        <w:tc>
          <w:tcPr>
            <w:tcW w:w="5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787</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Casino and gaming</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5,154</w:t>
            </w:r>
          </w:p>
        </w:tc>
        <w:tc>
          <w:tcPr>
            <w:tcW w:w="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34.9%</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7,257</w:t>
            </w:r>
          </w:p>
        </w:tc>
        <w:tc>
          <w:tcPr>
            <w:tcW w:w="5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Lottery</w:t>
            </w: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2,150</w:t>
            </w:r>
          </w:p>
        </w:tc>
        <w:tc>
          <w:tcPr>
            <w:tcW w:w="5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14.5%</w:t>
            </w:r>
          </w:p>
        </w:tc>
        <w:tc>
          <w:tcPr>
            <w:tcW w:w="3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2,939</w:t>
            </w:r>
          </w:p>
        </w:tc>
        <w:tc>
          <w:tcPr>
            <w:tcW w:w="5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(789)</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Printrex</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w:t>
            </w:r>
          </w:p>
        </w:tc>
        <w:tc>
          <w:tcPr>
            <w:tcW w:w="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w:t>
            </w:r>
          </w:p>
        </w:tc>
        <w:tc>
          <w:tcPr>
            <w:tcW w:w="5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TSG</w:t>
            </w: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2,403</w:t>
            </w:r>
          </w:p>
        </w:tc>
        <w:tc>
          <w:tcPr>
            <w:tcW w:w="5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16.2%</w:t>
            </w:r>
          </w:p>
        </w:tc>
        <w:tc>
          <w:tcPr>
            <w:tcW w:w="3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3,381</w:t>
            </w:r>
          </w:p>
        </w:tc>
        <w:tc>
          <w:tcPr>
            <w:tcW w:w="5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(978)</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34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14,801</w:t>
            </w:r>
          </w:p>
        </w:tc>
        <w:tc>
          <w:tcPr>
            <w:tcW w:w="5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17,224</w:t>
            </w:r>
          </w:p>
        </w:tc>
        <w:tc>
          <w:tcPr>
            <w:tcW w:w="52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w:t>
            </w:r>
          </w:p>
        </w:tc>
        <w:tc>
          <w:tcPr>
            <w:tcW w:w="2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International *</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3,497</w:t>
            </w:r>
          </w:p>
        </w:tc>
        <w:tc>
          <w:tcPr>
            <w:tcW w:w="5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23.6%</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4,523</w:t>
            </w:r>
          </w:p>
        </w:tc>
        <w:tc>
          <w:tcPr>
            <w:tcW w:w="5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26.3%</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160" w:right="340" w:firstLine="90"/>
        <w:spacing w:after="0" w:line="277" w:lineRule="auto"/>
        <w:rPr>
          <w:sz w:val="20"/>
          <w:szCs w:val="20"/>
          <w:color w:val="auto"/>
        </w:rPr>
      </w:pPr>
      <w:r>
        <w:rPr>
          <w:rFonts w:ascii="Arial" w:cs="Arial" w:eastAsia="Arial" w:hAnsi="Arial"/>
          <w:sz w:val="18"/>
          <w:szCs w:val="18"/>
          <w:color w:val="auto"/>
        </w:rPr>
        <w:t>International sales do not include sales of printers made to domestic distributors or other domestic customers *who may in turn ship those printers to international destinations.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274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1" w:name="page12"/>
    <w:bookmarkEnd w:id="11"/>
    <w:p>
      <w:pPr>
        <w:jc w:val="both"/>
        <w:spacing w:after="0" w:line="273" w:lineRule="auto"/>
        <w:rPr>
          <w:sz w:val="20"/>
          <w:szCs w:val="20"/>
          <w:color w:val="auto"/>
        </w:rPr>
      </w:pPr>
      <w:r>
        <w:rPr>
          <w:rFonts w:ascii="Arial" w:cs="Arial" w:eastAsia="Arial" w:hAnsi="Arial"/>
          <w:sz w:val="17"/>
          <w:szCs w:val="17"/>
          <w:color w:val="auto"/>
        </w:rPr>
        <w:t>Net sales for the second quarter of 2016 decreased $2,423,000, or 14%, from the same period in 2015. Printer sales volume decreased 11% to approximately 46,000 units driven primarily by a 24% decrease in unit volume from the casino and gaming market and a 32% decrease in the lottery market. These decreases were partially offset by an increase in unit volume of 68% from the food safety market and 34% from the POS automation and banking market. The average selling price of our printers increased approximately 5% in the second quarter of 2016 compared to the second quarter of 2015 primarily due to the larger volume of food safety terminals sold during the second quarter of 2016, which carry a higher price than our other products. International sales decreased $1,026,000, or 23%, due primarily to decreases in the international casino and gaming market.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Food safety:</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Revenue from the food safety market includes sales of food safety terminals which are a combination of hardware and software in a device that includes an operaing system, touchscreen and one or two thermal print mechanisms, that print easy-to-read food rotation labels and "enjoy by" date labels to help restaurants effectively manage food spoilage. A summary of sales of our worldwide food safety products for the three months ended June 30, 2016 and 2015 is as follows (in thousands, except percentages):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89"/>
              </w:rPr>
              <w:t>Three months ended</w:t>
            </w:r>
          </w:p>
        </w:tc>
        <w:tc>
          <w:tcPr>
            <w:tcW w:w="300" w:type="dxa"/>
            <w:vAlign w:val="bottom"/>
          </w:tcPr>
          <w:p>
            <w:pPr>
              <w:spacing w:after="0"/>
              <w:rPr>
                <w:sz w:val="18"/>
                <w:szCs w:val="18"/>
                <w:color w:val="auto"/>
              </w:rPr>
            </w:pPr>
          </w:p>
        </w:tc>
        <w:tc>
          <w:tcPr>
            <w:tcW w:w="236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89"/>
              </w:rPr>
              <w:t>Three months ended</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center"/>
              <w:ind w:left="290"/>
              <w:spacing w:after="0"/>
              <w:rPr>
                <w:sz w:val="20"/>
                <w:szCs w:val="20"/>
                <w:color w:val="auto"/>
              </w:rPr>
            </w:pPr>
            <w:r>
              <w:rPr>
                <w:rFonts w:ascii="Arial" w:cs="Arial" w:eastAsia="Arial" w:hAnsi="Arial"/>
                <w:sz w:val="18"/>
                <w:szCs w:val="18"/>
                <w:b w:val="1"/>
                <w:bCs w:val="1"/>
                <w:color w:val="auto"/>
                <w:w w:val="88"/>
              </w:rPr>
              <w:t>June 30, 2016</w:t>
            </w:r>
          </w:p>
        </w:tc>
        <w:tc>
          <w:tcPr>
            <w:tcW w:w="6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center"/>
              <w:ind w:left="270"/>
              <w:spacing w:after="0"/>
              <w:rPr>
                <w:sz w:val="20"/>
                <w:szCs w:val="20"/>
                <w:color w:val="auto"/>
              </w:rPr>
            </w:pPr>
            <w:r>
              <w:rPr>
                <w:rFonts w:ascii="Arial" w:cs="Arial" w:eastAsia="Arial" w:hAnsi="Arial"/>
                <w:sz w:val="18"/>
                <w:szCs w:val="18"/>
                <w:b w:val="1"/>
                <w:bCs w:val="1"/>
                <w:color w:val="auto"/>
                <w:w w:val="88"/>
              </w:rPr>
              <w:t>June 30, 2015</w:t>
            </w:r>
          </w:p>
        </w:tc>
        <w:tc>
          <w:tcPr>
            <w:tcW w:w="6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1,562</w:t>
            </w:r>
          </w:p>
        </w:tc>
        <w:tc>
          <w:tcPr>
            <w:tcW w:w="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931</w:t>
            </w:r>
          </w:p>
        </w:tc>
        <w:tc>
          <w:tcPr>
            <w:tcW w:w="5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92.1%</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631</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International</w:t>
            </w: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153</w:t>
            </w:r>
          </w:p>
        </w:tc>
        <w:tc>
          <w:tcPr>
            <w:tcW w:w="5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8.9%</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1,715</w:t>
            </w:r>
          </w:p>
        </w:tc>
        <w:tc>
          <w:tcPr>
            <w:tcW w:w="5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1,011</w:t>
            </w:r>
          </w:p>
        </w:tc>
        <w:tc>
          <w:tcPr>
            <w:tcW w:w="5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704</w:t>
            </w: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increase in domestic food safety product revenue from the second quarter of 2015 was primarily driven by an increase in sales of our food safety terminals to McDonald’s Corporation (“McDonald’s”) as well as increased sales penetration to a growing number of existing and new end user customers through our U.S. distributor.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International food safety sales also increased due to increased sales to through a both a Latin American and European distributor.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 automation and banking:</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Revenue from the POS automation and banking market includes sales of thermal and impact printers used primarily by restaurants (including fine dining, casual dining, quick-serve and hospitality establishments) located either at the checkout counter or within self-service kiosks to print receipts for consumers or print on linerless labels. In addition, revenue includes sales of inkjet printers used by banks, credit unions and other financial institutions to print deposit or withdrawal receipts and/or validate checks at bank teller stations. A summary of sales of our worldwide POS automation and banking products for the three months ended June 30, 2016 and 2015 is as follows (in thousands, except percentages):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89"/>
              </w:rPr>
              <w:t>Three months ended</w:t>
            </w:r>
          </w:p>
        </w:tc>
        <w:tc>
          <w:tcPr>
            <w:tcW w:w="300" w:type="dxa"/>
            <w:vAlign w:val="bottom"/>
          </w:tcPr>
          <w:p>
            <w:pPr>
              <w:spacing w:after="0"/>
              <w:rPr>
                <w:sz w:val="18"/>
                <w:szCs w:val="18"/>
                <w:color w:val="auto"/>
              </w:rPr>
            </w:pPr>
          </w:p>
        </w:tc>
        <w:tc>
          <w:tcPr>
            <w:tcW w:w="236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89"/>
              </w:rPr>
              <w:t>Three months ended</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center"/>
              <w:ind w:left="290"/>
              <w:spacing w:after="0"/>
              <w:rPr>
                <w:sz w:val="20"/>
                <w:szCs w:val="20"/>
                <w:color w:val="auto"/>
              </w:rPr>
            </w:pPr>
            <w:r>
              <w:rPr>
                <w:rFonts w:ascii="Arial" w:cs="Arial" w:eastAsia="Arial" w:hAnsi="Arial"/>
                <w:sz w:val="18"/>
                <w:szCs w:val="18"/>
                <w:b w:val="1"/>
                <w:bCs w:val="1"/>
                <w:color w:val="auto"/>
                <w:w w:val="88"/>
              </w:rPr>
              <w:t>June 30, 2016</w:t>
            </w:r>
          </w:p>
        </w:tc>
        <w:tc>
          <w:tcPr>
            <w:tcW w:w="6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center"/>
              <w:ind w:left="270"/>
              <w:spacing w:after="0"/>
              <w:rPr>
                <w:sz w:val="20"/>
                <w:szCs w:val="20"/>
                <w:color w:val="auto"/>
              </w:rPr>
            </w:pPr>
            <w:r>
              <w:rPr>
                <w:rFonts w:ascii="Arial" w:cs="Arial" w:eastAsia="Arial" w:hAnsi="Arial"/>
                <w:sz w:val="18"/>
                <w:szCs w:val="18"/>
                <w:b w:val="1"/>
                <w:bCs w:val="1"/>
                <w:color w:val="auto"/>
                <w:w w:val="88"/>
              </w:rPr>
              <w:t>June 30, 2015</w:t>
            </w:r>
          </w:p>
        </w:tc>
        <w:tc>
          <w:tcPr>
            <w:tcW w:w="6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2,893</w:t>
            </w:r>
          </w:p>
        </w:tc>
        <w:tc>
          <w:tcPr>
            <w:tcW w:w="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90.3%</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2,224</w:t>
            </w:r>
          </w:p>
        </w:tc>
        <w:tc>
          <w:tcPr>
            <w:tcW w:w="5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92.1%</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669</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International</w:t>
            </w: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310</w:t>
            </w:r>
          </w:p>
        </w:tc>
        <w:tc>
          <w:tcPr>
            <w:tcW w:w="5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9.7%</w:t>
            </w:r>
          </w:p>
        </w:tc>
        <w:tc>
          <w:tcPr>
            <w:tcW w:w="3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192</w:t>
            </w:r>
          </w:p>
        </w:tc>
        <w:tc>
          <w:tcPr>
            <w:tcW w:w="5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118</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3,203</w:t>
            </w:r>
          </w:p>
        </w:tc>
        <w:tc>
          <w:tcPr>
            <w:tcW w:w="5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2,416</w:t>
            </w:r>
          </w:p>
        </w:tc>
        <w:tc>
          <w:tcPr>
            <w:tcW w:w="5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787</w:t>
            </w: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increase in domestic POS automation and banking product revenue from the second quarter of 2015 was primarily driven by a 31% increase in sales of our Ithaca® 9000 printer in the second quarter of 2016 compared to the second quarter of 2015 due to new initiatives by McDonald’s Corporation that started in 2015 and accelerated in 2016. We expect sales of POS automation printers to be higher for the full year 2016 compared to the full year 2015 due to the continuation of McDonald’s initiatives for our Ithaca® 9000 printer. Sales of our legacy banking and other POS printers for the second quarter of 2016 were relatively consistent with the second quarter of 2015.</w:t>
      </w:r>
    </w:p>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International POS automation and banking sales increased due primarily to a 113% increase in the sale of our Ithaca® 9000 printer in the second quarter of 2016 compared to the second quarter of 2015 due to the new initiatives in McDonald’s being made internationally.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Casino and gaming:</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Revenue from the casino and gaming market includes sales of printers used in slot machines, video lottery terminals (“VLTs”), and other gaming machines that print tickets or receipts instead of issuing coins (“ticket-in, ticket-out” or “TITO”) at casinos and racetracks (“racinos”) and other gaming venues worldwide. Revenue from this market also includes sales of printers used in the international off-premise gaming market in gaming machines such as Amusement with Prizes, Skills with Prizes and Fixed Odds Betting Terminals at non-casino gaming establishments. Revenue from this market also includes royalties related to our patented casino and gaming technology. In addition, casino and gaming market revenue includes sales of our software solution (including annual software maintenance for), the EPICENTRAL</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print system, which enables casino operators to create promotional coupons and marketing messages and to print them in real-time at the slot machine. A summary of sales of our worldwide casino and gaming products for the three months ended June 30, 2016 and 2015 is as follows (in thousands, except percentages):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2" w:name="page13"/>
    <w:bookmarkEnd w:id="12"/>
    <w:p>
      <w:pPr>
        <w:jc w:val="both"/>
        <w:ind w:right="80"/>
        <w:spacing w:after="0" w:line="259" w:lineRule="auto"/>
        <w:rPr>
          <w:sz w:val="20"/>
          <w:szCs w:val="20"/>
          <w:color w:val="auto"/>
        </w:rPr>
      </w:pPr>
      <w:r>
        <w:rPr>
          <w:rFonts w:ascii="Arial" w:cs="Arial" w:eastAsia="Arial" w:hAnsi="Arial"/>
          <w:sz w:val="18"/>
          <w:szCs w:val="18"/>
          <w:color w:val="auto"/>
        </w:rPr>
        <w:t>The decrease in domestic sales of our casino and gaming products was due largely to lower EPICENTRAL™ software sales as we completed no installations in the second quarter of 2016 compared to one installation completed in the second quarter of 2015. We also experienced a 13% decline in domestic sales of our thermal casino printers in the second quarter of 2016 compared to the second quarter of 2015 due to continued weakness in the replacement cycle for slot machines.</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International casino and gaming printer sales declined in the second quarter of 2016 compared to the second quarter of 2015 due primarily to a 25% decrease in sales of our thermal casino printers and a 46% decrease in sales of our off-premises gaming printers, primarily to our European distributor. Sales of our off-premise gaming printers are largely project-oriented and therefore may fluctuate significantly from quarter to quarter and year to year.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Lottery</w:t>
      </w:r>
      <w:r>
        <w:rPr>
          <w:rFonts w:ascii="Arial" w:cs="Arial" w:eastAsia="Arial" w:hAnsi="Arial"/>
          <w:sz w:val="18"/>
          <w:szCs w:val="18"/>
          <w:b w:val="1"/>
          <w:bCs w:val="1"/>
          <w:color w:val="auto"/>
        </w:rPr>
        <w:t>:</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from the lottery market includes sales of thermal on-line and other lottery printers to International Game Technology (“IGT”) and its subsidiaries for various lottery applications. A summary of sales of our worldwide lottery printers for the three months ended June 30, 2016 and 2015 is as follows (in thousands, except percentages):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89"/>
              </w:rPr>
              <w:t>Three months ended</w:t>
            </w:r>
          </w:p>
        </w:tc>
        <w:tc>
          <w:tcPr>
            <w:tcW w:w="300" w:type="dxa"/>
            <w:vAlign w:val="bottom"/>
          </w:tcPr>
          <w:p>
            <w:pPr>
              <w:spacing w:after="0"/>
              <w:rPr>
                <w:sz w:val="18"/>
                <w:szCs w:val="18"/>
                <w:color w:val="auto"/>
              </w:rPr>
            </w:pPr>
          </w:p>
        </w:tc>
        <w:tc>
          <w:tcPr>
            <w:tcW w:w="236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89"/>
              </w:rPr>
              <w:t>Three months ended</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center"/>
              <w:ind w:left="290"/>
              <w:spacing w:after="0"/>
              <w:rPr>
                <w:sz w:val="20"/>
                <w:szCs w:val="20"/>
                <w:color w:val="auto"/>
              </w:rPr>
            </w:pPr>
            <w:r>
              <w:rPr>
                <w:rFonts w:ascii="Arial" w:cs="Arial" w:eastAsia="Arial" w:hAnsi="Arial"/>
                <w:sz w:val="18"/>
                <w:szCs w:val="18"/>
                <w:b w:val="1"/>
                <w:bCs w:val="1"/>
                <w:color w:val="auto"/>
                <w:w w:val="88"/>
              </w:rPr>
              <w:t>June 30, 2016</w:t>
            </w:r>
          </w:p>
        </w:tc>
        <w:tc>
          <w:tcPr>
            <w:tcW w:w="6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center"/>
              <w:ind w:left="270"/>
              <w:spacing w:after="0"/>
              <w:rPr>
                <w:sz w:val="20"/>
                <w:szCs w:val="20"/>
                <w:color w:val="auto"/>
              </w:rPr>
            </w:pPr>
            <w:r>
              <w:rPr>
                <w:rFonts w:ascii="Arial" w:cs="Arial" w:eastAsia="Arial" w:hAnsi="Arial"/>
                <w:sz w:val="18"/>
                <w:szCs w:val="18"/>
                <w:b w:val="1"/>
                <w:bCs w:val="1"/>
                <w:color w:val="auto"/>
                <w:w w:val="88"/>
              </w:rPr>
              <w:t>June 30, 2015</w:t>
            </w:r>
          </w:p>
        </w:tc>
        <w:tc>
          <w:tcPr>
            <w:tcW w:w="6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1,989</w:t>
            </w:r>
          </w:p>
        </w:tc>
        <w:tc>
          <w:tcPr>
            <w:tcW w:w="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2,894</w:t>
            </w:r>
          </w:p>
        </w:tc>
        <w:tc>
          <w:tcPr>
            <w:tcW w:w="5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98.5%</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(905)</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International</w:t>
            </w: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161</w:t>
            </w:r>
          </w:p>
        </w:tc>
        <w:tc>
          <w:tcPr>
            <w:tcW w:w="5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7.5%</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116</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2,150</w:t>
            </w:r>
          </w:p>
        </w:tc>
        <w:tc>
          <w:tcPr>
            <w:tcW w:w="5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2,939</w:t>
            </w:r>
          </w:p>
        </w:tc>
        <w:tc>
          <w:tcPr>
            <w:tcW w:w="5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(789)</w:t>
            </w: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sales to IGT are directly dependent on the timing and number of new and upgraded lottery terminal installations IGT performs, and as a result, may fluctuate significantly quarter-to-quarter and year-to-year and are not indicative of IGT’s overall business or revenue. Based on our backlog of orders and the customer’s forecast, we expect total lottery printer sales to IGT for 2016 to be consistent with those reported in 2015.</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Printrex:</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Printrex branded printers are sold into markets that include wide format, desktop and rack mounted and vehicle mounted black/white and color thermal printers used by customers to log and plot oil field, seismic and down hole well drilling data in the oil and gas exploration industry. It also includes high-speed color inkjet desktop printers used to print logs at the data centers of the oil and gas field service companies. Revenue in this market also includes sales of wide format printers used to print test results in ophthalmology devices in the medical industry, as well as vehicle mounted printers used to print schematics and certain other critical information in emergency services vehicles and other mobile printing applications. A summary of sales of our worldwide Printrex printers for the three months ended June 30, 2016 and 2015 is as follows (in thousands, except percentages):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89"/>
              </w:rPr>
              <w:t>Three months ended</w:t>
            </w:r>
          </w:p>
        </w:tc>
        <w:tc>
          <w:tcPr>
            <w:tcW w:w="300" w:type="dxa"/>
            <w:vAlign w:val="bottom"/>
          </w:tcPr>
          <w:p>
            <w:pPr>
              <w:spacing w:after="0"/>
              <w:rPr>
                <w:sz w:val="18"/>
                <w:szCs w:val="18"/>
                <w:color w:val="auto"/>
              </w:rPr>
            </w:pPr>
          </w:p>
        </w:tc>
        <w:tc>
          <w:tcPr>
            <w:tcW w:w="236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89"/>
              </w:rPr>
              <w:t>Three months ended</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center"/>
              <w:ind w:left="290"/>
              <w:spacing w:after="0"/>
              <w:rPr>
                <w:sz w:val="20"/>
                <w:szCs w:val="20"/>
                <w:color w:val="auto"/>
              </w:rPr>
            </w:pPr>
            <w:r>
              <w:rPr>
                <w:rFonts w:ascii="Arial" w:cs="Arial" w:eastAsia="Arial" w:hAnsi="Arial"/>
                <w:sz w:val="18"/>
                <w:szCs w:val="18"/>
                <w:b w:val="1"/>
                <w:bCs w:val="1"/>
                <w:color w:val="auto"/>
                <w:w w:val="88"/>
              </w:rPr>
              <w:t>June 30, 2016</w:t>
            </w:r>
          </w:p>
        </w:tc>
        <w:tc>
          <w:tcPr>
            <w:tcW w:w="6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center"/>
              <w:ind w:left="270"/>
              <w:spacing w:after="0"/>
              <w:rPr>
                <w:sz w:val="20"/>
                <w:szCs w:val="20"/>
                <w:color w:val="auto"/>
              </w:rPr>
            </w:pPr>
            <w:r>
              <w:rPr>
                <w:rFonts w:ascii="Arial" w:cs="Arial" w:eastAsia="Arial" w:hAnsi="Arial"/>
                <w:sz w:val="18"/>
                <w:szCs w:val="18"/>
                <w:b w:val="1"/>
                <w:bCs w:val="1"/>
                <w:color w:val="auto"/>
                <w:w w:val="88"/>
              </w:rPr>
              <w:t>June 30, 2015</w:t>
            </w:r>
          </w:p>
        </w:tc>
        <w:tc>
          <w:tcPr>
            <w:tcW w:w="6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w:t>
            </w:r>
          </w:p>
        </w:tc>
        <w:tc>
          <w:tcPr>
            <w:tcW w:w="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71.6%</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w:t>
            </w:r>
          </w:p>
        </w:tc>
        <w:tc>
          <w:tcPr>
            <w:tcW w:w="5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69.1%</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International</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28.4%</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w:t>
            </w:r>
          </w:p>
        </w:tc>
        <w:tc>
          <w:tcPr>
            <w:tcW w:w="5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w:t>
            </w:r>
          </w:p>
        </w:tc>
        <w:tc>
          <w:tcPr>
            <w:tcW w:w="5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decrease in sales of Printrex printers in the second quarter of 2016 compared to the second quarter of 2015 resulted from 10% lower domestic and international sales in the oil and gas market due to the continued negative impact from the decline in worldwide oil prices which we expect will continue to negatively impact our sales during the remainder of 2016. In addition, worldwide sales of medical and mobile printer sales declined 47% due largely to the loss of a customer in the medical industry in 2015 and as we shift our focus towards the food safety terminal business. Due to the low margin on this product, we do not believe the loss of this customer will have a material adverse impact on our 2016 operating results.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TSG:</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Revenue from TSG includes sales of consumable products (inkjet cartridges, ribbons, receipt paper, color thermal paper and other printing supplies), replacement parts, maintenance and repair services, testing services, refurbished printers, and shipping and handling charges. A summary of sales in our worldwide TSG market for the three months ended June 30, 2016 and 2015 is as follows (in thousands, except percentages):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4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88"/>
              </w:rPr>
              <w:t>Three months ended</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6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88"/>
              </w:rPr>
              <w:t>Three months ended</w:t>
            </w:r>
          </w:p>
        </w:tc>
        <w:tc>
          <w:tcPr>
            <w:tcW w:w="320" w:type="dxa"/>
            <w:vAlign w:val="bottom"/>
          </w:tcPr>
          <w:p>
            <w:pPr>
              <w:spacing w:after="0"/>
              <w:rPr>
                <w:sz w:val="18"/>
                <w:szCs w:val="18"/>
                <w:color w:val="auto"/>
              </w:rPr>
            </w:pPr>
          </w:p>
        </w:tc>
        <w:tc>
          <w:tcPr>
            <w:tcW w:w="1500" w:type="dxa"/>
            <w:vAlign w:val="bottom"/>
            <w:gridSpan w:val="3"/>
          </w:tcPr>
          <w:p>
            <w:pPr>
              <w:ind w:left="700"/>
              <w:spacing w:after="0"/>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center"/>
              <w:ind w:left="290"/>
              <w:spacing w:after="0"/>
              <w:rPr>
                <w:sz w:val="20"/>
                <w:szCs w:val="20"/>
                <w:color w:val="auto"/>
              </w:rPr>
            </w:pPr>
            <w:r>
              <w:rPr>
                <w:rFonts w:ascii="Arial" w:cs="Arial" w:eastAsia="Arial" w:hAnsi="Arial"/>
                <w:sz w:val="18"/>
                <w:szCs w:val="18"/>
                <w:b w:val="1"/>
                <w:bCs w:val="1"/>
                <w:color w:val="auto"/>
                <w:w w:val="88"/>
              </w:rPr>
              <w:t>June 30, 2016</w:t>
            </w:r>
          </w:p>
        </w:tc>
        <w:tc>
          <w:tcPr>
            <w:tcW w:w="6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center"/>
              <w:ind w:left="270"/>
              <w:spacing w:after="0"/>
              <w:rPr>
                <w:sz w:val="20"/>
                <w:szCs w:val="20"/>
                <w:color w:val="auto"/>
              </w:rPr>
            </w:pPr>
            <w:r>
              <w:rPr>
                <w:rFonts w:ascii="Arial" w:cs="Arial" w:eastAsia="Arial" w:hAnsi="Arial"/>
                <w:sz w:val="18"/>
                <w:szCs w:val="18"/>
                <w:b w:val="1"/>
                <w:bCs w:val="1"/>
                <w:color w:val="auto"/>
                <w:w w:val="88"/>
              </w:rPr>
              <w:t>June 30, 2015</w:t>
            </w:r>
          </w:p>
        </w:tc>
        <w:tc>
          <w:tcPr>
            <w:tcW w:w="6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2,204</w:t>
            </w:r>
          </w:p>
        </w:tc>
        <w:tc>
          <w:tcPr>
            <w:tcW w:w="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91.7%</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3,110</w:t>
            </w: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92.0%</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(906)</w:t>
            </w: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International</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199</w:t>
            </w:r>
          </w:p>
        </w:tc>
        <w:tc>
          <w:tcPr>
            <w:tcW w:w="5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271</w:t>
            </w:r>
          </w:p>
        </w:tc>
        <w:tc>
          <w:tcPr>
            <w:tcW w:w="5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8.0%</w:t>
            </w:r>
          </w:p>
        </w:tc>
        <w:tc>
          <w:tcPr>
            <w:tcW w:w="3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(72)</w:t>
            </w: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2,403</w:t>
            </w:r>
          </w:p>
        </w:tc>
        <w:tc>
          <w:tcPr>
            <w:tcW w:w="5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3,381</w:t>
            </w:r>
          </w:p>
        </w:tc>
        <w:tc>
          <w:tcPr>
            <w:tcW w:w="2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(978)</w:t>
            </w:r>
          </w:p>
        </w:tc>
        <w:tc>
          <w:tcPr>
            <w:tcW w:w="4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decrease in domestic revenue from TSG was due to a (1) 39% decrease in sales of replacement parts due mainly to IGT who purchased an unusually high volume of spare parts for the lottery market in 2015 that is not likely to repeat in 2016, (2) 19% decrease in non-Printrex consumables, largely from the decline of HP inkjet cartridges, as we continue to deemphasize the commoditized consumable products, (3) 66% decrease of consumables sales for our Printrex color printer due to lower printing usage resulting from reduced drilling activity caused by the decline in worldwide oil prices, and (4) 12% decline in service revenue primarily due to project-oriented testing services that occurred in the second quarter of 2015 that did not recur in the second quarter of 2016.</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Internationally, TSG revenue decreased primarily due to lower sales of replacement parts and accessories in the second quarter of 2016 compared to the second quarter of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6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124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320" w:type="dxa"/>
            <w:vAlign w:val="bottom"/>
            <w:gridSpan w:val="2"/>
          </w:tcPr>
          <w:p>
            <w:pPr>
              <w:ind w:left="680"/>
              <w:spacing w:after="0"/>
              <w:rPr>
                <w:sz w:val="20"/>
                <w:szCs w:val="20"/>
                <w:color w:val="auto"/>
              </w:rPr>
            </w:pPr>
            <w:r>
              <w:rPr>
                <w:rFonts w:ascii="Arial" w:cs="Arial" w:eastAsia="Arial" w:hAnsi="Arial"/>
                <w:sz w:val="18"/>
                <w:szCs w:val="18"/>
                <w:b w:val="1"/>
                <w:bCs w:val="1"/>
                <w:color w:val="auto"/>
              </w:rPr>
              <w:t>Percent</w:t>
            </w:r>
          </w:p>
        </w:tc>
        <w:tc>
          <w:tcPr>
            <w:tcW w:w="23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Percent of</w:t>
            </w:r>
          </w:p>
        </w:tc>
        <w:tc>
          <w:tcPr>
            <w:tcW w:w="21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Percent of</w:t>
            </w:r>
          </w:p>
        </w:tc>
      </w:tr>
      <w:tr>
        <w:trPr>
          <w:trHeight w:val="223"/>
        </w:trPr>
        <w:tc>
          <w:tcPr>
            <w:tcW w:w="20" w:type="dxa"/>
            <w:vAlign w:val="bottom"/>
          </w:tcPr>
          <w:p>
            <w:pPr>
              <w:spacing w:after="0"/>
              <w:rPr>
                <w:sz w:val="19"/>
                <w:szCs w:val="19"/>
                <w:color w:val="auto"/>
              </w:rPr>
            </w:pP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2016</w:t>
            </w:r>
          </w:p>
        </w:tc>
        <w:tc>
          <w:tcPr>
            <w:tcW w:w="6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2015</w:t>
            </w:r>
          </w:p>
        </w:tc>
        <w:tc>
          <w:tcPr>
            <w:tcW w:w="380" w:type="dxa"/>
            <w:vAlign w:val="bottom"/>
          </w:tcPr>
          <w:p>
            <w:pPr>
              <w:spacing w:after="0"/>
              <w:rPr>
                <w:sz w:val="19"/>
                <w:szCs w:val="19"/>
                <w:color w:val="auto"/>
              </w:rPr>
            </w:pPr>
          </w:p>
        </w:tc>
        <w:tc>
          <w:tcPr>
            <w:tcW w:w="194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auto"/>
              </w:rPr>
              <w:t>Change</w:t>
            </w:r>
          </w:p>
        </w:tc>
        <w:tc>
          <w:tcPr>
            <w:tcW w:w="380" w:type="dxa"/>
            <w:vAlign w:val="bottom"/>
          </w:tcPr>
          <w:p>
            <w:pPr>
              <w:spacing w:after="0"/>
              <w:rPr>
                <w:sz w:val="19"/>
                <w:szCs w:val="19"/>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2016</w:t>
            </w:r>
          </w:p>
        </w:tc>
        <w:tc>
          <w:tcPr>
            <w:tcW w:w="380" w:type="dxa"/>
            <w:vAlign w:val="bottom"/>
          </w:tcPr>
          <w:p>
            <w:pPr>
              <w:spacing w:after="0"/>
              <w:rPr>
                <w:sz w:val="19"/>
                <w:szCs w:val="19"/>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Total Sales - 2015</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jc w:val="right"/>
              <w:ind w:right="1057"/>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5,983</w:t>
            </w:r>
          </w:p>
        </w:tc>
        <w:tc>
          <w:tcPr>
            <w:tcW w:w="9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7,161</w:t>
            </w:r>
          </w:p>
        </w:tc>
        <w:tc>
          <w:tcPr>
            <w:tcW w:w="2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(16.5%)</w:t>
            </w:r>
          </w:p>
        </w:tc>
        <w:tc>
          <w:tcPr>
            <w:tcW w:w="2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40.4%</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Gross profit is measured as revenue less cost of sales, which includes primarily the cost of all raw materials and component parts, direct labor, manufacturing overhead expenses, cost of finished products purchased directly from our contract manufacturers and expenses associated with installations of our EPICENTRAL</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print system. Gross profit decreased $1,178,000, or 17%, and our gross margin declined by 120 basis points as we experienced a less favorable sales mix in the second quarter of 2016 compared to the second quarter of 2015. During the second quarter of 2015, we completed an installation of one EPICENTRAL™ software sale, which carries a higher margin than our other products, compared to no installations completed in the second quarter of 2016. In addition, we experienced higher sales of our Ithaca® 9000 printer to McDonald’s, which carries a lower margin than our other products, in the second quarter of 2016 compared to the second quarter of 2015. We expect our gross margin for the full year 2016 to be higher than in 2015, as we expect to benefit from increased sales of our newer, value-added products.</w:t>
      </w: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Engineering, Design and Product Development. </w:t>
      </w:r>
      <w:r>
        <w:rPr>
          <w:rFonts w:ascii="Arial" w:cs="Arial" w:eastAsia="Arial" w:hAnsi="Arial"/>
          <w:sz w:val="18"/>
          <w:szCs w:val="18"/>
          <w:color w:val="auto"/>
        </w:rPr>
        <w:t>Engineering, design and product development information is summarized below (in thousands, except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percentages):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6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124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320" w:type="dxa"/>
            <w:vAlign w:val="bottom"/>
            <w:gridSpan w:val="2"/>
          </w:tcPr>
          <w:p>
            <w:pPr>
              <w:ind w:left="680"/>
              <w:spacing w:after="0"/>
              <w:rPr>
                <w:sz w:val="20"/>
                <w:szCs w:val="20"/>
                <w:color w:val="auto"/>
              </w:rPr>
            </w:pPr>
            <w:r>
              <w:rPr>
                <w:rFonts w:ascii="Arial" w:cs="Arial" w:eastAsia="Arial" w:hAnsi="Arial"/>
                <w:sz w:val="18"/>
                <w:szCs w:val="18"/>
                <w:b w:val="1"/>
                <w:bCs w:val="1"/>
                <w:color w:val="auto"/>
              </w:rPr>
              <w:t>Percent</w:t>
            </w:r>
          </w:p>
        </w:tc>
        <w:tc>
          <w:tcPr>
            <w:tcW w:w="23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Percent of</w:t>
            </w:r>
          </w:p>
        </w:tc>
        <w:tc>
          <w:tcPr>
            <w:tcW w:w="21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Percent of</w:t>
            </w:r>
          </w:p>
        </w:tc>
      </w:tr>
      <w:tr>
        <w:trPr>
          <w:trHeight w:val="223"/>
        </w:trPr>
        <w:tc>
          <w:tcPr>
            <w:tcW w:w="20" w:type="dxa"/>
            <w:vAlign w:val="bottom"/>
          </w:tcPr>
          <w:p>
            <w:pPr>
              <w:spacing w:after="0"/>
              <w:rPr>
                <w:sz w:val="19"/>
                <w:szCs w:val="19"/>
                <w:color w:val="auto"/>
              </w:rPr>
            </w:pP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2016</w:t>
            </w:r>
          </w:p>
        </w:tc>
        <w:tc>
          <w:tcPr>
            <w:tcW w:w="6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2015</w:t>
            </w:r>
          </w:p>
        </w:tc>
        <w:tc>
          <w:tcPr>
            <w:tcW w:w="380" w:type="dxa"/>
            <w:vAlign w:val="bottom"/>
          </w:tcPr>
          <w:p>
            <w:pPr>
              <w:spacing w:after="0"/>
              <w:rPr>
                <w:sz w:val="19"/>
                <w:szCs w:val="19"/>
                <w:color w:val="auto"/>
              </w:rPr>
            </w:pPr>
          </w:p>
        </w:tc>
        <w:tc>
          <w:tcPr>
            <w:tcW w:w="194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auto"/>
              </w:rPr>
              <w:t>Change</w:t>
            </w:r>
          </w:p>
        </w:tc>
        <w:tc>
          <w:tcPr>
            <w:tcW w:w="380" w:type="dxa"/>
            <w:vAlign w:val="bottom"/>
          </w:tcPr>
          <w:p>
            <w:pPr>
              <w:spacing w:after="0"/>
              <w:rPr>
                <w:sz w:val="19"/>
                <w:szCs w:val="19"/>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2016</w:t>
            </w:r>
          </w:p>
        </w:tc>
        <w:tc>
          <w:tcPr>
            <w:tcW w:w="380" w:type="dxa"/>
            <w:vAlign w:val="bottom"/>
          </w:tcPr>
          <w:p>
            <w:pPr>
              <w:spacing w:after="0"/>
              <w:rPr>
                <w:sz w:val="19"/>
                <w:szCs w:val="19"/>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Total Sales - 2015</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jc w:val="right"/>
              <w:ind w:right="1057"/>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1,089</w:t>
            </w:r>
          </w:p>
        </w:tc>
        <w:tc>
          <w:tcPr>
            <w:tcW w:w="9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860</w:t>
            </w:r>
          </w:p>
        </w:tc>
        <w:tc>
          <w:tcPr>
            <w:tcW w:w="2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26.6%</w:t>
            </w:r>
          </w:p>
        </w:tc>
        <w:tc>
          <w:tcPr>
            <w:tcW w:w="2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7.4%</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Engineering, design and product development expenses primarily include salary and payroll related expenses for our engineering staff, depreciation and design expenses (including prototype printer expenses, outside design and testing services, and supplies). Such expenses increased $229,000, or 27%, due primarily to higher product development costs and the hiring of additional software engineers as we continue to focus and strategically invest in enhancements to our EPICENTRAL™ software and expansion of our line of food safety terminals. We expect engineering, design and product development expenses in 2016 to be higher than in 2015 due to the additional staff and higher product development expenses noted above.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Selling and Marketing. </w:t>
      </w:r>
      <w:r>
        <w:rPr>
          <w:rFonts w:ascii="Arial" w:cs="Arial" w:eastAsia="Arial" w:hAnsi="Arial"/>
          <w:sz w:val="18"/>
          <w:szCs w:val="18"/>
          <w:color w:val="auto"/>
        </w:rPr>
        <w:t>Selling and marketing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6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124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320" w:type="dxa"/>
            <w:vAlign w:val="bottom"/>
            <w:gridSpan w:val="2"/>
          </w:tcPr>
          <w:p>
            <w:pPr>
              <w:ind w:left="680"/>
              <w:spacing w:after="0"/>
              <w:rPr>
                <w:sz w:val="20"/>
                <w:szCs w:val="20"/>
                <w:color w:val="auto"/>
              </w:rPr>
            </w:pPr>
            <w:r>
              <w:rPr>
                <w:rFonts w:ascii="Arial" w:cs="Arial" w:eastAsia="Arial" w:hAnsi="Arial"/>
                <w:sz w:val="18"/>
                <w:szCs w:val="18"/>
                <w:b w:val="1"/>
                <w:bCs w:val="1"/>
                <w:color w:val="auto"/>
              </w:rPr>
              <w:t>Percent</w:t>
            </w:r>
          </w:p>
        </w:tc>
        <w:tc>
          <w:tcPr>
            <w:tcW w:w="23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Percent of</w:t>
            </w:r>
          </w:p>
        </w:tc>
        <w:tc>
          <w:tcPr>
            <w:tcW w:w="21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Percent of</w:t>
            </w:r>
          </w:p>
        </w:tc>
      </w:tr>
      <w:tr>
        <w:trPr>
          <w:trHeight w:val="223"/>
        </w:trPr>
        <w:tc>
          <w:tcPr>
            <w:tcW w:w="20" w:type="dxa"/>
            <w:vAlign w:val="bottom"/>
          </w:tcPr>
          <w:p>
            <w:pPr>
              <w:spacing w:after="0"/>
              <w:rPr>
                <w:sz w:val="19"/>
                <w:szCs w:val="19"/>
                <w:color w:val="auto"/>
              </w:rPr>
            </w:pP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2016</w:t>
            </w:r>
          </w:p>
        </w:tc>
        <w:tc>
          <w:tcPr>
            <w:tcW w:w="6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2015</w:t>
            </w:r>
          </w:p>
        </w:tc>
        <w:tc>
          <w:tcPr>
            <w:tcW w:w="380" w:type="dxa"/>
            <w:vAlign w:val="bottom"/>
          </w:tcPr>
          <w:p>
            <w:pPr>
              <w:spacing w:after="0"/>
              <w:rPr>
                <w:sz w:val="19"/>
                <w:szCs w:val="19"/>
                <w:color w:val="auto"/>
              </w:rPr>
            </w:pPr>
          </w:p>
        </w:tc>
        <w:tc>
          <w:tcPr>
            <w:tcW w:w="194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auto"/>
              </w:rPr>
              <w:t>Change</w:t>
            </w:r>
          </w:p>
        </w:tc>
        <w:tc>
          <w:tcPr>
            <w:tcW w:w="380" w:type="dxa"/>
            <w:vAlign w:val="bottom"/>
          </w:tcPr>
          <w:p>
            <w:pPr>
              <w:spacing w:after="0"/>
              <w:rPr>
                <w:sz w:val="19"/>
                <w:szCs w:val="19"/>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2016</w:t>
            </w:r>
          </w:p>
        </w:tc>
        <w:tc>
          <w:tcPr>
            <w:tcW w:w="380" w:type="dxa"/>
            <w:vAlign w:val="bottom"/>
          </w:tcPr>
          <w:p>
            <w:pPr>
              <w:spacing w:after="0"/>
              <w:rPr>
                <w:sz w:val="19"/>
                <w:szCs w:val="19"/>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Total Sales - 2015</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jc w:val="right"/>
              <w:ind w:right="1057"/>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1,859</w:t>
            </w:r>
          </w:p>
        </w:tc>
        <w:tc>
          <w:tcPr>
            <w:tcW w:w="9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2,100</w:t>
            </w:r>
          </w:p>
        </w:tc>
        <w:tc>
          <w:tcPr>
            <w:tcW w:w="2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(11.5%)</w:t>
            </w:r>
          </w:p>
        </w:tc>
        <w:tc>
          <w:tcPr>
            <w:tcW w:w="2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12.6%</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Selling and marketing expenses primarily include salaries and payroll related expenses for our sales and marketing staff, sales commissions, travel expenses, expenses associated with the lease of sales offices, advertising, trade show expenses, e-commerce and other promotional marketing expenses. Such expenses decreased by $241,000, or 12%, in the second quarter of 2016 compared to the second quarter of 2015 primarily due to reductions in certain sales staff as well as lower sales commissions on 14% lower sales in the second quarter of 2016 compared to the second quarter of 2015.</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General and Administrative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 and administrative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88"/>
              </w:rPr>
              <w:t>June 30,</w:t>
            </w:r>
          </w:p>
        </w:tc>
        <w:tc>
          <w:tcPr>
            <w:tcW w:w="126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360" w:type="dxa"/>
            <w:vAlign w:val="bottom"/>
            <w:gridSpan w:val="2"/>
          </w:tcPr>
          <w:p>
            <w:pPr>
              <w:ind w:left="700"/>
              <w:spacing w:after="0"/>
              <w:rPr>
                <w:sz w:val="20"/>
                <w:szCs w:val="20"/>
                <w:color w:val="auto"/>
              </w:rPr>
            </w:pPr>
            <w:r>
              <w:rPr>
                <w:rFonts w:ascii="Arial" w:cs="Arial" w:eastAsia="Arial" w:hAnsi="Arial"/>
                <w:sz w:val="18"/>
                <w:szCs w:val="18"/>
                <w:b w:val="1"/>
                <w:bCs w:val="1"/>
                <w:color w:val="auto"/>
              </w:rPr>
              <w:t>Percent</w:t>
            </w:r>
          </w:p>
        </w:tc>
        <w:tc>
          <w:tcPr>
            <w:tcW w:w="2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Percent of</w:t>
            </w:r>
          </w:p>
        </w:tc>
        <w:tc>
          <w:tcPr>
            <w:tcW w:w="2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Percent of</w:t>
            </w:r>
          </w:p>
        </w:tc>
      </w:tr>
      <w:tr>
        <w:trPr>
          <w:trHeight w:val="223"/>
        </w:trPr>
        <w:tc>
          <w:tcPr>
            <w:tcW w:w="20" w:type="dxa"/>
            <w:vAlign w:val="bottom"/>
          </w:tcPr>
          <w:p>
            <w:pPr>
              <w:spacing w:after="0"/>
              <w:rPr>
                <w:sz w:val="19"/>
                <w:szCs w:val="19"/>
                <w:color w:val="auto"/>
              </w:rPr>
            </w:pPr>
          </w:p>
        </w:tc>
        <w:tc>
          <w:tcPr>
            <w:tcW w:w="12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2016</w:t>
            </w:r>
          </w:p>
        </w:tc>
        <w:tc>
          <w:tcPr>
            <w:tcW w:w="70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2015</w:t>
            </w:r>
          </w:p>
        </w:tc>
        <w:tc>
          <w:tcPr>
            <w:tcW w:w="380" w:type="dxa"/>
            <w:vAlign w:val="bottom"/>
          </w:tcPr>
          <w:p>
            <w:pPr>
              <w:spacing w:after="0"/>
              <w:rPr>
                <w:sz w:val="19"/>
                <w:szCs w:val="19"/>
                <w:color w:val="auto"/>
              </w:rPr>
            </w:pPr>
          </w:p>
        </w:tc>
        <w:tc>
          <w:tcPr>
            <w:tcW w:w="198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rPr>
              <w:t>Change</w:t>
            </w:r>
          </w:p>
        </w:tc>
        <w:tc>
          <w:tcPr>
            <w:tcW w:w="380" w:type="dxa"/>
            <w:vAlign w:val="bottom"/>
          </w:tcPr>
          <w:p>
            <w:pPr>
              <w:spacing w:after="0"/>
              <w:rPr>
                <w:sz w:val="19"/>
                <w:szCs w:val="19"/>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- 2016</w:t>
            </w:r>
          </w:p>
        </w:tc>
        <w:tc>
          <w:tcPr>
            <w:tcW w:w="380" w:type="dxa"/>
            <w:vAlign w:val="bottom"/>
          </w:tcPr>
          <w:p>
            <w:pPr>
              <w:spacing w:after="0"/>
              <w:rPr>
                <w:sz w:val="19"/>
                <w:szCs w:val="19"/>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- 2015</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jc w:val="right"/>
              <w:ind w:right="109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w:t>
            </w: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2,002</w:t>
            </w:r>
          </w:p>
        </w:tc>
        <w:tc>
          <w:tcPr>
            <w:tcW w:w="2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w:t>
            </w:r>
          </w:p>
        </w:tc>
        <w:tc>
          <w:tcPr>
            <w:tcW w:w="2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13.1%</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General and administrative expenses primarily include salaries and payroll related expenses for our executive, accounting, human resource and information technology staff, expenses for our corporate headquarters, professional and legal expenses, telecommunication expenses, and other expenses related to being a publicly-traded company. General and administrative expenses decreased by $67,000, or 3%, due primarily to lower incentive compensation expense in the second quarter of 2016 compared to the second quarter of 2015. This decrease was partially offset by higher severance cost recorded in the second quarter of 2016 related to headcount reductions in our sales and marketing group.</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 Fees and Settlement Expense Associated with Lawsuit</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Legal fee information is summarized below (in thousands, except percentages):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88"/>
              </w:rPr>
              <w:t>June 30,</w:t>
            </w:r>
          </w:p>
        </w:tc>
        <w:tc>
          <w:tcPr>
            <w:tcW w:w="126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980" w:type="dxa"/>
            <w:vAlign w:val="bottom"/>
          </w:tcPr>
          <w:p>
            <w:pPr>
              <w:ind w:left="700"/>
              <w:spacing w:after="0"/>
              <w:rPr>
                <w:sz w:val="20"/>
                <w:szCs w:val="20"/>
                <w:color w:val="auto"/>
              </w:rPr>
            </w:pPr>
            <w:r>
              <w:rPr>
                <w:rFonts w:ascii="Arial" w:cs="Arial" w:eastAsia="Arial" w:hAnsi="Arial"/>
                <w:sz w:val="18"/>
                <w:szCs w:val="18"/>
                <w:b w:val="1"/>
                <w:bCs w:val="1"/>
                <w:color w:val="auto"/>
              </w:rPr>
              <w:t>Percent</w:t>
            </w:r>
          </w:p>
        </w:tc>
        <w:tc>
          <w:tcPr>
            <w:tcW w:w="380" w:type="dxa"/>
            <w:vAlign w:val="bottom"/>
          </w:tcPr>
          <w:p>
            <w:pPr>
              <w:spacing w:after="0"/>
              <w:rPr>
                <w:sz w:val="20"/>
                <w:szCs w:val="20"/>
                <w:color w:val="auto"/>
              </w:rPr>
            </w:pPr>
          </w:p>
        </w:tc>
        <w:tc>
          <w:tcPr>
            <w:tcW w:w="2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Percent of</w:t>
            </w:r>
          </w:p>
        </w:tc>
        <w:tc>
          <w:tcPr>
            <w:tcW w:w="2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Percent of</w:t>
            </w:r>
          </w:p>
        </w:tc>
      </w:tr>
      <w:tr>
        <w:trPr>
          <w:trHeight w:val="223"/>
        </w:trPr>
        <w:tc>
          <w:tcPr>
            <w:tcW w:w="20" w:type="dxa"/>
            <w:vAlign w:val="bottom"/>
          </w:tcPr>
          <w:p>
            <w:pPr>
              <w:spacing w:after="0"/>
              <w:rPr>
                <w:sz w:val="19"/>
                <w:szCs w:val="19"/>
                <w:color w:val="auto"/>
              </w:rPr>
            </w:pPr>
          </w:p>
        </w:tc>
        <w:tc>
          <w:tcPr>
            <w:tcW w:w="12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2016</w:t>
            </w:r>
          </w:p>
        </w:tc>
        <w:tc>
          <w:tcPr>
            <w:tcW w:w="70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2015</w:t>
            </w:r>
          </w:p>
        </w:tc>
        <w:tc>
          <w:tcPr>
            <w:tcW w:w="380" w:type="dxa"/>
            <w:vAlign w:val="bottom"/>
          </w:tcPr>
          <w:p>
            <w:pPr>
              <w:spacing w:after="0"/>
              <w:rPr>
                <w:sz w:val="19"/>
                <w:szCs w:val="19"/>
                <w:color w:val="auto"/>
              </w:rPr>
            </w:pPr>
          </w:p>
        </w:tc>
        <w:tc>
          <w:tcPr>
            <w:tcW w:w="198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rPr>
              <w:t>Change</w:t>
            </w:r>
          </w:p>
        </w:tc>
        <w:tc>
          <w:tcPr>
            <w:tcW w:w="380" w:type="dxa"/>
            <w:vAlign w:val="bottom"/>
          </w:tcPr>
          <w:p>
            <w:pPr>
              <w:spacing w:after="0"/>
              <w:rPr>
                <w:sz w:val="19"/>
                <w:szCs w:val="19"/>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2016</w:t>
            </w:r>
          </w:p>
        </w:tc>
        <w:tc>
          <w:tcPr>
            <w:tcW w:w="380" w:type="dxa"/>
            <w:vAlign w:val="bottom"/>
          </w:tcPr>
          <w:p>
            <w:pPr>
              <w:spacing w:after="0"/>
              <w:rPr>
                <w:sz w:val="19"/>
                <w:szCs w:val="19"/>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- 2015</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jc w:val="right"/>
              <w:ind w:right="109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7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disclosed in Note 7 to the Condensed Consolidated Financial Statements, in June 2012, AD filed a civil complaint against the Company, which we settled in March 2015. As part of the settlement, we were required to qualify certain AD labels for use on our food safety terminals which we estimated would cost $25,000 to perform. In the second quarter of 2015 we reversed the estimated cost of $25,000 as AD did not provide the label testing information by the due date required per the settlement agreement so we were longer required to perform these services free of charge. This reversal more than offset the remaining legal expenses we incurred in the second quarter of 2015 related to the AD lawsuit. Due to the settlement of the AD lawsuit in March 2015, we do not expect to incur any further expenses related to this lawsuit in the future.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Operating Income. </w:t>
      </w:r>
      <w:r>
        <w:rPr>
          <w:rFonts w:ascii="Arial" w:cs="Arial" w:eastAsia="Arial" w:hAnsi="Arial"/>
          <w:sz w:val="18"/>
          <w:szCs w:val="18"/>
          <w:color w:val="auto"/>
        </w:rPr>
        <w:t>Operating income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88"/>
              </w:rPr>
              <w:t>June 30,</w:t>
            </w:r>
          </w:p>
        </w:tc>
        <w:tc>
          <w:tcPr>
            <w:tcW w:w="126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360" w:type="dxa"/>
            <w:vAlign w:val="bottom"/>
            <w:gridSpan w:val="2"/>
          </w:tcPr>
          <w:p>
            <w:pPr>
              <w:ind w:left="700"/>
              <w:spacing w:after="0"/>
              <w:rPr>
                <w:sz w:val="20"/>
                <w:szCs w:val="20"/>
                <w:color w:val="auto"/>
              </w:rPr>
            </w:pPr>
            <w:r>
              <w:rPr>
                <w:rFonts w:ascii="Arial" w:cs="Arial" w:eastAsia="Arial" w:hAnsi="Arial"/>
                <w:sz w:val="18"/>
                <w:szCs w:val="18"/>
                <w:b w:val="1"/>
                <w:bCs w:val="1"/>
                <w:color w:val="auto"/>
              </w:rPr>
              <w:t>Percent</w:t>
            </w:r>
          </w:p>
        </w:tc>
        <w:tc>
          <w:tcPr>
            <w:tcW w:w="2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Percent of</w:t>
            </w:r>
          </w:p>
        </w:tc>
        <w:tc>
          <w:tcPr>
            <w:tcW w:w="2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Percent of</w:t>
            </w:r>
          </w:p>
        </w:tc>
      </w:tr>
      <w:tr>
        <w:trPr>
          <w:trHeight w:val="223"/>
        </w:trPr>
        <w:tc>
          <w:tcPr>
            <w:tcW w:w="20" w:type="dxa"/>
            <w:vAlign w:val="bottom"/>
          </w:tcPr>
          <w:p>
            <w:pPr>
              <w:spacing w:after="0"/>
              <w:rPr>
                <w:sz w:val="19"/>
                <w:szCs w:val="19"/>
                <w:color w:val="auto"/>
              </w:rPr>
            </w:pPr>
          </w:p>
        </w:tc>
        <w:tc>
          <w:tcPr>
            <w:tcW w:w="12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2016</w:t>
            </w:r>
          </w:p>
        </w:tc>
        <w:tc>
          <w:tcPr>
            <w:tcW w:w="70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2015</w:t>
            </w:r>
          </w:p>
        </w:tc>
        <w:tc>
          <w:tcPr>
            <w:tcW w:w="380" w:type="dxa"/>
            <w:vAlign w:val="bottom"/>
          </w:tcPr>
          <w:p>
            <w:pPr>
              <w:spacing w:after="0"/>
              <w:rPr>
                <w:sz w:val="19"/>
                <w:szCs w:val="19"/>
                <w:color w:val="auto"/>
              </w:rPr>
            </w:pPr>
          </w:p>
        </w:tc>
        <w:tc>
          <w:tcPr>
            <w:tcW w:w="198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rPr>
              <w:t>Change</w:t>
            </w:r>
          </w:p>
        </w:tc>
        <w:tc>
          <w:tcPr>
            <w:tcW w:w="380" w:type="dxa"/>
            <w:vAlign w:val="bottom"/>
          </w:tcPr>
          <w:p>
            <w:pPr>
              <w:spacing w:after="0"/>
              <w:rPr>
                <w:sz w:val="19"/>
                <w:szCs w:val="19"/>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- 2016</w:t>
            </w:r>
          </w:p>
        </w:tc>
        <w:tc>
          <w:tcPr>
            <w:tcW w:w="380" w:type="dxa"/>
            <w:vAlign w:val="bottom"/>
          </w:tcPr>
          <w:p>
            <w:pPr>
              <w:spacing w:after="0"/>
              <w:rPr>
                <w:sz w:val="19"/>
                <w:szCs w:val="19"/>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Total Sales – 2015</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jc w:val="right"/>
              <w:ind w:right="109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2,205</w:t>
            </w:r>
          </w:p>
        </w:tc>
        <w:tc>
          <w:tcPr>
            <w:tcW w:w="2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(50.1%)</w:t>
            </w:r>
          </w:p>
        </w:tc>
        <w:tc>
          <w:tcPr>
            <w:tcW w:w="2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7.4%</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operating income decreased by $1,105,000, or 50%, and our operating margin decreased to 7.4% of net sales primarily due to lower gross profit on 14% lower sales in the second quarter of 2016 as compared to the second quarter of 2015, and to a lesser extent, lower gross margin on a less favorable sales mix.</w:t>
      </w:r>
    </w:p>
    <w:p>
      <w:pPr>
        <w:spacing w:after="0" w:line="15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Interest. </w:t>
      </w:r>
      <w:r>
        <w:rPr>
          <w:rFonts w:ascii="Arial" w:cs="Arial" w:eastAsia="Arial" w:hAnsi="Arial"/>
          <w:sz w:val="18"/>
          <w:szCs w:val="18"/>
          <w:color w:val="auto"/>
        </w:rPr>
        <w:t>We recorded net interest expense of $7,000 in the second quarter of 2016 compared to $10,000 in the second quarter of 2015. Interest expense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higher in 2015 due to the interest expense incurred from borrowing $2,500,000 to pay the AD lawsuit settlement in the second quarter of 2015. We did not borrow any funds during the second quarter of 2016.</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Other, net. </w:t>
      </w:r>
      <w:r>
        <w:rPr>
          <w:rFonts w:ascii="Arial" w:cs="Arial" w:eastAsia="Arial" w:hAnsi="Arial"/>
          <w:sz w:val="18"/>
          <w:szCs w:val="18"/>
          <w:color w:val="auto"/>
        </w:rPr>
        <w:t>We recorded other income of $15,000 in the second quarter of 2016 compared to other expense of $26,000 in the second quarter of 2015.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change was primarily due to foreign currency transaction exchange gains recorded in 2016 compared to foreign currency transaction exchange losses recorded by our U.K. subsidiary in the second quarter of 2015.</w:t>
      </w:r>
    </w:p>
    <w:p>
      <w:pPr>
        <w:spacing w:after="0" w:line="20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We recorded an income tax provision for the second quarter of 2016 of $355,000 at an effective tax rate of 32.0%, compared to an income tax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provision during the second quarter of 2015 of $781,000 at an effective tax rate of 36.0%. Our effective tax rate for the second quarter of 2016 was lower than the second quarter of 2015 because it includes the benefit from the 2016 federal research and development credit (“R&amp;D credit”). In 2015, the R&amp;D credit was not renewed until December 2015, and as such, the benefit was not recorded until the fourth quarter of 2015.</w:t>
      </w:r>
    </w:p>
    <w:p>
      <w:pPr>
        <w:spacing w:after="0" w:line="19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reported net income during the second quarter of 2016 of $753,000, or $0.10 per diluted share, compared to $1,388,000, or $0.18 per diluted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 for the second quarter of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Results of Operations: Six months ended June 30, 2016 compared to six months ended June 30, 2015</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Net sales, which include printer, terminal and software sales as well as sales of replacement parts, consumables and maintenance and repair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by market for the six months ended June 30, 2016 and 2015 were as follows (in thousands, except percentages):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3"/>
          </w:tcPr>
          <w:p>
            <w:pPr>
              <w:jc w:val="center"/>
              <w:ind w:left="150"/>
              <w:spacing w:after="0"/>
              <w:rPr>
                <w:sz w:val="20"/>
                <w:szCs w:val="20"/>
                <w:color w:val="auto"/>
              </w:rPr>
            </w:pPr>
            <w:r>
              <w:rPr>
                <w:rFonts w:ascii="Arial" w:cs="Arial" w:eastAsia="Arial" w:hAnsi="Arial"/>
                <w:sz w:val="18"/>
                <w:szCs w:val="18"/>
                <w:b w:val="1"/>
                <w:bCs w:val="1"/>
                <w:color w:val="auto"/>
                <w:w w:val="87"/>
              </w:rPr>
              <w:t>Six months ended</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gridSpan w:val="4"/>
          </w:tcPr>
          <w:p>
            <w:pPr>
              <w:jc w:val="center"/>
              <w:ind w:left="150"/>
              <w:spacing w:after="0"/>
              <w:rPr>
                <w:sz w:val="20"/>
                <w:szCs w:val="20"/>
                <w:color w:val="auto"/>
              </w:rPr>
            </w:pPr>
            <w:r>
              <w:rPr>
                <w:rFonts w:ascii="Arial" w:cs="Arial" w:eastAsia="Arial" w:hAnsi="Arial"/>
                <w:sz w:val="18"/>
                <w:szCs w:val="18"/>
                <w:b w:val="1"/>
                <w:bCs w:val="1"/>
                <w:color w:val="auto"/>
                <w:w w:val="87"/>
              </w:rPr>
              <w:t>Six months ended</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center"/>
              <w:ind w:left="150"/>
              <w:spacing w:after="0"/>
              <w:rPr>
                <w:sz w:val="20"/>
                <w:szCs w:val="20"/>
                <w:color w:val="auto"/>
              </w:rPr>
            </w:pPr>
            <w:r>
              <w:rPr>
                <w:rFonts w:ascii="Arial" w:cs="Arial" w:eastAsia="Arial" w:hAnsi="Arial"/>
                <w:sz w:val="18"/>
                <w:szCs w:val="18"/>
                <w:b w:val="1"/>
                <w:bCs w:val="1"/>
                <w:color w:val="auto"/>
                <w:w w:val="88"/>
              </w:rPr>
              <w:t>June 30, 2016</w:t>
            </w:r>
          </w:p>
        </w:tc>
        <w:tc>
          <w:tcPr>
            <w:tcW w:w="5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center"/>
              <w:ind w:left="150"/>
              <w:spacing w:after="0"/>
              <w:rPr>
                <w:sz w:val="20"/>
                <w:szCs w:val="20"/>
                <w:color w:val="auto"/>
              </w:rPr>
            </w:pPr>
            <w:r>
              <w:rPr>
                <w:rFonts w:ascii="Arial" w:cs="Arial" w:eastAsia="Arial" w:hAnsi="Arial"/>
                <w:sz w:val="18"/>
                <w:szCs w:val="18"/>
                <w:b w:val="1"/>
                <w:bCs w:val="1"/>
                <w:color w:val="auto"/>
                <w:w w:val="88"/>
              </w:rPr>
              <w:t>June 30, 2015</w:t>
            </w:r>
          </w:p>
        </w:tc>
        <w:tc>
          <w:tcPr>
            <w:tcW w:w="5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Food safety</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2,537</w:t>
            </w:r>
          </w:p>
        </w:tc>
        <w:tc>
          <w:tcPr>
            <w:tcW w:w="5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1,854</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683</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POS automation and banking</w:t>
            </w: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5,518</w:t>
            </w:r>
          </w:p>
        </w:tc>
        <w:tc>
          <w:tcPr>
            <w:tcW w:w="5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18.9%</w:t>
            </w:r>
          </w:p>
        </w:tc>
        <w:tc>
          <w:tcPr>
            <w:tcW w:w="3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3,795</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1,723</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Casino and gaming</w:t>
            </w: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10,592</w:t>
            </w:r>
          </w:p>
        </w:tc>
        <w:tc>
          <w:tcPr>
            <w:tcW w:w="5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36.4%</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12,838</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(2,246)</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Lottery</w:t>
            </w: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5,085</w:t>
            </w:r>
          </w:p>
        </w:tc>
        <w:tc>
          <w:tcPr>
            <w:tcW w:w="5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17.4%</w:t>
            </w:r>
          </w:p>
        </w:tc>
        <w:tc>
          <w:tcPr>
            <w:tcW w:w="3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6,970</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(1,885)</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Printrex</w:t>
            </w: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331</w:t>
            </w:r>
          </w:p>
        </w:tc>
        <w:tc>
          <w:tcPr>
            <w:tcW w:w="5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927</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(596)</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TSG</w:t>
            </w: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5,095</w:t>
            </w:r>
          </w:p>
        </w:tc>
        <w:tc>
          <w:tcPr>
            <w:tcW w:w="5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17.5%</w:t>
            </w:r>
          </w:p>
        </w:tc>
        <w:tc>
          <w:tcPr>
            <w:tcW w:w="3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7,004</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(1,909)</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26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29,158</w:t>
            </w:r>
          </w:p>
        </w:tc>
        <w:tc>
          <w:tcPr>
            <w:tcW w:w="58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100.0%</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33,388</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100.0%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(4,230)</w:t>
            </w:r>
          </w:p>
        </w:tc>
        <w:tc>
          <w:tcPr>
            <w:tcW w:w="2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International *</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6,028</w:t>
            </w:r>
          </w:p>
        </w:tc>
        <w:tc>
          <w:tcPr>
            <w:tcW w:w="58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20.7%</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8,677</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(2,649)</w:t>
            </w:r>
          </w:p>
        </w:tc>
        <w:tc>
          <w:tcPr>
            <w:tcW w:w="2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gridSpan w:val="2"/>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gridSpan w:val="2"/>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gridSpan w:val="2"/>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gridSpan w:val="2"/>
          </w:tcPr>
          <w:p>
            <w:pPr>
              <w:spacing w:after="0"/>
              <w:rPr>
                <w:sz w:val="18"/>
                <w:szCs w:val="18"/>
                <w:color w:val="auto"/>
              </w:rPr>
            </w:pPr>
          </w:p>
        </w:tc>
        <w:tc>
          <w:tcPr>
            <w:tcW w:w="220" w:type="dxa"/>
            <w:vAlign w:val="bottom"/>
            <w:tcBorders>
              <w:top w:val="single" w:sz="8" w:color="CCEEFF"/>
            </w:tcBorders>
            <w:gridSpan w:val="2"/>
          </w:tcPr>
          <w:p>
            <w:pPr>
              <w:spacing w:after="0"/>
              <w:rPr>
                <w:sz w:val="18"/>
                <w:szCs w:val="18"/>
                <w:color w:val="auto"/>
              </w:rPr>
            </w:pPr>
          </w:p>
        </w:tc>
        <w:tc>
          <w:tcPr>
            <w:tcW w:w="1180" w:type="dxa"/>
            <w:vAlign w:val="bottom"/>
            <w:tcBorders>
              <w:top w:val="single" w:sz="8" w:color="auto"/>
            </w:tcBorders>
            <w:gridSpan w:val="2"/>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gridSpan w:val="2"/>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8780" w:type="dxa"/>
            <w:vAlign w:val="bottom"/>
            <w:gridSpan w:val="20"/>
            <w:shd w:val="clear" w:color="auto" w:fill="CCEEFF"/>
          </w:tcPr>
          <w:p>
            <w:pPr>
              <w:jc w:val="right"/>
              <w:ind w:right="250"/>
              <w:spacing w:after="0" w:line="201" w:lineRule="exact"/>
              <w:rPr>
                <w:sz w:val="20"/>
                <w:szCs w:val="20"/>
                <w:color w:val="auto"/>
              </w:rPr>
            </w:pPr>
            <w:r>
              <w:rPr>
                <w:rFonts w:ascii="Arial" w:cs="Arial" w:eastAsia="Arial" w:hAnsi="Arial"/>
                <w:sz w:val="18"/>
                <w:szCs w:val="18"/>
                <w:color w:val="auto"/>
                <w:w w:val="97"/>
              </w:rPr>
              <w:t>International sales do not include sales of printers made to domestic distributors or other domestic customers</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shd w:val="clear" w:color="auto" w:fill="CCEEFF"/>
          </w:tcPr>
          <w:p>
            <w:pPr>
              <w:spacing w:after="0"/>
              <w:rPr>
                <w:sz w:val="20"/>
                <w:szCs w:val="20"/>
                <w:color w:val="auto"/>
              </w:rPr>
            </w:pPr>
          </w:p>
        </w:tc>
        <w:tc>
          <w:tcPr>
            <w:tcW w:w="5420" w:type="dxa"/>
            <w:vAlign w:val="bottom"/>
            <w:gridSpan w:val="12"/>
            <w:shd w:val="clear" w:color="auto" w:fill="CCEEFF"/>
          </w:tcPr>
          <w:p>
            <w:pPr>
              <w:ind w:left="520"/>
              <w:spacing w:after="0"/>
              <w:rPr>
                <w:sz w:val="20"/>
                <w:szCs w:val="20"/>
                <w:color w:val="auto"/>
              </w:rPr>
            </w:pPr>
            <w:r>
              <w:rPr>
                <w:rFonts w:ascii="Arial" w:cs="Arial" w:eastAsia="Arial" w:hAnsi="Arial"/>
                <w:sz w:val="18"/>
                <w:szCs w:val="18"/>
                <w:color w:val="auto"/>
                <w:w w:val="94"/>
              </w:rPr>
              <w:t>*who may in turn ship those printers to international destinations.</w:t>
            </w: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sales for the first half of 2016 decreased $4,230,000, or 13%, from the same period in 2015. Printer sales volume decreased 12% to approximately 88,000 units driven primarily by a 31% and 22% decrease in unit volume from the lottery market and casino and gaming market, respectively. These decreases were partially offset by a 33% and 51% increase in the food safety market and POS automation and banking market, respectively. The average selling price of our printers increased slightly by 2% during the first half of 2016 compared to the first half of 2015. International sales decreased $2,649,000, or 31%, primarily driven by lower international sales in the casino and gaming market.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Food safety: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 summary of sales of our worldwide food safety products for the six months ended June 30, 2016 and 2015 is as follows (in thousands, except percentages):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3"/>
          </w:tcPr>
          <w:p>
            <w:pPr>
              <w:jc w:val="center"/>
              <w:ind w:left="150"/>
              <w:spacing w:after="0"/>
              <w:rPr>
                <w:sz w:val="20"/>
                <w:szCs w:val="20"/>
                <w:color w:val="auto"/>
              </w:rPr>
            </w:pPr>
            <w:r>
              <w:rPr>
                <w:rFonts w:ascii="Arial" w:cs="Arial" w:eastAsia="Arial" w:hAnsi="Arial"/>
                <w:sz w:val="18"/>
                <w:szCs w:val="18"/>
                <w:b w:val="1"/>
                <w:bCs w:val="1"/>
                <w:color w:val="auto"/>
                <w:w w:val="87"/>
              </w:rPr>
              <w:t>Six months ended</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gridSpan w:val="3"/>
          </w:tcPr>
          <w:p>
            <w:pPr>
              <w:jc w:val="center"/>
              <w:ind w:left="150"/>
              <w:spacing w:after="0"/>
              <w:rPr>
                <w:sz w:val="20"/>
                <w:szCs w:val="20"/>
                <w:color w:val="auto"/>
              </w:rPr>
            </w:pPr>
            <w:r>
              <w:rPr>
                <w:rFonts w:ascii="Arial" w:cs="Arial" w:eastAsia="Arial" w:hAnsi="Arial"/>
                <w:sz w:val="18"/>
                <w:szCs w:val="18"/>
                <w:b w:val="1"/>
                <w:bCs w:val="1"/>
                <w:color w:val="auto"/>
                <w:w w:val="87"/>
              </w:rPr>
              <w:t>Six months ended</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center"/>
              <w:ind w:left="150"/>
              <w:spacing w:after="0"/>
              <w:rPr>
                <w:sz w:val="20"/>
                <w:szCs w:val="20"/>
                <w:color w:val="auto"/>
              </w:rPr>
            </w:pPr>
            <w:r>
              <w:rPr>
                <w:rFonts w:ascii="Arial" w:cs="Arial" w:eastAsia="Arial" w:hAnsi="Arial"/>
                <w:sz w:val="18"/>
                <w:szCs w:val="18"/>
                <w:b w:val="1"/>
                <w:bCs w:val="1"/>
                <w:color w:val="auto"/>
                <w:w w:val="88"/>
              </w:rPr>
              <w:t>June 30, 2016</w:t>
            </w:r>
          </w:p>
        </w:tc>
        <w:tc>
          <w:tcPr>
            <w:tcW w:w="5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150"/>
              <w:spacing w:after="0"/>
              <w:rPr>
                <w:sz w:val="20"/>
                <w:szCs w:val="20"/>
                <w:color w:val="auto"/>
              </w:rPr>
            </w:pPr>
            <w:r>
              <w:rPr>
                <w:rFonts w:ascii="Arial" w:cs="Arial" w:eastAsia="Arial" w:hAnsi="Arial"/>
                <w:sz w:val="18"/>
                <w:szCs w:val="18"/>
                <w:b w:val="1"/>
                <w:bCs w:val="1"/>
                <w:color w:val="auto"/>
                <w:w w:val="88"/>
              </w:rPr>
              <w:t>June 30, 2015</w:t>
            </w:r>
          </w:p>
        </w:tc>
        <w:tc>
          <w:tcPr>
            <w:tcW w:w="5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2,293</w:t>
            </w:r>
          </w:p>
        </w:tc>
        <w:tc>
          <w:tcPr>
            <w:tcW w:w="5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90.4%</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1,613</w:t>
            </w:r>
          </w:p>
        </w:tc>
        <w:tc>
          <w:tcPr>
            <w:tcW w:w="6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680</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International</w:t>
            </w: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244</w:t>
            </w:r>
          </w:p>
        </w:tc>
        <w:tc>
          <w:tcPr>
            <w:tcW w:w="5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9.6%</w:t>
            </w:r>
          </w:p>
        </w:tc>
        <w:tc>
          <w:tcPr>
            <w:tcW w:w="3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241</w:t>
            </w:r>
          </w:p>
        </w:tc>
        <w:tc>
          <w:tcPr>
            <w:tcW w:w="6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2,537</w:t>
            </w:r>
          </w:p>
        </w:tc>
        <w:tc>
          <w:tcPr>
            <w:tcW w:w="5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100.0%</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1,854</w:t>
            </w:r>
          </w:p>
        </w:tc>
        <w:tc>
          <w:tcPr>
            <w:tcW w:w="6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100.0%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683</w:t>
            </w: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increase in domestic food safety terminal sales from the second quarter of 2015 was primarily driven by an increase in sales of our food safety terminals to McDonald’s as well as increased sales penetration to a growing number of existing and new end user customers through our U.S. distributor.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International food safety terminal sales were relatively consistent in the second quarter of 2016 compared to the second quarter of 2015.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 automation and banking:</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 summary of sales of our worldwide POS automation and banking products for the six months ended June 30, 2016 and 2015 is as follows (in thousands, except percentages):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3"/>
          </w:tcPr>
          <w:p>
            <w:pPr>
              <w:jc w:val="center"/>
              <w:ind w:left="150"/>
              <w:spacing w:after="0"/>
              <w:rPr>
                <w:sz w:val="20"/>
                <w:szCs w:val="20"/>
                <w:color w:val="auto"/>
              </w:rPr>
            </w:pPr>
            <w:r>
              <w:rPr>
                <w:rFonts w:ascii="Arial" w:cs="Arial" w:eastAsia="Arial" w:hAnsi="Arial"/>
                <w:sz w:val="18"/>
                <w:szCs w:val="18"/>
                <w:b w:val="1"/>
                <w:bCs w:val="1"/>
                <w:color w:val="auto"/>
                <w:w w:val="87"/>
              </w:rPr>
              <w:t>Six months ended</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gridSpan w:val="3"/>
          </w:tcPr>
          <w:p>
            <w:pPr>
              <w:jc w:val="center"/>
              <w:ind w:left="150"/>
              <w:spacing w:after="0"/>
              <w:rPr>
                <w:sz w:val="20"/>
                <w:szCs w:val="20"/>
                <w:color w:val="auto"/>
              </w:rPr>
            </w:pPr>
            <w:r>
              <w:rPr>
                <w:rFonts w:ascii="Arial" w:cs="Arial" w:eastAsia="Arial" w:hAnsi="Arial"/>
                <w:sz w:val="18"/>
                <w:szCs w:val="18"/>
                <w:b w:val="1"/>
                <w:bCs w:val="1"/>
                <w:color w:val="auto"/>
                <w:w w:val="87"/>
              </w:rPr>
              <w:t>Six months ended</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center"/>
              <w:ind w:left="150"/>
              <w:spacing w:after="0"/>
              <w:rPr>
                <w:sz w:val="20"/>
                <w:szCs w:val="20"/>
                <w:color w:val="auto"/>
              </w:rPr>
            </w:pPr>
            <w:r>
              <w:rPr>
                <w:rFonts w:ascii="Arial" w:cs="Arial" w:eastAsia="Arial" w:hAnsi="Arial"/>
                <w:sz w:val="18"/>
                <w:szCs w:val="18"/>
                <w:b w:val="1"/>
                <w:bCs w:val="1"/>
                <w:color w:val="auto"/>
                <w:w w:val="88"/>
              </w:rPr>
              <w:t>June 30, 2016</w:t>
            </w:r>
          </w:p>
        </w:tc>
        <w:tc>
          <w:tcPr>
            <w:tcW w:w="5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150"/>
              <w:spacing w:after="0"/>
              <w:rPr>
                <w:sz w:val="20"/>
                <w:szCs w:val="20"/>
                <w:color w:val="auto"/>
              </w:rPr>
            </w:pPr>
            <w:r>
              <w:rPr>
                <w:rFonts w:ascii="Arial" w:cs="Arial" w:eastAsia="Arial" w:hAnsi="Arial"/>
                <w:sz w:val="18"/>
                <w:szCs w:val="18"/>
                <w:b w:val="1"/>
                <w:bCs w:val="1"/>
                <w:color w:val="auto"/>
                <w:w w:val="88"/>
              </w:rPr>
              <w:t>June 30, 2015</w:t>
            </w:r>
          </w:p>
        </w:tc>
        <w:tc>
          <w:tcPr>
            <w:tcW w:w="5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5,080</w:t>
            </w:r>
          </w:p>
        </w:tc>
        <w:tc>
          <w:tcPr>
            <w:tcW w:w="5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92.1%</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3,521</w:t>
            </w:r>
          </w:p>
        </w:tc>
        <w:tc>
          <w:tcPr>
            <w:tcW w:w="6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92.8%</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International</w:t>
            </w: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438</w:t>
            </w:r>
          </w:p>
        </w:tc>
        <w:tc>
          <w:tcPr>
            <w:tcW w:w="5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7.9%</w:t>
            </w:r>
          </w:p>
        </w:tc>
        <w:tc>
          <w:tcPr>
            <w:tcW w:w="3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274</w:t>
            </w:r>
          </w:p>
        </w:tc>
        <w:tc>
          <w:tcPr>
            <w:tcW w:w="6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164</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5,518</w:t>
            </w:r>
          </w:p>
        </w:tc>
        <w:tc>
          <w:tcPr>
            <w:tcW w:w="5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100.0%</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3,795</w:t>
            </w:r>
          </w:p>
        </w:tc>
        <w:tc>
          <w:tcPr>
            <w:tcW w:w="6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100.0%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increase in both domestic and international POS automation and banking printer revenue as compared to the first half of 2015 was primarily driven by a 77% increase in sales of our Ithaca® 9000 printer as we continue to supply printers to support new initiatives by McDonald’s that started in 2015 and accelerated in 2016. This increase was partially offset by 35% lower sales of our legacy banking and other POS printers.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Casino and gaming:</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 summary of sales of our worldwide casino and gaming products for the six months ended June 30, 2016 and 2015 is as follows (in thousands, except percentages):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3"/>
          </w:tcPr>
          <w:p>
            <w:pPr>
              <w:jc w:val="center"/>
              <w:ind w:left="150"/>
              <w:spacing w:after="0"/>
              <w:rPr>
                <w:sz w:val="20"/>
                <w:szCs w:val="20"/>
                <w:color w:val="auto"/>
              </w:rPr>
            </w:pPr>
            <w:r>
              <w:rPr>
                <w:rFonts w:ascii="Arial" w:cs="Arial" w:eastAsia="Arial" w:hAnsi="Arial"/>
                <w:sz w:val="18"/>
                <w:szCs w:val="18"/>
                <w:b w:val="1"/>
                <w:bCs w:val="1"/>
                <w:color w:val="auto"/>
                <w:w w:val="87"/>
              </w:rPr>
              <w:t>Six months ended</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gridSpan w:val="3"/>
          </w:tcPr>
          <w:p>
            <w:pPr>
              <w:jc w:val="center"/>
              <w:ind w:left="150"/>
              <w:spacing w:after="0"/>
              <w:rPr>
                <w:sz w:val="20"/>
                <w:szCs w:val="20"/>
                <w:color w:val="auto"/>
              </w:rPr>
            </w:pPr>
            <w:r>
              <w:rPr>
                <w:rFonts w:ascii="Arial" w:cs="Arial" w:eastAsia="Arial" w:hAnsi="Arial"/>
                <w:sz w:val="18"/>
                <w:szCs w:val="18"/>
                <w:b w:val="1"/>
                <w:bCs w:val="1"/>
                <w:color w:val="auto"/>
                <w:w w:val="87"/>
              </w:rPr>
              <w:t>Six months ended</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center"/>
              <w:ind w:left="150"/>
              <w:spacing w:after="0"/>
              <w:rPr>
                <w:sz w:val="20"/>
                <w:szCs w:val="20"/>
                <w:color w:val="auto"/>
              </w:rPr>
            </w:pPr>
            <w:r>
              <w:rPr>
                <w:rFonts w:ascii="Arial" w:cs="Arial" w:eastAsia="Arial" w:hAnsi="Arial"/>
                <w:sz w:val="18"/>
                <w:szCs w:val="18"/>
                <w:b w:val="1"/>
                <w:bCs w:val="1"/>
                <w:color w:val="auto"/>
                <w:w w:val="88"/>
              </w:rPr>
              <w:t>June 30, 2016</w:t>
            </w:r>
          </w:p>
        </w:tc>
        <w:tc>
          <w:tcPr>
            <w:tcW w:w="5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150"/>
              <w:spacing w:after="0"/>
              <w:rPr>
                <w:sz w:val="20"/>
                <w:szCs w:val="20"/>
                <w:color w:val="auto"/>
              </w:rPr>
            </w:pPr>
            <w:r>
              <w:rPr>
                <w:rFonts w:ascii="Arial" w:cs="Arial" w:eastAsia="Arial" w:hAnsi="Arial"/>
                <w:sz w:val="18"/>
                <w:szCs w:val="18"/>
                <w:b w:val="1"/>
                <w:bCs w:val="1"/>
                <w:color w:val="auto"/>
                <w:w w:val="88"/>
              </w:rPr>
              <w:t>June 30, 2015</w:t>
            </w:r>
          </w:p>
        </w:tc>
        <w:tc>
          <w:tcPr>
            <w:tcW w:w="5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5,833</w:t>
            </w:r>
          </w:p>
        </w:tc>
        <w:tc>
          <w:tcPr>
            <w:tcW w:w="5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55.1%</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5,469</w:t>
            </w:r>
          </w:p>
        </w:tc>
        <w:tc>
          <w:tcPr>
            <w:tcW w:w="6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42.6%</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364</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International</w:t>
            </w: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4,759</w:t>
            </w:r>
          </w:p>
        </w:tc>
        <w:tc>
          <w:tcPr>
            <w:tcW w:w="5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44.9%</w:t>
            </w:r>
          </w:p>
        </w:tc>
        <w:tc>
          <w:tcPr>
            <w:tcW w:w="3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7,369</w:t>
            </w:r>
          </w:p>
        </w:tc>
        <w:tc>
          <w:tcPr>
            <w:tcW w:w="6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(2,610)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10,592</w:t>
            </w:r>
          </w:p>
        </w:tc>
        <w:tc>
          <w:tcPr>
            <w:tcW w:w="5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100.0%</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12,838</w:t>
            </w:r>
          </w:p>
        </w:tc>
        <w:tc>
          <w:tcPr>
            <w:tcW w:w="6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100.0%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(2,246)</w:t>
            </w: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domestic sales of our casino and gaming products in the first half of 2016 compared to the first half of 2015 was due to a 4% increase in the sale of our thermal casino printers, which we believe was due to a continuation of market share gains that started in late 2015, as the replacement cycle for slot machines remains weak. Additionally, domestic EPICENTRAL™ software sales increased 26% as we completed two installations in the first half of 2016 compared to one installation completed in the first half of 2015.</w:t>
      </w:r>
    </w:p>
    <w:p>
      <w:pPr>
        <w:spacing w:after="0" w:line="21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International casino and gaming printer sales declined for the first half of 2016 as compared to the first half of 2015 due primarily to a 33% decrease in sales of our thermal casino printer and, to a lesser extent, a 39% decrease in sales of our off-premise gaming printers, primarily to our European distributor.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Lottery</w:t>
      </w:r>
      <w:r>
        <w:rPr>
          <w:rFonts w:ascii="Arial" w:cs="Arial" w:eastAsia="Arial" w:hAnsi="Arial"/>
          <w:sz w:val="18"/>
          <w:szCs w:val="18"/>
          <w:b w:val="1"/>
          <w:bCs w:val="1"/>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A summary of sales of our worldwide lottery printers for the six months ended June 30, 2016 and 2015 is as follows (in thousands, except percentages):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3"/>
          </w:tcPr>
          <w:p>
            <w:pPr>
              <w:jc w:val="center"/>
              <w:ind w:left="150"/>
              <w:spacing w:after="0"/>
              <w:rPr>
                <w:sz w:val="20"/>
                <w:szCs w:val="20"/>
                <w:color w:val="auto"/>
              </w:rPr>
            </w:pPr>
            <w:r>
              <w:rPr>
                <w:rFonts w:ascii="Arial" w:cs="Arial" w:eastAsia="Arial" w:hAnsi="Arial"/>
                <w:sz w:val="18"/>
                <w:szCs w:val="18"/>
                <w:b w:val="1"/>
                <w:bCs w:val="1"/>
                <w:color w:val="auto"/>
                <w:w w:val="87"/>
              </w:rPr>
              <w:t>Six months ended</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gridSpan w:val="3"/>
          </w:tcPr>
          <w:p>
            <w:pPr>
              <w:jc w:val="center"/>
              <w:ind w:left="150"/>
              <w:spacing w:after="0"/>
              <w:rPr>
                <w:sz w:val="20"/>
                <w:szCs w:val="20"/>
                <w:color w:val="auto"/>
              </w:rPr>
            </w:pPr>
            <w:r>
              <w:rPr>
                <w:rFonts w:ascii="Arial" w:cs="Arial" w:eastAsia="Arial" w:hAnsi="Arial"/>
                <w:sz w:val="18"/>
                <w:szCs w:val="18"/>
                <w:b w:val="1"/>
                <w:bCs w:val="1"/>
                <w:color w:val="auto"/>
                <w:w w:val="87"/>
              </w:rPr>
              <w:t>Six months ended</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center"/>
              <w:ind w:left="150"/>
              <w:spacing w:after="0"/>
              <w:rPr>
                <w:sz w:val="20"/>
                <w:szCs w:val="20"/>
                <w:color w:val="auto"/>
              </w:rPr>
            </w:pPr>
            <w:r>
              <w:rPr>
                <w:rFonts w:ascii="Arial" w:cs="Arial" w:eastAsia="Arial" w:hAnsi="Arial"/>
                <w:sz w:val="18"/>
                <w:szCs w:val="18"/>
                <w:b w:val="1"/>
                <w:bCs w:val="1"/>
                <w:color w:val="auto"/>
                <w:w w:val="88"/>
              </w:rPr>
              <w:t>June 30, 2016</w:t>
            </w:r>
          </w:p>
        </w:tc>
        <w:tc>
          <w:tcPr>
            <w:tcW w:w="5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150"/>
              <w:spacing w:after="0"/>
              <w:rPr>
                <w:sz w:val="20"/>
                <w:szCs w:val="20"/>
                <w:color w:val="auto"/>
              </w:rPr>
            </w:pPr>
            <w:r>
              <w:rPr>
                <w:rFonts w:ascii="Arial" w:cs="Arial" w:eastAsia="Arial" w:hAnsi="Arial"/>
                <w:sz w:val="18"/>
                <w:szCs w:val="18"/>
                <w:b w:val="1"/>
                <w:bCs w:val="1"/>
                <w:color w:val="auto"/>
                <w:w w:val="88"/>
              </w:rPr>
              <w:t>June 30, 2015</w:t>
            </w:r>
          </w:p>
        </w:tc>
        <w:tc>
          <w:tcPr>
            <w:tcW w:w="5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4,924</w:t>
            </w:r>
          </w:p>
        </w:tc>
        <w:tc>
          <w:tcPr>
            <w:tcW w:w="5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96.8%</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6,833</w:t>
            </w:r>
          </w:p>
        </w:tc>
        <w:tc>
          <w:tcPr>
            <w:tcW w:w="6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International</w:t>
            </w: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161</w:t>
            </w:r>
          </w:p>
        </w:tc>
        <w:tc>
          <w:tcPr>
            <w:tcW w:w="5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137</w:t>
            </w:r>
          </w:p>
        </w:tc>
        <w:tc>
          <w:tcPr>
            <w:tcW w:w="6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5,085</w:t>
            </w:r>
          </w:p>
        </w:tc>
        <w:tc>
          <w:tcPr>
            <w:tcW w:w="5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100.0%</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6,970</w:t>
            </w:r>
          </w:p>
        </w:tc>
        <w:tc>
          <w:tcPr>
            <w:tcW w:w="6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100.0%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sales to IGT are directly dependent on the timing and number of new and upgraded lottery terminal installations IGT performs, and as a result, may fluctuate significantly quarter-to-quarter and year-to-year and are not indicative of IGT’s overall business or revenue. Based on our backlog of orders and the customer’s forecast we expect total lottery printer sales to IGT for 2016 to be consistent with those reported in 2015.</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Printrex:</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 summary of sales of our worldwide Printrex printers for the six months ended June 30, 2016 and 2015 is as follows (in thousands, except percentages):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3"/>
          </w:tcPr>
          <w:p>
            <w:pPr>
              <w:jc w:val="center"/>
              <w:ind w:left="150"/>
              <w:spacing w:after="0"/>
              <w:rPr>
                <w:sz w:val="20"/>
                <w:szCs w:val="20"/>
                <w:color w:val="auto"/>
              </w:rPr>
            </w:pPr>
            <w:r>
              <w:rPr>
                <w:rFonts w:ascii="Arial" w:cs="Arial" w:eastAsia="Arial" w:hAnsi="Arial"/>
                <w:sz w:val="18"/>
                <w:szCs w:val="18"/>
                <w:b w:val="1"/>
                <w:bCs w:val="1"/>
                <w:color w:val="auto"/>
                <w:w w:val="87"/>
              </w:rPr>
              <w:t>Six months ended</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gridSpan w:val="3"/>
          </w:tcPr>
          <w:p>
            <w:pPr>
              <w:jc w:val="center"/>
              <w:ind w:left="150"/>
              <w:spacing w:after="0"/>
              <w:rPr>
                <w:sz w:val="20"/>
                <w:szCs w:val="20"/>
                <w:color w:val="auto"/>
              </w:rPr>
            </w:pPr>
            <w:r>
              <w:rPr>
                <w:rFonts w:ascii="Arial" w:cs="Arial" w:eastAsia="Arial" w:hAnsi="Arial"/>
                <w:sz w:val="18"/>
                <w:szCs w:val="18"/>
                <w:b w:val="1"/>
                <w:bCs w:val="1"/>
                <w:color w:val="auto"/>
                <w:w w:val="87"/>
              </w:rPr>
              <w:t>Six months ended</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center"/>
              <w:ind w:left="150"/>
              <w:spacing w:after="0"/>
              <w:rPr>
                <w:sz w:val="20"/>
                <w:szCs w:val="20"/>
                <w:color w:val="auto"/>
              </w:rPr>
            </w:pPr>
            <w:r>
              <w:rPr>
                <w:rFonts w:ascii="Arial" w:cs="Arial" w:eastAsia="Arial" w:hAnsi="Arial"/>
                <w:sz w:val="18"/>
                <w:szCs w:val="18"/>
                <w:b w:val="1"/>
                <w:bCs w:val="1"/>
                <w:color w:val="auto"/>
                <w:w w:val="88"/>
              </w:rPr>
              <w:t>June 30, 2016</w:t>
            </w:r>
          </w:p>
        </w:tc>
        <w:tc>
          <w:tcPr>
            <w:tcW w:w="5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150"/>
              <w:spacing w:after="0"/>
              <w:rPr>
                <w:sz w:val="20"/>
                <w:szCs w:val="20"/>
                <w:color w:val="auto"/>
              </w:rPr>
            </w:pPr>
            <w:r>
              <w:rPr>
                <w:rFonts w:ascii="Arial" w:cs="Arial" w:eastAsia="Arial" w:hAnsi="Arial"/>
                <w:sz w:val="18"/>
                <w:szCs w:val="18"/>
                <w:b w:val="1"/>
                <w:bCs w:val="1"/>
                <w:color w:val="auto"/>
                <w:w w:val="88"/>
              </w:rPr>
              <w:t>June 30, 2015</w:t>
            </w:r>
          </w:p>
        </w:tc>
        <w:tc>
          <w:tcPr>
            <w:tcW w:w="5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262</w:t>
            </w:r>
          </w:p>
        </w:tc>
        <w:tc>
          <w:tcPr>
            <w:tcW w:w="5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79.2%</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789</w:t>
            </w:r>
          </w:p>
        </w:tc>
        <w:tc>
          <w:tcPr>
            <w:tcW w:w="6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85.1%</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(527)</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International</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20.8%</w:t>
            </w:r>
          </w:p>
        </w:tc>
        <w:tc>
          <w:tcPr>
            <w:tcW w:w="3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138</w:t>
            </w:r>
          </w:p>
        </w:tc>
        <w:tc>
          <w:tcPr>
            <w:tcW w:w="6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331</w:t>
            </w:r>
          </w:p>
        </w:tc>
        <w:tc>
          <w:tcPr>
            <w:tcW w:w="5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100.0%</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927</w:t>
            </w:r>
          </w:p>
        </w:tc>
        <w:tc>
          <w:tcPr>
            <w:tcW w:w="6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100.0%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(596)</w:t>
            </w: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decrease in Printrex printers was due primarily due to a 55% decline in domestic and international sales in the oil and gas market due to the continued negative impact from the decline in worldwide oil prices. In addition, we experienced an 82% decline in medical and mobile printer sales due largely to the loss of a customer in the medical industry.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TSG:</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 summary of sales in our worldwide TSG market for the six months ended June 30, 2016 and 2015 is as follows (in thousands, except percentages):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3"/>
          </w:tcPr>
          <w:p>
            <w:pPr>
              <w:jc w:val="center"/>
              <w:ind w:left="150"/>
              <w:spacing w:after="0"/>
              <w:rPr>
                <w:sz w:val="20"/>
                <w:szCs w:val="20"/>
                <w:color w:val="auto"/>
              </w:rPr>
            </w:pPr>
            <w:r>
              <w:rPr>
                <w:rFonts w:ascii="Arial" w:cs="Arial" w:eastAsia="Arial" w:hAnsi="Arial"/>
                <w:sz w:val="18"/>
                <w:szCs w:val="18"/>
                <w:b w:val="1"/>
                <w:bCs w:val="1"/>
                <w:color w:val="auto"/>
                <w:w w:val="87"/>
              </w:rPr>
              <w:t>Six months ended</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gridSpan w:val="3"/>
          </w:tcPr>
          <w:p>
            <w:pPr>
              <w:jc w:val="center"/>
              <w:ind w:left="150"/>
              <w:spacing w:after="0"/>
              <w:rPr>
                <w:sz w:val="20"/>
                <w:szCs w:val="20"/>
                <w:color w:val="auto"/>
              </w:rPr>
            </w:pPr>
            <w:r>
              <w:rPr>
                <w:rFonts w:ascii="Arial" w:cs="Arial" w:eastAsia="Arial" w:hAnsi="Arial"/>
                <w:sz w:val="18"/>
                <w:szCs w:val="18"/>
                <w:b w:val="1"/>
                <w:bCs w:val="1"/>
                <w:color w:val="auto"/>
                <w:w w:val="87"/>
              </w:rPr>
              <w:t>Six months ended</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center"/>
              <w:ind w:left="150"/>
              <w:spacing w:after="0"/>
              <w:rPr>
                <w:sz w:val="20"/>
                <w:szCs w:val="20"/>
                <w:color w:val="auto"/>
              </w:rPr>
            </w:pPr>
            <w:r>
              <w:rPr>
                <w:rFonts w:ascii="Arial" w:cs="Arial" w:eastAsia="Arial" w:hAnsi="Arial"/>
                <w:sz w:val="18"/>
                <w:szCs w:val="18"/>
                <w:b w:val="1"/>
                <w:bCs w:val="1"/>
                <w:color w:val="auto"/>
                <w:w w:val="88"/>
              </w:rPr>
              <w:t>June 30, 2016</w:t>
            </w:r>
          </w:p>
        </w:tc>
        <w:tc>
          <w:tcPr>
            <w:tcW w:w="5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150"/>
              <w:spacing w:after="0"/>
              <w:rPr>
                <w:sz w:val="20"/>
                <w:szCs w:val="20"/>
                <w:color w:val="auto"/>
              </w:rPr>
            </w:pPr>
            <w:r>
              <w:rPr>
                <w:rFonts w:ascii="Arial" w:cs="Arial" w:eastAsia="Arial" w:hAnsi="Arial"/>
                <w:sz w:val="18"/>
                <w:szCs w:val="18"/>
                <w:b w:val="1"/>
                <w:bCs w:val="1"/>
                <w:color w:val="auto"/>
                <w:w w:val="88"/>
              </w:rPr>
              <w:t>June 30, 2015</w:t>
            </w:r>
          </w:p>
        </w:tc>
        <w:tc>
          <w:tcPr>
            <w:tcW w:w="5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4,738</w:t>
            </w:r>
          </w:p>
        </w:tc>
        <w:tc>
          <w:tcPr>
            <w:tcW w:w="5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93.0%</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6,486</w:t>
            </w:r>
          </w:p>
        </w:tc>
        <w:tc>
          <w:tcPr>
            <w:tcW w:w="6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92.6%</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International</w:t>
            </w: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357</w:t>
            </w:r>
          </w:p>
        </w:tc>
        <w:tc>
          <w:tcPr>
            <w:tcW w:w="5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7.0%</w:t>
            </w:r>
          </w:p>
        </w:tc>
        <w:tc>
          <w:tcPr>
            <w:tcW w:w="3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518</w:t>
            </w:r>
          </w:p>
        </w:tc>
        <w:tc>
          <w:tcPr>
            <w:tcW w:w="6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(161)</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5,095</w:t>
            </w:r>
          </w:p>
        </w:tc>
        <w:tc>
          <w:tcPr>
            <w:tcW w:w="5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100.0%</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7,004</w:t>
            </w:r>
          </w:p>
        </w:tc>
        <w:tc>
          <w:tcPr>
            <w:tcW w:w="6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100.0%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w:t>
            </w: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7" w:name="page18"/>
    <w:bookmarkEnd w:id="17"/>
    <w:p>
      <w:pPr>
        <w:jc w:val="both"/>
        <w:spacing w:after="0" w:line="297" w:lineRule="auto"/>
        <w:rPr>
          <w:sz w:val="20"/>
          <w:szCs w:val="20"/>
          <w:color w:val="auto"/>
        </w:rPr>
      </w:pPr>
      <w:r>
        <w:rPr>
          <w:rFonts w:ascii="Arial" w:cs="Arial" w:eastAsia="Arial" w:hAnsi="Arial"/>
          <w:sz w:val="16"/>
          <w:szCs w:val="16"/>
          <w:color w:val="auto"/>
        </w:rPr>
        <w:t>The decrease in domestic revenue from TSG was due to a (1) 33% decrease in sales of replacement parts due mainly to IGT who purchased an unusually high volume of spare parts for the lottery market in 2015 that is not likely to repeat in 2016, (2) 19% decrease in non-Printrex consumables, largely from the decline of HP inkjet cartridges, as we continue to deemphasize the commoditized consumable products, (3) 66% decrease of consumables sales for our Printrex color printer due to lower printing usage resulting from reduced drilling activity caused by the decline in worldwide oil prices, and (4) 16% decline in service revenue primarily due to project-oriented testing services that occurred in the first half of 2015 that did not recur in the first half of 2016.</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Internationally, TSG revenue decreased primarily due to lower sales of replacement parts and accessories in the first half of 2016 compared to the first half of 2015.</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60" w:type="dxa"/>
            <w:vAlign w:val="bottom"/>
            <w:gridSpan w:val="3"/>
          </w:tcPr>
          <w:p>
            <w:pPr>
              <w:ind w:left="140"/>
              <w:spacing w:after="0"/>
              <w:rPr>
                <w:sz w:val="20"/>
                <w:szCs w:val="20"/>
                <w:color w:val="auto"/>
              </w:rPr>
            </w:pPr>
            <w:r>
              <w:rPr>
                <w:rFonts w:ascii="Arial" w:cs="Arial" w:eastAsia="Arial" w:hAnsi="Arial"/>
                <w:sz w:val="18"/>
                <w:szCs w:val="18"/>
                <w:b w:val="1"/>
                <w:bCs w:val="1"/>
                <w:color w:val="auto"/>
                <w:w w:val="96"/>
              </w:rPr>
              <w:t>Six months ended</w:t>
            </w: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ind w:left="500"/>
              <w:spacing w:after="0"/>
              <w:rPr>
                <w:sz w:val="20"/>
                <w:szCs w:val="20"/>
                <w:color w:val="auto"/>
              </w:rPr>
            </w:pPr>
            <w:r>
              <w:rPr>
                <w:rFonts w:ascii="Arial" w:cs="Arial" w:eastAsia="Arial" w:hAnsi="Arial"/>
                <w:sz w:val="18"/>
                <w:szCs w:val="18"/>
                <w:b w:val="1"/>
                <w:bCs w:val="1"/>
                <w:color w:val="auto"/>
              </w:rPr>
              <w:t>June 30,</w:t>
            </w:r>
          </w:p>
        </w:tc>
        <w:tc>
          <w:tcPr>
            <w:tcW w:w="132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360" w:type="dxa"/>
            <w:vAlign w:val="bottom"/>
            <w:gridSpan w:val="2"/>
          </w:tcPr>
          <w:p>
            <w:pPr>
              <w:ind w:left="700"/>
              <w:spacing w:after="0"/>
              <w:rPr>
                <w:sz w:val="20"/>
                <w:szCs w:val="20"/>
                <w:color w:val="auto"/>
              </w:rPr>
            </w:pPr>
            <w:r>
              <w:rPr>
                <w:rFonts w:ascii="Arial" w:cs="Arial" w:eastAsia="Arial" w:hAnsi="Arial"/>
                <w:sz w:val="18"/>
                <w:szCs w:val="18"/>
                <w:b w:val="1"/>
                <w:bCs w:val="1"/>
                <w:color w:val="auto"/>
              </w:rPr>
              <w:t>Percent</w:t>
            </w:r>
          </w:p>
        </w:tc>
        <w:tc>
          <w:tcPr>
            <w:tcW w:w="2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Percent of</w:t>
            </w:r>
          </w:p>
        </w:tc>
        <w:tc>
          <w:tcPr>
            <w:tcW w:w="2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Percent of</w:t>
            </w:r>
          </w:p>
        </w:tc>
      </w:tr>
      <w:tr>
        <w:trPr>
          <w:trHeight w:val="223"/>
        </w:trPr>
        <w:tc>
          <w:tcPr>
            <w:tcW w:w="20" w:type="dxa"/>
            <w:vAlign w:val="bottom"/>
          </w:tcPr>
          <w:p>
            <w:pPr>
              <w:spacing w:after="0"/>
              <w:rPr>
                <w:sz w:val="19"/>
                <w:szCs w:val="19"/>
                <w:color w:val="auto"/>
              </w:rPr>
            </w:pPr>
          </w:p>
        </w:tc>
        <w:tc>
          <w:tcPr>
            <w:tcW w:w="132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b w:val="1"/>
                <w:bCs w:val="1"/>
                <w:color w:val="auto"/>
              </w:rPr>
              <w:t>2016</w:t>
            </w:r>
          </w:p>
        </w:tc>
        <w:tc>
          <w:tcPr>
            <w:tcW w:w="64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2015</w:t>
            </w:r>
          </w:p>
        </w:tc>
        <w:tc>
          <w:tcPr>
            <w:tcW w:w="380" w:type="dxa"/>
            <w:vAlign w:val="bottom"/>
          </w:tcPr>
          <w:p>
            <w:pPr>
              <w:spacing w:after="0"/>
              <w:rPr>
                <w:sz w:val="19"/>
                <w:szCs w:val="19"/>
                <w:color w:val="auto"/>
              </w:rPr>
            </w:pPr>
          </w:p>
        </w:tc>
        <w:tc>
          <w:tcPr>
            <w:tcW w:w="198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rPr>
              <w:t>Change</w:t>
            </w:r>
          </w:p>
        </w:tc>
        <w:tc>
          <w:tcPr>
            <w:tcW w:w="380" w:type="dxa"/>
            <w:vAlign w:val="bottom"/>
          </w:tcPr>
          <w:p>
            <w:pPr>
              <w:spacing w:after="0"/>
              <w:rPr>
                <w:sz w:val="19"/>
                <w:szCs w:val="19"/>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- 2016</w:t>
            </w:r>
          </w:p>
        </w:tc>
        <w:tc>
          <w:tcPr>
            <w:tcW w:w="380" w:type="dxa"/>
            <w:vAlign w:val="bottom"/>
          </w:tcPr>
          <w:p>
            <w:pPr>
              <w:spacing w:after="0"/>
              <w:rPr>
                <w:sz w:val="19"/>
                <w:szCs w:val="19"/>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- 2015</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320" w:type="dxa"/>
            <w:vAlign w:val="bottom"/>
            <w:shd w:val="clear" w:color="auto" w:fill="CCEEFF"/>
          </w:tcPr>
          <w:p>
            <w:pPr>
              <w:jc w:val="right"/>
              <w:ind w:right="115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3"/>
              </w:rPr>
              <w:t>11,868</w:t>
            </w: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13,653</w:t>
            </w:r>
          </w:p>
        </w:tc>
        <w:tc>
          <w:tcPr>
            <w:tcW w:w="2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(13.1%)</w:t>
            </w:r>
          </w:p>
        </w:tc>
        <w:tc>
          <w:tcPr>
            <w:tcW w:w="2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40.7%</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Gross profit decreased $1,785,000, or 13%, due primarily to a decrease in sales of 13%. Our gross margin in the first half of 2016 is relatively consistent with the first half of 2015, decreasing 20 basis points to 40.7%.</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Engineering, Design and Product Development. </w:t>
      </w:r>
      <w:r>
        <w:rPr>
          <w:rFonts w:ascii="Arial" w:cs="Arial" w:eastAsia="Arial" w:hAnsi="Arial"/>
          <w:sz w:val="18"/>
          <w:szCs w:val="18"/>
          <w:color w:val="auto"/>
        </w:rPr>
        <w:t>Engineering, design and product development information is summarized below (in thousands, except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percentages):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6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7"/>
              </w:rPr>
              <w:t>Six months ended</w:t>
            </w: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88"/>
              </w:rPr>
              <w:t>June 30,</w:t>
            </w:r>
          </w:p>
        </w:tc>
        <w:tc>
          <w:tcPr>
            <w:tcW w:w="132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360" w:type="dxa"/>
            <w:vAlign w:val="bottom"/>
            <w:gridSpan w:val="2"/>
          </w:tcPr>
          <w:p>
            <w:pPr>
              <w:ind w:left="700"/>
              <w:spacing w:after="0"/>
              <w:rPr>
                <w:sz w:val="20"/>
                <w:szCs w:val="20"/>
                <w:color w:val="auto"/>
              </w:rPr>
            </w:pPr>
            <w:r>
              <w:rPr>
                <w:rFonts w:ascii="Arial" w:cs="Arial" w:eastAsia="Arial" w:hAnsi="Arial"/>
                <w:sz w:val="18"/>
                <w:szCs w:val="18"/>
                <w:b w:val="1"/>
                <w:bCs w:val="1"/>
                <w:color w:val="auto"/>
              </w:rPr>
              <w:t>Percent</w:t>
            </w:r>
          </w:p>
        </w:tc>
        <w:tc>
          <w:tcPr>
            <w:tcW w:w="2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Percent of</w:t>
            </w:r>
          </w:p>
        </w:tc>
        <w:tc>
          <w:tcPr>
            <w:tcW w:w="2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Percent of</w:t>
            </w:r>
          </w:p>
        </w:tc>
      </w:tr>
      <w:tr>
        <w:trPr>
          <w:trHeight w:val="223"/>
        </w:trPr>
        <w:tc>
          <w:tcPr>
            <w:tcW w:w="20" w:type="dxa"/>
            <w:vAlign w:val="bottom"/>
          </w:tcPr>
          <w:p>
            <w:pPr>
              <w:spacing w:after="0"/>
              <w:rPr>
                <w:sz w:val="19"/>
                <w:szCs w:val="19"/>
                <w:color w:val="auto"/>
              </w:rPr>
            </w:pPr>
          </w:p>
        </w:tc>
        <w:tc>
          <w:tcPr>
            <w:tcW w:w="132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b w:val="1"/>
                <w:bCs w:val="1"/>
                <w:color w:val="auto"/>
              </w:rPr>
              <w:t>2016</w:t>
            </w:r>
          </w:p>
        </w:tc>
        <w:tc>
          <w:tcPr>
            <w:tcW w:w="64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2015</w:t>
            </w:r>
          </w:p>
        </w:tc>
        <w:tc>
          <w:tcPr>
            <w:tcW w:w="380" w:type="dxa"/>
            <w:vAlign w:val="bottom"/>
          </w:tcPr>
          <w:p>
            <w:pPr>
              <w:spacing w:after="0"/>
              <w:rPr>
                <w:sz w:val="19"/>
                <w:szCs w:val="19"/>
                <w:color w:val="auto"/>
              </w:rPr>
            </w:pPr>
          </w:p>
        </w:tc>
        <w:tc>
          <w:tcPr>
            <w:tcW w:w="198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rPr>
              <w:t>Change</w:t>
            </w:r>
          </w:p>
        </w:tc>
        <w:tc>
          <w:tcPr>
            <w:tcW w:w="380" w:type="dxa"/>
            <w:vAlign w:val="bottom"/>
          </w:tcPr>
          <w:p>
            <w:pPr>
              <w:spacing w:after="0"/>
              <w:rPr>
                <w:sz w:val="19"/>
                <w:szCs w:val="19"/>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- 2016</w:t>
            </w:r>
          </w:p>
        </w:tc>
        <w:tc>
          <w:tcPr>
            <w:tcW w:w="380" w:type="dxa"/>
            <w:vAlign w:val="bottom"/>
          </w:tcPr>
          <w:p>
            <w:pPr>
              <w:spacing w:after="0"/>
              <w:rPr>
                <w:sz w:val="19"/>
                <w:szCs w:val="19"/>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- 2015</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320" w:type="dxa"/>
            <w:vAlign w:val="bottom"/>
            <w:shd w:val="clear" w:color="auto" w:fill="CCEEFF"/>
          </w:tcPr>
          <w:p>
            <w:pPr>
              <w:jc w:val="right"/>
              <w:ind w:right="115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w:t>
            </w: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1,728</w:t>
            </w:r>
          </w:p>
        </w:tc>
        <w:tc>
          <w:tcPr>
            <w:tcW w:w="2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34.5%</w:t>
            </w:r>
          </w:p>
        </w:tc>
        <w:tc>
          <w:tcPr>
            <w:tcW w:w="2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8.0%</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Such expenses increased $597,000, or 35%, due primarily to higher product development costs and the hiring of additional software engineers that started in early 2016 as we continue to focus and strategically invest in enhancements to our EPICENTRAL™ software and expansion of our line of food safety terminals.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Selling and Marketing. </w:t>
      </w:r>
      <w:r>
        <w:rPr>
          <w:rFonts w:ascii="Arial" w:cs="Arial" w:eastAsia="Arial" w:hAnsi="Arial"/>
          <w:sz w:val="18"/>
          <w:szCs w:val="18"/>
          <w:color w:val="auto"/>
        </w:rPr>
        <w:t>Selling and marketing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6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7"/>
              </w:rPr>
              <w:t>Six months ended</w:t>
            </w: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88"/>
              </w:rPr>
              <w:t>June 30,</w:t>
            </w:r>
          </w:p>
        </w:tc>
        <w:tc>
          <w:tcPr>
            <w:tcW w:w="132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360" w:type="dxa"/>
            <w:vAlign w:val="bottom"/>
            <w:gridSpan w:val="2"/>
          </w:tcPr>
          <w:p>
            <w:pPr>
              <w:ind w:left="700"/>
              <w:spacing w:after="0"/>
              <w:rPr>
                <w:sz w:val="20"/>
                <w:szCs w:val="20"/>
                <w:color w:val="auto"/>
              </w:rPr>
            </w:pPr>
            <w:r>
              <w:rPr>
                <w:rFonts w:ascii="Arial" w:cs="Arial" w:eastAsia="Arial" w:hAnsi="Arial"/>
                <w:sz w:val="18"/>
                <w:szCs w:val="18"/>
                <w:b w:val="1"/>
                <w:bCs w:val="1"/>
                <w:color w:val="auto"/>
              </w:rPr>
              <w:t>Percent</w:t>
            </w:r>
          </w:p>
        </w:tc>
        <w:tc>
          <w:tcPr>
            <w:tcW w:w="2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Percent of</w:t>
            </w:r>
          </w:p>
        </w:tc>
        <w:tc>
          <w:tcPr>
            <w:tcW w:w="2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Percent of</w:t>
            </w:r>
          </w:p>
        </w:tc>
      </w:tr>
      <w:tr>
        <w:trPr>
          <w:trHeight w:val="223"/>
        </w:trPr>
        <w:tc>
          <w:tcPr>
            <w:tcW w:w="20" w:type="dxa"/>
            <w:vAlign w:val="bottom"/>
          </w:tcPr>
          <w:p>
            <w:pPr>
              <w:spacing w:after="0"/>
              <w:rPr>
                <w:sz w:val="19"/>
                <w:szCs w:val="19"/>
                <w:color w:val="auto"/>
              </w:rPr>
            </w:pPr>
          </w:p>
        </w:tc>
        <w:tc>
          <w:tcPr>
            <w:tcW w:w="132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b w:val="1"/>
                <w:bCs w:val="1"/>
                <w:color w:val="auto"/>
              </w:rPr>
              <w:t>2016</w:t>
            </w:r>
          </w:p>
        </w:tc>
        <w:tc>
          <w:tcPr>
            <w:tcW w:w="64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2015</w:t>
            </w:r>
          </w:p>
        </w:tc>
        <w:tc>
          <w:tcPr>
            <w:tcW w:w="380" w:type="dxa"/>
            <w:vAlign w:val="bottom"/>
          </w:tcPr>
          <w:p>
            <w:pPr>
              <w:spacing w:after="0"/>
              <w:rPr>
                <w:sz w:val="19"/>
                <w:szCs w:val="19"/>
                <w:color w:val="auto"/>
              </w:rPr>
            </w:pPr>
          </w:p>
        </w:tc>
        <w:tc>
          <w:tcPr>
            <w:tcW w:w="198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rPr>
              <w:t>Change</w:t>
            </w:r>
          </w:p>
        </w:tc>
        <w:tc>
          <w:tcPr>
            <w:tcW w:w="380" w:type="dxa"/>
            <w:vAlign w:val="bottom"/>
          </w:tcPr>
          <w:p>
            <w:pPr>
              <w:spacing w:after="0"/>
              <w:rPr>
                <w:sz w:val="19"/>
                <w:szCs w:val="19"/>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- 2016</w:t>
            </w:r>
          </w:p>
        </w:tc>
        <w:tc>
          <w:tcPr>
            <w:tcW w:w="380" w:type="dxa"/>
            <w:vAlign w:val="bottom"/>
          </w:tcPr>
          <w:p>
            <w:pPr>
              <w:spacing w:after="0"/>
              <w:rPr>
                <w:sz w:val="19"/>
                <w:szCs w:val="19"/>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- 2015</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320" w:type="dxa"/>
            <w:vAlign w:val="bottom"/>
            <w:shd w:val="clear" w:color="auto" w:fill="CCEEFF"/>
          </w:tcPr>
          <w:p>
            <w:pPr>
              <w:jc w:val="right"/>
              <w:ind w:right="115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3,652</w:t>
            </w: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3,923</w:t>
            </w:r>
          </w:p>
        </w:tc>
        <w:tc>
          <w:tcPr>
            <w:tcW w:w="2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(6.9%)</w:t>
            </w:r>
          </w:p>
        </w:tc>
        <w:tc>
          <w:tcPr>
            <w:tcW w:w="2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12.5%</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Such expenses decreased by $271,000, or 7%, in the first half of 2016 compared to the first half of 2015 due to lower compensation costs related to headcount reductions made during the first half of 2016, lower sales commission due to lower sales experienced in 2016, and a decrease in travel expenses primarily in our Printrex markets as we consciously decided to reduce these expenses in response to the worldwide decline in the oil and gas markets.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 and administrative information is summarized below (in thousands, except percentages):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6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7"/>
              </w:rPr>
              <w:t>Six months ended</w:t>
            </w: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88"/>
              </w:rPr>
              <w:t>June 30,</w:t>
            </w:r>
          </w:p>
        </w:tc>
        <w:tc>
          <w:tcPr>
            <w:tcW w:w="132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360" w:type="dxa"/>
            <w:vAlign w:val="bottom"/>
            <w:gridSpan w:val="2"/>
          </w:tcPr>
          <w:p>
            <w:pPr>
              <w:ind w:left="700"/>
              <w:spacing w:after="0"/>
              <w:rPr>
                <w:sz w:val="20"/>
                <w:szCs w:val="20"/>
                <w:color w:val="auto"/>
              </w:rPr>
            </w:pPr>
            <w:r>
              <w:rPr>
                <w:rFonts w:ascii="Arial" w:cs="Arial" w:eastAsia="Arial" w:hAnsi="Arial"/>
                <w:sz w:val="18"/>
                <w:szCs w:val="18"/>
                <w:b w:val="1"/>
                <w:bCs w:val="1"/>
                <w:color w:val="auto"/>
              </w:rPr>
              <w:t>Percent</w:t>
            </w:r>
          </w:p>
        </w:tc>
        <w:tc>
          <w:tcPr>
            <w:tcW w:w="2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Percent of</w:t>
            </w:r>
          </w:p>
        </w:tc>
        <w:tc>
          <w:tcPr>
            <w:tcW w:w="2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Percent of</w:t>
            </w:r>
          </w:p>
        </w:tc>
      </w:tr>
      <w:tr>
        <w:trPr>
          <w:trHeight w:val="223"/>
        </w:trPr>
        <w:tc>
          <w:tcPr>
            <w:tcW w:w="20" w:type="dxa"/>
            <w:vAlign w:val="bottom"/>
          </w:tcPr>
          <w:p>
            <w:pPr>
              <w:spacing w:after="0"/>
              <w:rPr>
                <w:sz w:val="19"/>
                <w:szCs w:val="19"/>
                <w:color w:val="auto"/>
              </w:rPr>
            </w:pPr>
          </w:p>
        </w:tc>
        <w:tc>
          <w:tcPr>
            <w:tcW w:w="132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b w:val="1"/>
                <w:bCs w:val="1"/>
                <w:color w:val="auto"/>
              </w:rPr>
              <w:t>2016</w:t>
            </w:r>
          </w:p>
        </w:tc>
        <w:tc>
          <w:tcPr>
            <w:tcW w:w="64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2015</w:t>
            </w:r>
          </w:p>
        </w:tc>
        <w:tc>
          <w:tcPr>
            <w:tcW w:w="380" w:type="dxa"/>
            <w:vAlign w:val="bottom"/>
          </w:tcPr>
          <w:p>
            <w:pPr>
              <w:spacing w:after="0"/>
              <w:rPr>
                <w:sz w:val="19"/>
                <w:szCs w:val="19"/>
                <w:color w:val="auto"/>
              </w:rPr>
            </w:pPr>
          </w:p>
        </w:tc>
        <w:tc>
          <w:tcPr>
            <w:tcW w:w="198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rPr>
              <w:t>Change</w:t>
            </w:r>
          </w:p>
        </w:tc>
        <w:tc>
          <w:tcPr>
            <w:tcW w:w="380" w:type="dxa"/>
            <w:vAlign w:val="bottom"/>
          </w:tcPr>
          <w:p>
            <w:pPr>
              <w:spacing w:after="0"/>
              <w:rPr>
                <w:sz w:val="19"/>
                <w:szCs w:val="19"/>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- 2016</w:t>
            </w:r>
          </w:p>
        </w:tc>
        <w:tc>
          <w:tcPr>
            <w:tcW w:w="380" w:type="dxa"/>
            <w:vAlign w:val="bottom"/>
          </w:tcPr>
          <w:p>
            <w:pPr>
              <w:spacing w:after="0"/>
              <w:rPr>
                <w:sz w:val="19"/>
                <w:szCs w:val="19"/>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- 2015</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320" w:type="dxa"/>
            <w:vAlign w:val="bottom"/>
            <w:shd w:val="clear" w:color="auto" w:fill="CCEEFF"/>
          </w:tcPr>
          <w:p>
            <w:pPr>
              <w:jc w:val="right"/>
              <w:ind w:right="115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3,852</w:t>
            </w: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3,842</w:t>
            </w:r>
          </w:p>
        </w:tc>
        <w:tc>
          <w:tcPr>
            <w:tcW w:w="2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0.3%</w:t>
            </w:r>
          </w:p>
        </w:tc>
        <w:tc>
          <w:tcPr>
            <w:tcW w:w="2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13.2%</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General and administrative expenses increased slightly by less than 1%. During the first half of 2016 we incurred higher severance cost related to headcount reductions that was almost entirely offset by lower incentive compensation in the first half of 2016 compared to the first half of 2015.</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Legal Fees and Settlement Expenses Associated with Lawsuit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Legal fee and settlement expense information is summarized below (in thousands, except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percentages):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6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7"/>
              </w:rPr>
              <w:t>Six months ended</w:t>
            </w: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88"/>
              </w:rPr>
              <w:t>June 30,</w:t>
            </w:r>
          </w:p>
        </w:tc>
        <w:tc>
          <w:tcPr>
            <w:tcW w:w="132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980" w:type="dxa"/>
            <w:vAlign w:val="bottom"/>
          </w:tcPr>
          <w:p>
            <w:pPr>
              <w:ind w:left="700"/>
              <w:spacing w:after="0"/>
              <w:rPr>
                <w:sz w:val="20"/>
                <w:szCs w:val="20"/>
                <w:color w:val="auto"/>
              </w:rPr>
            </w:pPr>
            <w:r>
              <w:rPr>
                <w:rFonts w:ascii="Arial" w:cs="Arial" w:eastAsia="Arial" w:hAnsi="Arial"/>
                <w:sz w:val="18"/>
                <w:szCs w:val="18"/>
                <w:b w:val="1"/>
                <w:bCs w:val="1"/>
                <w:color w:val="auto"/>
              </w:rPr>
              <w:t>Percent</w:t>
            </w:r>
          </w:p>
        </w:tc>
        <w:tc>
          <w:tcPr>
            <w:tcW w:w="380" w:type="dxa"/>
            <w:vAlign w:val="bottom"/>
          </w:tcPr>
          <w:p>
            <w:pPr>
              <w:spacing w:after="0"/>
              <w:rPr>
                <w:sz w:val="20"/>
                <w:szCs w:val="20"/>
                <w:color w:val="auto"/>
              </w:rPr>
            </w:pPr>
          </w:p>
        </w:tc>
        <w:tc>
          <w:tcPr>
            <w:tcW w:w="2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Percent of</w:t>
            </w:r>
          </w:p>
        </w:tc>
        <w:tc>
          <w:tcPr>
            <w:tcW w:w="2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Percent of</w:t>
            </w:r>
          </w:p>
        </w:tc>
      </w:tr>
      <w:tr>
        <w:trPr>
          <w:trHeight w:val="223"/>
        </w:trPr>
        <w:tc>
          <w:tcPr>
            <w:tcW w:w="20" w:type="dxa"/>
            <w:vAlign w:val="bottom"/>
          </w:tcPr>
          <w:p>
            <w:pPr>
              <w:spacing w:after="0"/>
              <w:rPr>
                <w:sz w:val="19"/>
                <w:szCs w:val="19"/>
                <w:color w:val="auto"/>
              </w:rPr>
            </w:pPr>
          </w:p>
        </w:tc>
        <w:tc>
          <w:tcPr>
            <w:tcW w:w="132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b w:val="1"/>
                <w:bCs w:val="1"/>
                <w:color w:val="auto"/>
              </w:rPr>
              <w:t>2016</w:t>
            </w:r>
          </w:p>
        </w:tc>
        <w:tc>
          <w:tcPr>
            <w:tcW w:w="64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2015</w:t>
            </w:r>
          </w:p>
        </w:tc>
        <w:tc>
          <w:tcPr>
            <w:tcW w:w="380" w:type="dxa"/>
            <w:vAlign w:val="bottom"/>
          </w:tcPr>
          <w:p>
            <w:pPr>
              <w:spacing w:after="0"/>
              <w:rPr>
                <w:sz w:val="19"/>
                <w:szCs w:val="19"/>
                <w:color w:val="auto"/>
              </w:rPr>
            </w:pPr>
          </w:p>
        </w:tc>
        <w:tc>
          <w:tcPr>
            <w:tcW w:w="198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rPr>
              <w:t>Change</w:t>
            </w:r>
          </w:p>
        </w:tc>
        <w:tc>
          <w:tcPr>
            <w:tcW w:w="380" w:type="dxa"/>
            <w:vAlign w:val="bottom"/>
          </w:tcPr>
          <w:p>
            <w:pPr>
              <w:spacing w:after="0"/>
              <w:rPr>
                <w:sz w:val="19"/>
                <w:szCs w:val="19"/>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- 2016</w:t>
            </w:r>
          </w:p>
        </w:tc>
        <w:tc>
          <w:tcPr>
            <w:tcW w:w="380" w:type="dxa"/>
            <w:vAlign w:val="bottom"/>
          </w:tcPr>
          <w:p>
            <w:pPr>
              <w:spacing w:after="0"/>
              <w:rPr>
                <w:sz w:val="19"/>
                <w:szCs w:val="19"/>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- 2015</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320" w:type="dxa"/>
            <w:vAlign w:val="bottom"/>
            <w:shd w:val="clear" w:color="auto" w:fill="CCEEFF"/>
          </w:tcPr>
          <w:p>
            <w:pPr>
              <w:jc w:val="right"/>
              <w:ind w:right="115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1,738</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7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8" w:name="page19"/>
    <w:bookmarkEnd w:id="18"/>
    <w:p>
      <w:pPr>
        <w:jc w:val="both"/>
        <w:spacing w:after="0" w:line="286" w:lineRule="auto"/>
        <w:rPr>
          <w:sz w:val="20"/>
          <w:szCs w:val="20"/>
          <w:color w:val="auto"/>
        </w:rPr>
      </w:pPr>
      <w:r>
        <w:rPr>
          <w:rFonts w:ascii="Arial" w:cs="Arial" w:eastAsia="Arial" w:hAnsi="Arial"/>
          <w:sz w:val="17"/>
          <w:szCs w:val="17"/>
          <w:color w:val="auto"/>
        </w:rPr>
        <w:t>As disclosed in Note 7 to the Condensed Consolidated Financial Statements, in June 2012, AD filed a civil complaint against the Company. In connection with this lawsuit, we incurred legal fees and settlement expenses of $0 and $1,738,000 in the first half of 2016 and 2015, respectively. Due to the settlement of the AD lawsuit in March 2015, we do not expect to incur any further expenses related to this lawsuit in the future.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Operating Income. </w:t>
      </w:r>
      <w:r>
        <w:rPr>
          <w:rFonts w:ascii="Arial" w:cs="Arial" w:eastAsia="Arial" w:hAnsi="Arial"/>
          <w:sz w:val="18"/>
          <w:szCs w:val="18"/>
          <w:color w:val="auto"/>
        </w:rPr>
        <w:t>Operating income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6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7"/>
              </w:rPr>
              <w:t>Six months ended</w:t>
            </w: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88"/>
              </w:rPr>
              <w:t>June 30,</w:t>
            </w:r>
          </w:p>
        </w:tc>
        <w:tc>
          <w:tcPr>
            <w:tcW w:w="132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360" w:type="dxa"/>
            <w:vAlign w:val="bottom"/>
            <w:gridSpan w:val="2"/>
          </w:tcPr>
          <w:p>
            <w:pPr>
              <w:ind w:left="700"/>
              <w:spacing w:after="0"/>
              <w:rPr>
                <w:sz w:val="20"/>
                <w:szCs w:val="20"/>
                <w:color w:val="auto"/>
              </w:rPr>
            </w:pPr>
            <w:r>
              <w:rPr>
                <w:rFonts w:ascii="Arial" w:cs="Arial" w:eastAsia="Arial" w:hAnsi="Arial"/>
                <w:sz w:val="18"/>
                <w:szCs w:val="18"/>
                <w:b w:val="1"/>
                <w:bCs w:val="1"/>
                <w:color w:val="auto"/>
              </w:rPr>
              <w:t>Percent</w:t>
            </w:r>
          </w:p>
        </w:tc>
        <w:tc>
          <w:tcPr>
            <w:tcW w:w="2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Percent of</w:t>
            </w:r>
          </w:p>
        </w:tc>
        <w:tc>
          <w:tcPr>
            <w:tcW w:w="2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Percent of</w:t>
            </w:r>
          </w:p>
        </w:tc>
      </w:tr>
      <w:tr>
        <w:trPr>
          <w:trHeight w:val="223"/>
        </w:trPr>
        <w:tc>
          <w:tcPr>
            <w:tcW w:w="20" w:type="dxa"/>
            <w:vAlign w:val="bottom"/>
          </w:tcPr>
          <w:p>
            <w:pPr>
              <w:spacing w:after="0"/>
              <w:rPr>
                <w:sz w:val="19"/>
                <w:szCs w:val="19"/>
                <w:color w:val="auto"/>
              </w:rPr>
            </w:pPr>
          </w:p>
        </w:tc>
        <w:tc>
          <w:tcPr>
            <w:tcW w:w="132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b w:val="1"/>
                <w:bCs w:val="1"/>
                <w:color w:val="auto"/>
              </w:rPr>
              <w:t>2016</w:t>
            </w:r>
          </w:p>
        </w:tc>
        <w:tc>
          <w:tcPr>
            <w:tcW w:w="64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2015</w:t>
            </w:r>
          </w:p>
        </w:tc>
        <w:tc>
          <w:tcPr>
            <w:tcW w:w="380" w:type="dxa"/>
            <w:vAlign w:val="bottom"/>
          </w:tcPr>
          <w:p>
            <w:pPr>
              <w:spacing w:after="0"/>
              <w:rPr>
                <w:sz w:val="19"/>
                <w:szCs w:val="19"/>
                <w:color w:val="auto"/>
              </w:rPr>
            </w:pPr>
          </w:p>
        </w:tc>
        <w:tc>
          <w:tcPr>
            <w:tcW w:w="198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rPr>
              <w:t>Change</w:t>
            </w:r>
          </w:p>
        </w:tc>
        <w:tc>
          <w:tcPr>
            <w:tcW w:w="380" w:type="dxa"/>
            <w:vAlign w:val="bottom"/>
          </w:tcPr>
          <w:p>
            <w:pPr>
              <w:spacing w:after="0"/>
              <w:rPr>
                <w:sz w:val="19"/>
                <w:szCs w:val="19"/>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- 2016</w:t>
            </w:r>
          </w:p>
        </w:tc>
        <w:tc>
          <w:tcPr>
            <w:tcW w:w="380" w:type="dxa"/>
            <w:vAlign w:val="bottom"/>
          </w:tcPr>
          <w:p>
            <w:pPr>
              <w:spacing w:after="0"/>
              <w:rPr>
                <w:sz w:val="19"/>
                <w:szCs w:val="19"/>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- 2015</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320" w:type="dxa"/>
            <w:vAlign w:val="bottom"/>
            <w:shd w:val="clear" w:color="auto" w:fill="CCEEFF"/>
          </w:tcPr>
          <w:p>
            <w:pPr>
              <w:jc w:val="right"/>
              <w:ind w:right="115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w:t>
            </w: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2,422</w:t>
            </w:r>
          </w:p>
        </w:tc>
        <w:tc>
          <w:tcPr>
            <w:tcW w:w="2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(15.8%)</w:t>
            </w:r>
          </w:p>
        </w:tc>
        <w:tc>
          <w:tcPr>
            <w:tcW w:w="2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operating income decreased by $383,000, or 16%, primarily due to 13% lower sales in the first half of 2016 as compared to the first half of 2015. In addition, our operating income in the first half of 2015 was negatively impacted by $1,738,000 of legal fees related to the AD lawsuit that did not recur in 2016. Excluding the AD legal fees incurred in the first half of 2015, our operating income would have decreased by $2,121,000, or 51% in the first half of 2016 as compared to the first half of 2015.</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Interest. </w:t>
      </w:r>
      <w:r>
        <w:rPr>
          <w:rFonts w:ascii="Arial" w:cs="Arial" w:eastAsia="Arial" w:hAnsi="Arial"/>
          <w:sz w:val="18"/>
          <w:szCs w:val="18"/>
          <w:color w:val="auto"/>
        </w:rPr>
        <w:t>We recorded net interest expense of $11,000 in the first half of 2016 compared to $16,000 in the first half of 2015. Interest expense was higher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2015 due to interest expense incurred from borrowing $2,500,000 to pay the AD lawsuit settlement in the first half of 2015. We did not borrow any funds during the first half of 2016.</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Other, net. </w:t>
      </w:r>
      <w:r>
        <w:rPr>
          <w:rFonts w:ascii="Arial" w:cs="Arial" w:eastAsia="Arial" w:hAnsi="Arial"/>
          <w:sz w:val="18"/>
          <w:szCs w:val="18"/>
          <w:color w:val="auto"/>
        </w:rPr>
        <w:t>We recorded other income of $16,000 in the first half of 2016 compared to other expense of $12,000 in the first half of 2015. The change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due to foreign currency transaction exchange gains recorded in 2016 compared to foreign currency transaction exchange losses recorded by our U.K. subsidiary in the first half of 2015.</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We recorded an income tax provision for the first half of 2016 of $666,000 at an effective tax rate of 32.6%, compared to an income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provision during the first half of 2015 of $862,000 at an effective tax rate of 36.0%. Our effective tax rate for the first half of 2016 was lower than the first half of 2015 because it includes the benefit from the 2016 federal research and development credit (“R&amp;D credit”). In 2015, the R&amp;D credit was not renewed until December 2015, and as such, the benefit was not recorded until the fourth quarter of 2015.</w:t>
      </w:r>
    </w:p>
    <w:p>
      <w:pPr>
        <w:spacing w:after="0" w:line="21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reported net income during the first half of 2016 of $1,378,000, or $0.18 per diluted share, compared to $1,532,000, or $0.20 per diluted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 for the first half of 2015.</w:t>
      </w:r>
    </w:p>
    <w:p>
      <w:pPr>
        <w:spacing w:after="0" w:line="162" w:lineRule="exact"/>
        <w:rPr>
          <w:sz w:val="20"/>
          <w:szCs w:val="20"/>
          <w:color w:val="auto"/>
        </w:rPr>
      </w:pPr>
    </w:p>
    <w:p>
      <w:pPr>
        <w:ind w:right="240"/>
        <w:spacing w:after="0" w:line="347" w:lineRule="auto"/>
        <w:rPr>
          <w:sz w:val="20"/>
          <w:szCs w:val="20"/>
          <w:color w:val="auto"/>
        </w:rPr>
      </w:pPr>
      <w:r>
        <w:rPr>
          <w:rFonts w:ascii="Arial" w:cs="Arial" w:eastAsia="Arial" w:hAnsi="Arial"/>
          <w:sz w:val="16"/>
          <w:szCs w:val="16"/>
          <w:b w:val="1"/>
          <w:bCs w:val="1"/>
          <w:i w:val="1"/>
          <w:iCs w:val="1"/>
          <w:color w:val="auto"/>
        </w:rPr>
        <w:t>Impact of Inflation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believe that inflation has not had a material impact on our results of operations for the three months ended June 30, 2016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2015. However, there can be no assurance that future inflation would not have an adverse impact upon our future operating results and financial condition.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27" w:lineRule="exact"/>
        <w:rPr>
          <w:sz w:val="20"/>
          <w:szCs w:val="20"/>
          <w:color w:val="auto"/>
        </w:rPr>
      </w:pPr>
    </w:p>
    <w:p>
      <w:pPr>
        <w:ind w:right="20"/>
        <w:spacing w:after="0" w:line="290" w:lineRule="auto"/>
        <w:rPr>
          <w:sz w:val="20"/>
          <w:szCs w:val="20"/>
          <w:color w:val="auto"/>
        </w:rPr>
      </w:pPr>
      <w:r>
        <w:rPr>
          <w:rFonts w:ascii="Arial" w:cs="Arial" w:eastAsia="Arial" w:hAnsi="Arial"/>
          <w:sz w:val="17"/>
          <w:szCs w:val="17"/>
          <w:color w:val="auto"/>
        </w:rPr>
        <w:t>In the first six months of 2016, our cash and cash equivalents balance decreased $1,918,000 or 43%, from December 31, 2015 and we ended the second quarter of 2016 with $2,555,000 in cash and cash equivalents, of which $79,000 was held by our U.K. subsidiary, and no debt outstanding.</w:t>
      </w:r>
    </w:p>
    <w:p>
      <w:pPr>
        <w:spacing w:after="0" w:line="18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The following significant factors affected our cash provided by operating activities of $1,897,000 in the first six months of 2016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our cash provided by operating activities of $1,837,000 in the first six months of 2015:</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six months of 2016:</w:t>
      </w:r>
    </w:p>
    <w:p>
      <w:pPr>
        <w:spacing w:after="0" w:line="23" w:lineRule="exact"/>
        <w:rPr>
          <w:sz w:val="20"/>
          <w:szCs w:val="20"/>
          <w:color w:val="auto"/>
        </w:rPr>
      </w:pPr>
    </w:p>
    <w:p>
      <w:pPr>
        <w:ind w:left="1140" w:hanging="13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reported net income of $1,378,000.</w:t>
      </w:r>
    </w:p>
    <w:p>
      <w:pPr>
        <w:spacing w:after="0" w:line="9" w:lineRule="exact"/>
        <w:rPr>
          <w:rFonts w:ascii="Arial" w:cs="Arial" w:eastAsia="Arial" w:hAnsi="Arial"/>
          <w:sz w:val="18"/>
          <w:szCs w:val="18"/>
          <w:color w:val="auto"/>
        </w:rPr>
      </w:pPr>
    </w:p>
    <w:p>
      <w:pPr>
        <w:ind w:left="1140" w:hanging="13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recorded depreciation, amortization, and share-based compensation expense of $948,000.</w:t>
      </w:r>
    </w:p>
    <w:p>
      <w:pPr>
        <w:spacing w:after="0" w:line="9" w:lineRule="exact"/>
        <w:rPr>
          <w:rFonts w:ascii="Arial" w:cs="Arial" w:eastAsia="Arial" w:hAnsi="Arial"/>
          <w:sz w:val="18"/>
          <w:szCs w:val="18"/>
          <w:color w:val="auto"/>
        </w:rPr>
      </w:pPr>
    </w:p>
    <w:p>
      <w:pPr>
        <w:ind w:left="1140" w:hanging="13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Accounts receivable increased $3,203,000, or 45%, due to the increase and timing of sales during the second quarter of 2016.</w:t>
      </w:r>
    </w:p>
    <w:p>
      <w:pPr>
        <w:spacing w:after="0" w:line="9" w:lineRule="exact"/>
        <w:rPr>
          <w:rFonts w:ascii="Arial" w:cs="Arial" w:eastAsia="Arial" w:hAnsi="Arial"/>
          <w:sz w:val="18"/>
          <w:szCs w:val="18"/>
          <w:color w:val="auto"/>
        </w:rPr>
      </w:pPr>
    </w:p>
    <w:p>
      <w:pPr>
        <w:ind w:left="1140" w:hanging="13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Inventories decreased $2,273,000, or 20%, due to the sell through of inventory on hand during 2016.</w:t>
      </w:r>
    </w:p>
    <w:p>
      <w:pPr>
        <w:spacing w:after="0" w:line="9" w:lineRule="exact"/>
        <w:rPr>
          <w:rFonts w:ascii="Arial" w:cs="Arial" w:eastAsia="Arial" w:hAnsi="Arial"/>
          <w:sz w:val="18"/>
          <w:szCs w:val="18"/>
          <w:color w:val="auto"/>
        </w:rPr>
      </w:pPr>
    </w:p>
    <w:p>
      <w:pPr>
        <w:ind w:left="1140" w:hanging="132"/>
        <w:spacing w:after="0"/>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Accounts payable increased $1,871,000, or 71% due primarily to increased inventory purchases towards the end of second quarter 2016.</w:t>
      </w:r>
    </w:p>
    <w:p>
      <w:pPr>
        <w:spacing w:after="0" w:line="32" w:lineRule="exact"/>
        <w:rPr>
          <w:rFonts w:ascii="Arial" w:cs="Arial" w:eastAsia="Arial" w:hAnsi="Arial"/>
          <w:sz w:val="16"/>
          <w:szCs w:val="16"/>
          <w:color w:val="auto"/>
        </w:rPr>
      </w:pPr>
    </w:p>
    <w:p>
      <w:pPr>
        <w:ind w:left="1140" w:hanging="132"/>
        <w:spacing w:after="0"/>
        <w:tabs>
          <w:tab w:leader="none" w:pos="1140" w:val="left"/>
        </w:tabs>
        <w:numPr>
          <w:ilvl w:val="0"/>
          <w:numId w:val="3"/>
        </w:numPr>
        <w:rPr>
          <w:rFonts w:ascii="Arial" w:cs="Arial" w:eastAsia="Arial" w:hAnsi="Arial"/>
          <w:sz w:val="17"/>
          <w:szCs w:val="17"/>
          <w:color w:val="auto"/>
        </w:rPr>
      </w:pPr>
      <w:r>
        <w:rPr>
          <w:rFonts w:ascii="Arial" w:cs="Arial" w:eastAsia="Arial" w:hAnsi="Arial"/>
          <w:sz w:val="17"/>
          <w:szCs w:val="17"/>
          <w:color w:val="auto"/>
        </w:rPr>
        <w:t>Accrued liabilities and other liabilities decreased $1,272,000 due primarily to the payment of 2015 annual bonuses in March 2016.</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During the first six months of 2015:</w:t>
      </w:r>
    </w:p>
    <w:p>
      <w:pPr>
        <w:spacing w:after="0" w:line="23" w:lineRule="exact"/>
        <w:rPr>
          <w:sz w:val="20"/>
          <w:szCs w:val="20"/>
          <w:color w:val="auto"/>
        </w:rPr>
      </w:pPr>
    </w:p>
    <w:p>
      <w:pPr>
        <w:ind w:left="1140" w:hanging="132"/>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reported net income of $1,532,000.</w:t>
      </w:r>
    </w:p>
    <w:p>
      <w:pPr>
        <w:spacing w:after="0" w:line="9" w:lineRule="exact"/>
        <w:rPr>
          <w:rFonts w:ascii="Arial" w:cs="Arial" w:eastAsia="Arial" w:hAnsi="Arial"/>
          <w:sz w:val="18"/>
          <w:szCs w:val="18"/>
          <w:color w:val="auto"/>
        </w:rPr>
      </w:pPr>
    </w:p>
    <w:p>
      <w:pPr>
        <w:ind w:left="1140" w:hanging="132"/>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recorded depreciation, amortization, and share-based compensation expense of $1,003,000.</w:t>
      </w:r>
    </w:p>
    <w:p>
      <w:pPr>
        <w:spacing w:after="0" w:line="9" w:lineRule="exact"/>
        <w:rPr>
          <w:rFonts w:ascii="Arial" w:cs="Arial" w:eastAsia="Arial" w:hAnsi="Arial"/>
          <w:sz w:val="18"/>
          <w:szCs w:val="18"/>
          <w:color w:val="auto"/>
        </w:rPr>
      </w:pPr>
    </w:p>
    <w:p>
      <w:pPr>
        <w:ind w:left="1140" w:hanging="132"/>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Accounts receivable increased $1,982,000, or 22%, due to the increase and timing of sales during the second quarter of 2015.</w:t>
      </w:r>
    </w:p>
    <w:p>
      <w:pPr>
        <w:spacing w:after="0" w:line="9" w:lineRule="exact"/>
        <w:rPr>
          <w:rFonts w:ascii="Arial" w:cs="Arial" w:eastAsia="Arial" w:hAnsi="Arial"/>
          <w:sz w:val="18"/>
          <w:szCs w:val="18"/>
          <w:color w:val="auto"/>
        </w:rPr>
      </w:pPr>
    </w:p>
    <w:p>
      <w:pPr>
        <w:ind w:left="1140" w:hanging="132"/>
        <w:spacing w:after="0" w:line="250"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Inventories decreased $840,000, or 7%, due to the sell through of inventory on hand during 2015 compared to the increased stocking levels of our new food safety and Printrex product in the first half of 2014.</w:t>
      </w:r>
    </w:p>
    <w:p>
      <w:pPr>
        <w:ind w:left="1140" w:hanging="132"/>
        <w:spacing w:after="0" w:line="250"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Accounts payable increased $3,869,000 due primarily to increased inventory purchases during the first half of the year to support a higher level of sales.</w:t>
      </w:r>
    </w:p>
    <w:p>
      <w:pPr>
        <w:ind w:left="1140" w:hanging="132"/>
        <w:spacing w:after="0" w:line="261"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Accrued liabilities and other liabilities decreased $4,448,000 due primarily to the payment of the AD lawsuit settlement in April 2015 and the payment of 2014 annual bonuses in March 2015.</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Our capital expenditures were $330,000 and $407,000 in the first six months of 2016 and 2015, respectively. Expenditures in 2016 were</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for computer and networking equipment and to a lesser extent new product tooling equipment and purchases of furniture and fixtures. Expenditures in 2015 included approximately $294,000 of cost incurred for the purchase of a new phone system and other computer equipment and the remaining amount was primarily for the purchase of new product tooling equipment.</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Capital expenditures for 2016 are expected to be approximately $1,000,000 primarily for new product tooling and tooling enhancements for our existing products, as well as for new computer software and equipment purchases.</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Financing activities: </w:t>
      </w:r>
      <w:r>
        <w:rPr>
          <w:rFonts w:ascii="Arial" w:cs="Arial" w:eastAsia="Arial" w:hAnsi="Arial"/>
          <w:sz w:val="17"/>
          <w:szCs w:val="17"/>
          <w:color w:val="auto"/>
        </w:rPr>
        <w:t>We used $3,481,000 of cash from financing activities during the first six months of 2016 to pay dividends of $1,232,000 to common</w:t>
      </w:r>
      <w:r>
        <w:rPr>
          <w:rFonts w:ascii="Arial" w:cs="Arial" w:eastAsia="Arial" w:hAnsi="Arial"/>
          <w:sz w:val="17"/>
          <w:szCs w:val="17"/>
          <w:i w:val="1"/>
          <w:iCs w:val="1"/>
          <w:color w:val="auto"/>
        </w:rPr>
        <w:t xml:space="preserve"> </w:t>
      </w:r>
      <w:r>
        <w:rPr>
          <w:rFonts w:ascii="Arial" w:cs="Arial" w:eastAsia="Arial" w:hAnsi="Arial"/>
          <w:sz w:val="17"/>
          <w:szCs w:val="17"/>
          <w:color w:val="auto"/>
        </w:rPr>
        <w:t>shareholders and to purchase $2,273,000 of common stock for treasury, partially offset by proceeds and tax benefits from stock option exercises of $24,000. During the first six months of 2015, we used $2,263,000 of cash from financing activities to pay dividends of $1,243,000 to common shareholders and to purchase $1,020,000 of common stock for treasury. Additionally, during the second quarter of 2015 we borrowed $2,500,000 under the TD Bank Credit Facility to partially fund the $3,600,000 payment related to the AD lawsuit which we fully repaid before June 30, 2015.</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2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Our working capital decreased 8% to $17,534,000 at June 30, 2016 from $18,983,000 at December 31, 2015. Our current ratio of current assets to current liabilities decreased to 3.6 as of June 30, 2016 compared to 4.0 at December 31, 2015.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Facility and Borrowings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TD Bank Credit Facility provides for a $20,000,000 revolving credit line. On November 26, 2014, we signed an amendment to renew the TD Bank Credit Facility through November 28, 2017. Borrowings under the revolving credit line bear a floating rate of interest at the prime rate minus one percent and are secured by a lien on all of our assets. We also pay a fee of 0.15% on unused borrowings under the revolving credit line. The amendment increases the amount of revolving credit loans we may use to fund future cash dividend payments or treasury share buybacks to $10,000,000 from $5,000,000. The amendment also modified the definition of EBITDA to exclude certain non-recurring expenses, including without limitation, non-recurring litigation and acquisition expenses (including the $3,625,000 expense we incurred in the fourth quarter of 2014 related to the settlement of the AD lawsuit); and modified the definition of Operating Cash Flow to exclude unfinanced capital expenditures for the quarters ending December 31, 2014, March 31, 2015 and June 30, 2015.</w:t>
      </w:r>
    </w:p>
    <w:p>
      <w:pPr>
        <w:spacing w:after="0" w:line="2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TD Bank Credit Facility imposes certain quarterly financial covenants on us and restricts, among other things, our ability to incur additional indebtedness and the creation of other liens. We were in compliance with all financial covenants of the TD Bank Credit Facility at June 30, 2016. The following table lists the financial covenants and the performance measurements at June 30, 2016:</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70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color w:val="auto"/>
                <w:w w:val="90"/>
              </w:rPr>
              <w:t>Financial Covenant</w:t>
            </w:r>
          </w:p>
        </w:tc>
        <w:tc>
          <w:tcPr>
            <w:tcW w:w="326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91"/>
              </w:rPr>
              <w:t>Requirement/Restriction</w:t>
            </w:r>
          </w:p>
        </w:tc>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Calculation at June 30, 2016</w:t>
            </w:r>
          </w:p>
        </w:tc>
      </w:tr>
      <w:tr>
        <w:trPr>
          <w:trHeight w:val="216"/>
        </w:trPr>
        <w:tc>
          <w:tcPr>
            <w:tcW w:w="470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1"/>
              </w:rPr>
              <w:t>Operating cash flow / Total debt service</w:t>
            </w:r>
          </w:p>
        </w:tc>
        <w:tc>
          <w:tcPr>
            <w:tcW w:w="326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4"/>
              </w:rPr>
              <w:t>Minimum of 1.25 times</w:t>
            </w:r>
          </w:p>
        </w:tc>
        <w:tc>
          <w:tcPr>
            <w:tcW w:w="3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45.8 times</w:t>
            </w:r>
          </w:p>
        </w:tc>
      </w:tr>
      <w:tr>
        <w:trPr>
          <w:trHeight w:val="230"/>
        </w:trPr>
        <w:tc>
          <w:tcPr>
            <w:tcW w:w="4700" w:type="dxa"/>
            <w:vAlign w:val="bottom"/>
          </w:tcPr>
          <w:p>
            <w:pPr>
              <w:jc w:val="center"/>
              <w:ind w:left="110"/>
              <w:spacing w:after="0"/>
              <w:rPr>
                <w:sz w:val="20"/>
                <w:szCs w:val="20"/>
                <w:color w:val="auto"/>
              </w:rPr>
            </w:pPr>
            <w:r>
              <w:rPr>
                <w:rFonts w:ascii="Arial" w:cs="Arial" w:eastAsia="Arial" w:hAnsi="Arial"/>
                <w:sz w:val="18"/>
                <w:szCs w:val="18"/>
                <w:color w:val="auto"/>
                <w:w w:val="94"/>
              </w:rPr>
              <w:t>Funded Debt / EBITDA</w:t>
            </w:r>
          </w:p>
        </w:tc>
        <w:tc>
          <w:tcPr>
            <w:tcW w:w="3260" w:type="dxa"/>
            <w:vAlign w:val="bottom"/>
          </w:tcPr>
          <w:p>
            <w:pPr>
              <w:jc w:val="center"/>
              <w:ind w:left="50"/>
              <w:spacing w:after="0"/>
              <w:rPr>
                <w:sz w:val="20"/>
                <w:szCs w:val="20"/>
                <w:color w:val="auto"/>
              </w:rPr>
            </w:pPr>
            <w:r>
              <w:rPr>
                <w:rFonts w:ascii="Arial" w:cs="Arial" w:eastAsia="Arial" w:hAnsi="Arial"/>
                <w:sz w:val="18"/>
                <w:szCs w:val="18"/>
                <w:color w:val="auto"/>
                <w:w w:val="93"/>
              </w:rPr>
              <w:t>Maximum of 3.0 times</w:t>
            </w:r>
          </w:p>
        </w:tc>
        <w:tc>
          <w:tcPr>
            <w:tcW w:w="3460" w:type="dxa"/>
            <w:vAlign w:val="bottom"/>
          </w:tcPr>
          <w:p>
            <w:pPr>
              <w:jc w:val="center"/>
              <w:spacing w:after="0"/>
              <w:rPr>
                <w:sz w:val="20"/>
                <w:szCs w:val="20"/>
                <w:color w:val="auto"/>
              </w:rPr>
            </w:pPr>
            <w:r>
              <w:rPr>
                <w:rFonts w:ascii="Arial" w:cs="Arial" w:eastAsia="Arial" w:hAnsi="Arial"/>
                <w:sz w:val="18"/>
                <w:szCs w:val="18"/>
                <w:color w:val="auto"/>
                <w:w w:val="89"/>
              </w:rPr>
              <w:t>0 times</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2016, borrowings available under the TD Bank Credit facility were $20,000,000.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Dividend Payments</w:t>
      </w:r>
    </w:p>
    <w:p>
      <w:pPr>
        <w:spacing w:after="0" w:line="2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In 2012, our Board of Directors initiated a quarterly cash dividend program which is subject to the Board’s approval each quarter. For the three months ended June 30, 2016, our Board of Directors declared a quarterly cash dividend of $0.08 per share, totaling approximately $609,000, which was paid in June 2016 to common shareholders of record at the close of business on May 20, 2016. For the six months ended June 30, 2016, dividends declared and paid totaled $1,232,000, or $0.16 per share. We expect to pay approximately $2,400,000 in cash dividends to our common shareholders during 2016.</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February 25, 2016, our Board of Directors approved a new stock repurchase program (the “Stock Repurchase Program”). Under the Stock Repurchase Program, we are authorized to repurchase up to $5,000,000 of our outstanding shares of common stock from time to time in the open market through December 31, 2017 at prevailing market prices based on market conditions, share price and other factors. We use the cost method to account for treasury stock purchases, under which the price paid for the stock is charged to the treasury stock account. Repurchases of our common stock are accounted for as of the settlement date. During the six months ended June 30, 2016, we purchased 287,791 shares of our common stock for approximately $2,273,000 at an average price per share of $7.90.</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0" w:name="page21"/>
    <w:bookmarkEnd w:id="20"/>
    <w:p>
      <w:pPr>
        <w:jc w:val="both"/>
        <w:spacing w:after="0" w:line="259" w:lineRule="auto"/>
        <w:rPr>
          <w:sz w:val="20"/>
          <w:szCs w:val="20"/>
          <w:color w:val="auto"/>
        </w:rPr>
      </w:pPr>
      <w:r>
        <w:rPr>
          <w:rFonts w:ascii="Arial" w:cs="Arial" w:eastAsia="Arial" w:hAnsi="Arial"/>
          <w:sz w:val="18"/>
          <w:szCs w:val="18"/>
          <w:color w:val="auto"/>
        </w:rPr>
        <w:t>During the six months ended June 30, 2015 we repurchased 166,553 shares of our common stock for approximately $1,020,000 at an average price per share of $6.12 under a prior stock repurchase program that expired on July 31, 2015. Under the expired repurchase program, we were authorized to repurchase up to $7,500,000 of our outstanding shares of common stock from time to time in the open market, depending on market conditions, share price and other factors.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Resource Sufficiency</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that our cash and cash equivalents on hand, cash flows generated from operating activities and borrowings available under our TD Bank Credit Facility will provide sufficient resources to meet our working capital needs, finance our capital expenditures and dividend payments and meet our liquidity requirements through at least the next twelve months.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 Off-Balance Sheet Arrangements</w:t>
      </w:r>
    </w:p>
    <w:p>
      <w:pPr>
        <w:spacing w:after="0" w:line="2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The disclosure of payments we have committed to make under our contractual obligations is set forth under the heading "Management's Discussion and Analysis of Financial Condition and Results of Operations—Contractual Obligations" in our Annual Report on Form 10-K for the fiscal year ended December 31, 2015.</w:t>
      </w:r>
    </w:p>
    <w:p>
      <w:pPr>
        <w:spacing w:after="0" w:line="2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14, 2016 we signed Amendment No. 2 to the lease agreement for our facility in Ithaca, New York with Bomax Properties, LLC to extend our lease in Ithaca to May 31, 2021.</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than the items mentioned above, there have been no other material changes in our contractual obligations outside the ordinary course of business since December 31, 2015. We have no material off-balance sheet arrangements as defined in Item 303(a)(4)(ii) of Regulation S-K.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disclosure of our exposure to market risk is set forth under the heading “Quantitative and Qualitative Disclosures about Market Risk” in our Annual Report on Form 10-K for the fiscal year ended December 31, 2015. There has been no material change in our exposure to market risk during the six months ended June 30, 2016.</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management, with the participation of our Chief Executive Officer and Chief Financial Officer (our principal executive officer and principal financial officer, respectively), evaluated the effectiveness of our disclosure controls and procedures as of June 30, 2016.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recognized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2016, our Chief Executive Officer and Chief Financial Officer concluded that, as of such date, our disclosure controls and procedures were effective at the reasonable assurance level.</w:t>
      </w:r>
    </w:p>
    <w:p>
      <w:pPr>
        <w:spacing w:after="0" w:line="20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No change in our internal control over financial reporting (as defined in Rules 13a-15(f) and 15d-15(f) under the Exchange Act) occurred during the fiscal quarter ended June 30, 2016 that has materially affected, or is reasonably likely to materially affect, our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a description of our previously reported legal proceedings refer to Part I, Item 3 of our Annual Report on Form 10-K for the year ended December 31, 2015. There have been no material changes from the legal proceedings previously disclosed in that Annual Report on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Information regarding risk factors appears in Item 1A of our Annual Report on Form 10-K for the year ended December 31, 2015. There have been no material changes from the risk factors previously disclosed in that Annual Report on Form 10-K. The risks described in our Annual Report on Form 10-K are not the only risks facing our Company. Additional risks and uncertainties not currently known to us or that we currently deem to be immaterial also may materially adversely affect our business, financial condition or future results.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25, 2016, our Board of Directors approved the Stock Repurchase Program. Under the Stock Repurchase Program, we are authorized to repurchase up to $5,000,000 of our outstanding shares of common stock from time to time in the open market through December 31, 2017 at prevailing market prices based on market conditions, share price and other factors. During the six months ended June 30, 2016, we purchased 287,791 shares of our common stock for approximately $2,273,000 at an average price per share of $7.90. As of June 30, 2016, approximately $2,727,000 remains authorized for future repurchase under the Stock Repurchase Program. The following table summarizes the repurchase of our common stock in the three months ended June 30, 2016:</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Approximate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Total Number of</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Dollar Value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Shares Purchased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Shares that May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as Part of</w:t>
            </w:r>
          </w:p>
        </w:tc>
        <w:tc>
          <w:tcPr>
            <w:tcW w:w="120" w:type="dxa"/>
            <w:vAlign w:val="bottom"/>
          </w:tcPr>
          <w:p>
            <w:pPr>
              <w:spacing w:after="0"/>
              <w:rPr>
                <w:sz w:val="18"/>
                <w:szCs w:val="18"/>
                <w:color w:val="auto"/>
              </w:rPr>
            </w:pPr>
          </w:p>
        </w:tc>
        <w:tc>
          <w:tcPr>
            <w:tcW w:w="1380" w:type="dxa"/>
            <w:vAlign w:val="bottom"/>
            <w:gridSpan w:val="3"/>
          </w:tcPr>
          <w:p>
            <w:pPr>
              <w:jc w:val="center"/>
              <w:ind w:right="20"/>
              <w:spacing w:after="0"/>
              <w:rPr>
                <w:sz w:val="20"/>
                <w:szCs w:val="20"/>
                <w:color w:val="auto"/>
              </w:rPr>
            </w:pPr>
            <w:r>
              <w:rPr>
                <w:rFonts w:ascii="Arial" w:cs="Arial" w:eastAsia="Arial" w:hAnsi="Arial"/>
                <w:sz w:val="18"/>
                <w:szCs w:val="18"/>
                <w:color w:val="auto"/>
                <w:w w:val="88"/>
              </w:rPr>
              <w:t>Yet Be Purchased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Publicly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under the Stock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w w:val="96"/>
              </w:rPr>
              <w:t>Total Number of</w:t>
            </w:r>
          </w:p>
        </w:tc>
        <w:tc>
          <w:tcPr>
            <w:tcW w:w="120" w:type="dxa"/>
            <w:vAlign w:val="bottom"/>
          </w:tcPr>
          <w:p>
            <w:pPr>
              <w:spacing w:after="0"/>
              <w:rPr>
                <w:sz w:val="18"/>
                <w:szCs w:val="18"/>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8"/>
                <w:szCs w:val="18"/>
                <w:color w:val="auto"/>
                <w:w w:val="91"/>
              </w:rPr>
              <w:t>Average Price</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Announced Plans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Repurchase</w:t>
            </w: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Period</w:t>
            </w:r>
          </w:p>
        </w:tc>
        <w:tc>
          <w:tcPr>
            <w:tcW w:w="120" w:type="dxa"/>
            <w:vAlign w:val="bottom"/>
          </w:tcPr>
          <w:p>
            <w:pPr>
              <w:spacing w:after="0"/>
              <w:rPr>
                <w:sz w:val="20"/>
                <w:szCs w:val="20"/>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w w:val="85"/>
              </w:rPr>
              <w:t>Shares Purchased</w:t>
            </w:r>
          </w:p>
        </w:tc>
        <w:tc>
          <w:tcPr>
            <w:tcW w:w="120" w:type="dxa"/>
            <w:vAlign w:val="bottom"/>
          </w:tcPr>
          <w:p>
            <w:pPr>
              <w:spacing w:after="0"/>
              <w:rPr>
                <w:sz w:val="20"/>
                <w:szCs w:val="20"/>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Paid per Share</w:t>
            </w: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or Programs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Program</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April 1, 2016 – April 30, 2016</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70,358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8.43</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70,358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3,897,000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May 1, 2016 – May 31, 2016</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50,511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8.21</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50,511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3,482,000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June 1, 2016 – June 30, 2016</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103,852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7.27</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103,852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2,727,000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224,721</w:t>
            </w:r>
          </w:p>
        </w:tc>
        <w:tc>
          <w:tcPr>
            <w:tcW w:w="240" w:type="dxa"/>
            <w:vAlign w:val="bottom"/>
          </w:tcPr>
          <w:p>
            <w:pPr>
              <w:spacing w:after="0"/>
              <w:rPr>
                <w:sz w:val="18"/>
                <w:szCs w:val="18"/>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7.84</w:t>
            </w:r>
          </w:p>
        </w:tc>
        <w:tc>
          <w:tcPr>
            <w:tcW w:w="14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224,721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Exhibit 10.1</w:t>
            </w:r>
          </w:p>
        </w:tc>
        <w:tc>
          <w:tcPr>
            <w:tcW w:w="10160" w:type="dxa"/>
            <w:vAlign w:val="bottom"/>
          </w:tcPr>
          <w:p>
            <w:pPr>
              <w:ind w:left="360"/>
              <w:spacing w:after="0"/>
              <w:rPr>
                <w:sz w:val="20"/>
                <w:szCs w:val="20"/>
                <w:color w:val="auto"/>
              </w:rPr>
            </w:pPr>
            <w:r>
              <w:rPr>
                <w:rFonts w:ascii="Arial" w:cs="Arial" w:eastAsia="Arial" w:hAnsi="Arial"/>
                <w:sz w:val="18"/>
                <w:szCs w:val="18"/>
                <w:color w:val="auto"/>
              </w:rPr>
              <w:t>2014 Equity Incentive Plan Performance-based Restricted Stock Unit Agreement</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Exhibit 31.1</w:t>
            </w:r>
          </w:p>
        </w:tc>
        <w:tc>
          <w:tcPr>
            <w:tcW w:w="10160" w:type="dxa"/>
            <w:vAlign w:val="bottom"/>
          </w:tcPr>
          <w:p>
            <w:pPr>
              <w:ind w:left="36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Exhibit 31.2</w:t>
            </w:r>
          </w:p>
        </w:tc>
        <w:tc>
          <w:tcPr>
            <w:tcW w:w="10160" w:type="dxa"/>
            <w:vAlign w:val="bottom"/>
          </w:tcPr>
          <w:p>
            <w:pPr>
              <w:ind w:left="36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Exhibit 32.1</w:t>
            </w:r>
          </w:p>
        </w:tc>
        <w:tc>
          <w:tcPr>
            <w:tcW w:w="10160" w:type="dxa"/>
            <w:vAlign w:val="bottom"/>
          </w:tcPr>
          <w:p>
            <w:pPr>
              <w:ind w:left="36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101.INS</w:t>
            </w:r>
          </w:p>
        </w:tc>
        <w:tc>
          <w:tcPr>
            <w:tcW w:w="10160" w:type="dxa"/>
            <w:vAlign w:val="bottom"/>
          </w:tcPr>
          <w:p>
            <w:pPr>
              <w:ind w:left="360"/>
              <w:spacing w:after="0"/>
              <w:rPr>
                <w:sz w:val="20"/>
                <w:szCs w:val="20"/>
                <w:color w:val="auto"/>
              </w:rPr>
            </w:pPr>
            <w:r>
              <w:rPr>
                <w:rFonts w:ascii="Arial" w:cs="Arial" w:eastAsia="Arial" w:hAnsi="Arial"/>
                <w:sz w:val="18"/>
                <w:szCs w:val="18"/>
                <w:color w:val="auto"/>
              </w:rPr>
              <w:t>XBRL Instance Document.</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101.SCH</w:t>
            </w:r>
          </w:p>
        </w:tc>
        <w:tc>
          <w:tcPr>
            <w:tcW w:w="10160" w:type="dxa"/>
            <w:vAlign w:val="bottom"/>
          </w:tcPr>
          <w:p>
            <w:pPr>
              <w:ind w:left="36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101.CAL</w:t>
            </w:r>
          </w:p>
        </w:tc>
        <w:tc>
          <w:tcPr>
            <w:tcW w:w="10160" w:type="dxa"/>
            <w:vAlign w:val="bottom"/>
          </w:tcPr>
          <w:p>
            <w:pPr>
              <w:ind w:left="36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101.DEF</w:t>
            </w:r>
          </w:p>
        </w:tc>
        <w:tc>
          <w:tcPr>
            <w:tcW w:w="10160" w:type="dxa"/>
            <w:vAlign w:val="bottom"/>
          </w:tcPr>
          <w:p>
            <w:pPr>
              <w:ind w:left="360"/>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101.LAB</w:t>
            </w:r>
          </w:p>
        </w:tc>
        <w:tc>
          <w:tcPr>
            <w:tcW w:w="10160" w:type="dxa"/>
            <w:vAlign w:val="bottom"/>
          </w:tcPr>
          <w:p>
            <w:pPr>
              <w:ind w:left="36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101.PRE</w:t>
            </w:r>
          </w:p>
        </w:tc>
        <w:tc>
          <w:tcPr>
            <w:tcW w:w="10160" w:type="dxa"/>
            <w:vAlign w:val="bottom"/>
          </w:tcPr>
          <w:p>
            <w:pPr>
              <w:ind w:left="36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608"/>
        </w:trPr>
        <w:tc>
          <w:tcPr>
            <w:tcW w:w="1260" w:type="dxa"/>
            <w:vAlign w:val="bottom"/>
          </w:tcPr>
          <w:p>
            <w:pPr>
              <w:spacing w:after="0"/>
              <w:rPr>
                <w:sz w:val="24"/>
                <w:szCs w:val="24"/>
                <w:color w:val="auto"/>
              </w:rPr>
            </w:pPr>
          </w:p>
        </w:tc>
        <w:tc>
          <w:tcPr>
            <w:tcW w:w="10160" w:type="dxa"/>
            <w:vAlign w:val="bottom"/>
          </w:tcPr>
          <w:p>
            <w:pPr>
              <w:ind w:left="4360"/>
              <w:spacing w:after="0"/>
              <w:rPr>
                <w:sz w:val="20"/>
                <w:szCs w:val="20"/>
                <w:color w:val="auto"/>
              </w:rPr>
            </w:pPr>
            <w:r>
              <w:rPr>
                <w:rFonts w:ascii="Arial" w:cs="Arial" w:eastAsia="Arial" w:hAnsi="Arial"/>
                <w:sz w:val="18"/>
                <w:szCs w:val="18"/>
                <w:color w:val="auto"/>
              </w:rPr>
              <w:t>22</w:t>
            </w:r>
          </w:p>
        </w:tc>
      </w:tr>
      <w:tr>
        <w:trPr>
          <w:trHeight w:val="118"/>
        </w:trPr>
        <w:tc>
          <w:tcPr>
            <w:tcW w:w="1260" w:type="dxa"/>
            <w:vAlign w:val="bottom"/>
            <w:tcBorders>
              <w:bottom w:val="single" w:sz="8" w:color="808080"/>
            </w:tcBorders>
          </w:tcPr>
          <w:p>
            <w:pPr>
              <w:spacing w:after="0"/>
              <w:rPr>
                <w:sz w:val="10"/>
                <w:szCs w:val="10"/>
                <w:color w:val="auto"/>
              </w:rPr>
            </w:pPr>
          </w:p>
        </w:tc>
        <w:tc>
          <w:tcPr>
            <w:tcW w:w="101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00" w:lineRule="exact"/>
        <w:rPr>
          <w:sz w:val="20"/>
          <w:szCs w:val="20"/>
          <w:color w:val="auto"/>
        </w:rPr>
      </w:pPr>
    </w:p>
    <w:p>
      <w:pPr>
        <w:spacing w:after="0" w:line="29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580" w:type="dxa"/>
            <w:vAlign w:val="bottom"/>
          </w:tcPr>
          <w:p>
            <w:pPr>
              <w:spacing w:after="0"/>
              <w:rPr>
                <w:sz w:val="20"/>
                <w:szCs w:val="20"/>
                <w:color w:val="auto"/>
              </w:rPr>
            </w:pPr>
          </w:p>
        </w:tc>
        <w:tc>
          <w:tcPr>
            <w:tcW w:w="5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TRANSACT TECHNOLOGIES INCORPORATED</w:t>
            </w:r>
          </w:p>
        </w:tc>
      </w:tr>
      <w:tr>
        <w:trPr>
          <w:trHeight w:val="230"/>
        </w:trPr>
        <w:tc>
          <w:tcPr>
            <w:tcW w:w="5580" w:type="dxa"/>
            <w:vAlign w:val="bottom"/>
          </w:tcPr>
          <w:p>
            <w:pPr>
              <w:spacing w:after="0"/>
              <w:rPr>
                <w:sz w:val="20"/>
                <w:szCs w:val="20"/>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(Registrant)</w:t>
            </w:r>
          </w:p>
        </w:tc>
      </w:tr>
      <w:tr>
        <w:trPr>
          <w:trHeight w:val="641"/>
        </w:trPr>
        <w:tc>
          <w:tcPr>
            <w:tcW w:w="5580" w:type="dxa"/>
            <w:vAlign w:val="bottom"/>
          </w:tcPr>
          <w:p>
            <w:pPr>
              <w:spacing w:after="0"/>
              <w:rPr>
                <w:sz w:val="24"/>
                <w:szCs w:val="24"/>
                <w:color w:val="auto"/>
              </w:rPr>
            </w:pPr>
          </w:p>
        </w:tc>
        <w:tc>
          <w:tcPr>
            <w:tcW w:w="5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A. DeMartino</w:t>
            </w:r>
          </w:p>
        </w:tc>
      </w:tr>
      <w:tr>
        <w:trPr>
          <w:trHeight w:val="202"/>
        </w:trPr>
        <w:tc>
          <w:tcPr>
            <w:tcW w:w="5580" w:type="dxa"/>
            <w:vAlign w:val="bottom"/>
          </w:tcPr>
          <w:p>
            <w:pPr>
              <w:spacing w:after="0" w:line="201" w:lineRule="exact"/>
              <w:rPr>
                <w:sz w:val="20"/>
                <w:szCs w:val="20"/>
                <w:color w:val="auto"/>
              </w:rPr>
            </w:pPr>
            <w:r>
              <w:rPr>
                <w:rFonts w:ascii="Arial" w:cs="Arial" w:eastAsia="Arial" w:hAnsi="Arial"/>
                <w:sz w:val="18"/>
                <w:szCs w:val="18"/>
                <w:color w:val="auto"/>
              </w:rPr>
              <w:t>August 8, 2016</w:t>
            </w:r>
          </w:p>
        </w:tc>
        <w:tc>
          <w:tcPr>
            <w:tcW w:w="5840" w:type="dxa"/>
            <w:vAlign w:val="bottom"/>
          </w:tcPr>
          <w:p>
            <w:pPr>
              <w:spacing w:after="0" w:line="201" w:lineRule="exact"/>
              <w:rPr>
                <w:sz w:val="20"/>
                <w:szCs w:val="20"/>
                <w:color w:val="auto"/>
              </w:rPr>
            </w:pPr>
            <w:r>
              <w:rPr>
                <w:rFonts w:ascii="Arial" w:cs="Arial" w:eastAsia="Arial" w:hAnsi="Arial"/>
                <w:sz w:val="18"/>
                <w:szCs w:val="18"/>
                <w:color w:val="auto"/>
              </w:rPr>
              <w:t>Steven A. DeMartino</w:t>
            </w:r>
          </w:p>
        </w:tc>
      </w:tr>
      <w:tr>
        <w:trPr>
          <w:trHeight w:val="216"/>
        </w:trPr>
        <w:tc>
          <w:tcPr>
            <w:tcW w:w="558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President, Chief Financial Officer, Treasurer and Secretary</w:t>
            </w:r>
          </w:p>
        </w:tc>
      </w:tr>
      <w:tr>
        <w:trPr>
          <w:trHeight w:val="230"/>
        </w:trPr>
        <w:tc>
          <w:tcPr>
            <w:tcW w:w="5580" w:type="dxa"/>
            <w:vAlign w:val="bottom"/>
          </w:tcPr>
          <w:p>
            <w:pPr>
              <w:spacing w:after="0"/>
              <w:rPr>
                <w:sz w:val="20"/>
                <w:szCs w:val="20"/>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p>
        </w:tc>
        <w:tc>
          <w:tcPr>
            <w:tcW w:w="8740" w:type="dxa"/>
            <w:vAlign w:val="bottom"/>
          </w:tcPr>
          <w:p>
            <w:pPr>
              <w:ind w:left="4200"/>
              <w:spacing w:after="0"/>
              <w:rPr>
                <w:sz w:val="20"/>
                <w:szCs w:val="20"/>
                <w:color w:val="auto"/>
              </w:rPr>
            </w:pPr>
            <w:r>
              <w:rPr>
                <w:rFonts w:ascii="Arial" w:cs="Arial" w:eastAsia="Arial" w:hAnsi="Arial"/>
                <w:sz w:val="18"/>
                <w:szCs w:val="18"/>
                <w:color w:val="auto"/>
              </w:rPr>
              <w:t>EXHIBIT LIST</w:t>
            </w:r>
          </w:p>
        </w:tc>
      </w:tr>
      <w:tr>
        <w:trPr>
          <w:trHeight w:val="459"/>
        </w:trPr>
        <w:tc>
          <w:tcPr>
            <w:tcW w:w="9680" w:type="dxa"/>
            <w:vAlign w:val="bottom"/>
            <w:gridSpan w:val="2"/>
          </w:tcPr>
          <w:p>
            <w:pPr>
              <w:spacing w:after="0"/>
              <w:rPr>
                <w:sz w:val="20"/>
                <w:szCs w:val="20"/>
                <w:color w:val="auto"/>
              </w:rPr>
            </w:pPr>
            <w:r>
              <w:rPr>
                <w:rFonts w:ascii="Arial" w:cs="Arial" w:eastAsia="Arial" w:hAnsi="Arial"/>
                <w:sz w:val="18"/>
                <w:szCs w:val="18"/>
                <w:color w:val="auto"/>
              </w:rPr>
              <w:t>The following exhibits are filed herewith.</w:t>
            </w:r>
          </w:p>
        </w:tc>
      </w:tr>
      <w:tr>
        <w:trPr>
          <w:trHeight w:val="466"/>
        </w:trPr>
        <w:tc>
          <w:tcPr>
            <w:tcW w:w="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Exhibit</w:t>
            </w:r>
          </w:p>
        </w:tc>
        <w:tc>
          <w:tcPr>
            <w:tcW w:w="8740" w:type="dxa"/>
            <w:vAlign w:val="bottom"/>
          </w:tcPr>
          <w:p>
            <w:pPr>
              <w:spacing w:after="0"/>
              <w:rPr>
                <w:sz w:val="24"/>
                <w:szCs w:val="24"/>
                <w:color w:val="auto"/>
              </w:rPr>
            </w:pP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10.1</w:t>
            </w:r>
          </w:p>
        </w:tc>
        <w:tc>
          <w:tcPr>
            <w:tcW w:w="8740" w:type="dxa"/>
            <w:vAlign w:val="bottom"/>
          </w:tcPr>
          <w:p>
            <w:pPr>
              <w:ind w:left="100"/>
              <w:spacing w:after="0"/>
              <w:rPr>
                <w:sz w:val="20"/>
                <w:szCs w:val="20"/>
                <w:color w:val="auto"/>
              </w:rPr>
            </w:pPr>
            <w:r>
              <w:rPr>
                <w:rFonts w:ascii="Arial" w:cs="Arial" w:eastAsia="Arial" w:hAnsi="Arial"/>
                <w:sz w:val="18"/>
                <w:szCs w:val="18"/>
                <w:color w:val="auto"/>
              </w:rPr>
              <w:t>2014 Equity Incentive Plan Performance-based Restricted Stock Unit Agreement.</w:t>
            </w:r>
          </w:p>
        </w:tc>
      </w:tr>
      <w:tr>
        <w:trPr>
          <w:trHeight w:val="418"/>
        </w:trPr>
        <w:tc>
          <w:tcPr>
            <w:tcW w:w="940" w:type="dxa"/>
            <w:vAlign w:val="bottom"/>
          </w:tcPr>
          <w:p>
            <w:pPr>
              <w:spacing w:after="0"/>
              <w:rPr>
                <w:sz w:val="20"/>
                <w:szCs w:val="20"/>
                <w:color w:val="auto"/>
              </w:rPr>
            </w:pPr>
            <w:r>
              <w:rPr>
                <w:rFonts w:ascii="Arial" w:cs="Arial" w:eastAsia="Arial" w:hAnsi="Arial"/>
                <w:sz w:val="18"/>
                <w:szCs w:val="18"/>
                <w:color w:val="auto"/>
              </w:rPr>
              <w:t>31.1</w:t>
            </w:r>
          </w:p>
        </w:tc>
        <w:tc>
          <w:tcPr>
            <w:tcW w:w="8740" w:type="dxa"/>
            <w:vAlign w:val="bottom"/>
          </w:tcPr>
          <w:p>
            <w:pPr>
              <w:ind w:left="10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31.2</w:t>
            </w:r>
          </w:p>
        </w:tc>
        <w:tc>
          <w:tcPr>
            <w:tcW w:w="8740" w:type="dxa"/>
            <w:vAlign w:val="bottom"/>
          </w:tcPr>
          <w:p>
            <w:pPr>
              <w:ind w:left="10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32.1</w:t>
            </w:r>
          </w:p>
        </w:tc>
        <w:tc>
          <w:tcPr>
            <w:tcW w:w="8740" w:type="dxa"/>
            <w:vAlign w:val="bottom"/>
          </w:tcPr>
          <w:p>
            <w:pPr>
              <w:ind w:left="100"/>
              <w:spacing w:after="0"/>
              <w:rPr>
                <w:sz w:val="20"/>
                <w:szCs w:val="20"/>
                <w:color w:val="auto"/>
              </w:rPr>
            </w:pPr>
            <w:r>
              <w:rPr>
                <w:rFonts w:ascii="Arial" w:cs="Arial" w:eastAsia="Arial" w:hAnsi="Arial"/>
                <w:sz w:val="18"/>
                <w:szCs w:val="18"/>
                <w:color w:val="auto"/>
                <w:w w:val="90"/>
              </w:rPr>
              <w:t>Certification pursuant to 18 U.S.C. Section 1350 as adopted pursuant to section 906 of the Sarbanes-Oxley Act of 2002.</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101.INS</w:t>
            </w:r>
          </w:p>
        </w:tc>
        <w:tc>
          <w:tcPr>
            <w:tcW w:w="8740" w:type="dxa"/>
            <w:vAlign w:val="bottom"/>
          </w:tcPr>
          <w:p>
            <w:pPr>
              <w:ind w:left="100"/>
              <w:spacing w:after="0"/>
              <w:rPr>
                <w:sz w:val="20"/>
                <w:szCs w:val="20"/>
                <w:color w:val="auto"/>
              </w:rPr>
            </w:pPr>
            <w:r>
              <w:rPr>
                <w:rFonts w:ascii="Arial" w:cs="Arial" w:eastAsia="Arial" w:hAnsi="Arial"/>
                <w:sz w:val="18"/>
                <w:szCs w:val="18"/>
                <w:color w:val="auto"/>
              </w:rPr>
              <w:t>XBRL Instance Document.</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101.SCH</w:t>
            </w:r>
          </w:p>
        </w:tc>
        <w:tc>
          <w:tcPr>
            <w:tcW w:w="8740" w:type="dxa"/>
            <w:vAlign w:val="bottom"/>
          </w:tcPr>
          <w:p>
            <w:pPr>
              <w:ind w:left="10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101.CAL</w:t>
            </w:r>
          </w:p>
        </w:tc>
        <w:tc>
          <w:tcPr>
            <w:tcW w:w="8740" w:type="dxa"/>
            <w:vAlign w:val="bottom"/>
          </w:tcPr>
          <w:p>
            <w:pPr>
              <w:ind w:left="10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101.DEF</w:t>
            </w:r>
          </w:p>
        </w:tc>
        <w:tc>
          <w:tcPr>
            <w:tcW w:w="8740" w:type="dxa"/>
            <w:vAlign w:val="bottom"/>
          </w:tcPr>
          <w:p>
            <w:pPr>
              <w:ind w:left="100"/>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101.LAB</w:t>
            </w:r>
          </w:p>
        </w:tc>
        <w:tc>
          <w:tcPr>
            <w:tcW w:w="8740" w:type="dxa"/>
            <w:vAlign w:val="bottom"/>
          </w:tcPr>
          <w:p>
            <w:pPr>
              <w:ind w:left="10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101.PRE</w:t>
            </w:r>
          </w:p>
        </w:tc>
        <w:tc>
          <w:tcPr>
            <w:tcW w:w="8740" w:type="dxa"/>
            <w:vAlign w:val="bottom"/>
          </w:tcPr>
          <w:p>
            <w:pPr>
              <w:ind w:left="10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7" w:right="1440" w:bottom="1440" w:gutter="0" w:footer="0" w:header="0"/>
        </w:sectPr>
      </w:pPr>
    </w:p>
    <w:bookmarkStart w:id="24" w:name="page25"/>
    <w:bookmarkEnd w:id="2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TRANSACT TECHNOLOGIES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2014 EQUITY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PERFORMANCE-BASED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AGREEMENT</w:t>
      </w:r>
    </w:p>
    <w:p>
      <w:pPr>
        <w:spacing w:after="0" w:line="200" w:lineRule="exact"/>
        <w:rPr>
          <w:sz w:val="20"/>
          <w:szCs w:val="20"/>
          <w:color w:val="auto"/>
        </w:rPr>
      </w:pPr>
    </w:p>
    <w:p>
      <w:pPr>
        <w:spacing w:after="0" w:line="2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This agreement (the “Agreement”) evidences an award (the “Award”) of performance-based restricted stock units granted on [</w:t>
      </w:r>
      <w:r>
        <w:rPr>
          <w:rFonts w:ascii="Arial" w:cs="Arial" w:eastAsia="Arial" w:hAnsi="Arial"/>
          <w:sz w:val="18"/>
          <w:szCs w:val="18"/>
          <w:b w:val="1"/>
          <w:bCs w:val="1"/>
          <w:color w:val="auto"/>
        </w:rPr>
        <w:t>INSERT DATE]</w:t>
      </w:r>
      <w:r>
        <w:rPr>
          <w:rFonts w:ascii="Arial" w:cs="Arial" w:eastAsia="Arial" w:hAnsi="Arial"/>
          <w:sz w:val="18"/>
          <w:szCs w:val="18"/>
          <w:color w:val="auto"/>
        </w:rPr>
        <w:t xml:space="preserve"> to the Participant named below (“Participant”) pursuant to and subject to the terms of the 2014 Equity Incentive Plan, as from time to time amended (the “Plan”) of TransAct Technologies Incorporated (the “Company”). The Agreement is subject in its entirety to the provisions of the Plan, including, without limitation, the forfeiture and clawback provisions of Section 6(a)(5), which are hereby incorporated by reference in this Agreement. In the event of any conflict between the terms of this Agreement and the Plan, the terms of the Plan shall control. Except as otherwise defined herein, all capitalized terms used herein have the same meaning as in the Plan.</w:t>
      </w:r>
    </w:p>
    <w:p>
      <w:pPr>
        <w:spacing w:after="0" w:line="215" w:lineRule="exact"/>
        <w:rPr>
          <w:sz w:val="20"/>
          <w:szCs w:val="20"/>
          <w:color w:val="auto"/>
        </w:rPr>
      </w:pPr>
    </w:p>
    <w:p>
      <w:pPr>
        <w:spacing w:after="0"/>
        <w:tabs>
          <w:tab w:leader="none" w:pos="760" w:val="left"/>
          <w:tab w:leader="none" w:pos="384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8"/>
          <w:szCs w:val="18"/>
          <w:b w:val="1"/>
          <w:bCs w:val="1"/>
          <w:color w:val="auto"/>
        </w:rPr>
        <w:t>PARTICIPANT.</w:t>
      </w:r>
      <w:r>
        <w:rPr>
          <w:sz w:val="20"/>
          <w:szCs w:val="20"/>
          <w:color w:val="auto"/>
        </w:rPr>
        <w:tab/>
      </w:r>
      <w:r>
        <w:rPr>
          <w:rFonts w:ascii="Arial" w:cs="Arial" w:eastAsia="Arial" w:hAnsi="Arial"/>
          <w:sz w:val="18"/>
          <w:szCs w:val="18"/>
          <w:b w:val="1"/>
          <w:bCs w:val="1"/>
          <w:u w:val="single" w:color="auto"/>
          <w:color w:val="auto"/>
        </w:rPr>
        <w:t>[INSERT NAME]</w:t>
      </w:r>
    </w:p>
    <w:p>
      <w:pPr>
        <w:spacing w:after="0" w:line="252" w:lineRule="exact"/>
        <w:rPr>
          <w:sz w:val="20"/>
          <w:szCs w:val="20"/>
          <w:color w:val="auto"/>
        </w:rPr>
      </w:pPr>
    </w:p>
    <w:p>
      <w:pPr>
        <w:ind w:left="780" w:hanging="772"/>
        <w:spacing w:after="0"/>
        <w:tabs>
          <w:tab w:leader="none" w:pos="7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AWARD.</w:t>
      </w:r>
    </w:p>
    <w:p>
      <w:pPr>
        <w:spacing w:after="0" w:line="25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hereby grants to Participant, on the date of grant specified in Section 4, and subject to the terms and conditions of the Plan and the Award, the number of Restricted Stock Units specified in Section 3, subject to adjustment pursuant to Section 7. Each Restricted Stock Unit represents the right to receive one share of Stock, but only if and when a Restricted Stock Unit becomes vested under Section 5. Except as otherwise provided herein, if the Participant’s employment with the Company terminates for any reason prior to the date on which a Restricted Stock Unit becomes vested under Section 5, then any such unvested Restricted Stock Units shall be immediately forfeited automatically. The Award is unfunded and unsecured, and Participant’s rights to any Stock hereunder shall be no greater than those of an unsecured general creditor of the Company. The Award may not be assigned, transferred, pledged, hypothecated or otherwise disposed of, except for disposition at death as provided below. The Award does not entitle Participant to any rights as a shareholder with respect to any shares of Stock subject to the Award, unless and until such shares of Stock have been transferred to Participant.</w:t>
      </w:r>
    </w:p>
    <w:p>
      <w:pPr>
        <w:spacing w:after="0" w:line="189" w:lineRule="exact"/>
        <w:rPr>
          <w:sz w:val="20"/>
          <w:szCs w:val="20"/>
          <w:color w:val="auto"/>
        </w:rPr>
      </w:pPr>
    </w:p>
    <w:p>
      <w:pPr>
        <w:ind w:left="780" w:hanging="772"/>
        <w:spacing w:after="0"/>
        <w:tabs>
          <w:tab w:leader="none" w:pos="7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TARGET NUMBER OF RESTRICTED STOCK UNITS: [INSERT NUMBER]</w:t>
      </w:r>
    </w:p>
    <w:p>
      <w:pPr>
        <w:spacing w:after="0" w:line="252" w:lineRule="exact"/>
        <w:rPr>
          <w:rFonts w:ascii="Arial" w:cs="Arial" w:eastAsia="Arial" w:hAnsi="Arial"/>
          <w:sz w:val="18"/>
          <w:szCs w:val="18"/>
          <w:b w:val="1"/>
          <w:bCs w:val="1"/>
          <w:color w:val="auto"/>
        </w:rPr>
      </w:pPr>
    </w:p>
    <w:p>
      <w:pPr>
        <w:ind w:left="780" w:hanging="772"/>
        <w:spacing w:after="0"/>
        <w:tabs>
          <w:tab w:leader="none" w:pos="7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DATE OF GRANT OF AWARD: </w:t>
      </w:r>
      <w:r>
        <w:rPr>
          <w:rFonts w:ascii="Arial" w:cs="Arial" w:eastAsia="Arial" w:hAnsi="Arial"/>
          <w:sz w:val="18"/>
          <w:szCs w:val="18"/>
          <w:b w:val="1"/>
          <w:bCs w:val="1"/>
          <w:u w:val="single" w:color="auto"/>
          <w:color w:val="auto"/>
        </w:rPr>
        <w:t>[INSERT DATE]</w:t>
      </w:r>
    </w:p>
    <w:p>
      <w:pPr>
        <w:spacing w:after="0" w:line="252" w:lineRule="exact"/>
        <w:rPr>
          <w:rFonts w:ascii="Arial" w:cs="Arial" w:eastAsia="Arial" w:hAnsi="Arial"/>
          <w:sz w:val="18"/>
          <w:szCs w:val="18"/>
          <w:b w:val="1"/>
          <w:bCs w:val="1"/>
          <w:color w:val="auto"/>
        </w:rPr>
      </w:pPr>
    </w:p>
    <w:p>
      <w:pPr>
        <w:ind w:left="780" w:hanging="772"/>
        <w:spacing w:after="0"/>
        <w:tabs>
          <w:tab w:leader="none" w:pos="7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PERFORMANCE VESTING AND DELIVERY OF SHARES.</w:t>
      </w:r>
    </w:p>
    <w:p>
      <w:pPr>
        <w:spacing w:after="0" w:line="25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The Restricted Stock Units will vest, if at all, based upon achievement of the performance goals set forth in Schedule A on </w:t>
      </w:r>
      <w:r>
        <w:rPr>
          <w:rFonts w:ascii="Arial" w:cs="Arial" w:eastAsia="Arial" w:hAnsi="Arial"/>
          <w:sz w:val="18"/>
          <w:szCs w:val="18"/>
          <w:b w:val="1"/>
          <w:bCs w:val="1"/>
          <w:color w:val="auto"/>
        </w:rPr>
        <w:t>[INSERT DATE OF END OF</w:t>
      </w:r>
      <w:r>
        <w:rPr>
          <w:rFonts w:ascii="Arial" w:cs="Arial" w:eastAsia="Arial" w:hAnsi="Arial"/>
          <w:sz w:val="18"/>
          <w:szCs w:val="18"/>
          <w:color w:val="auto"/>
        </w:rPr>
        <w:t xml:space="preserve"> </w:t>
      </w:r>
      <w:r>
        <w:rPr>
          <w:rFonts w:ascii="Arial" w:cs="Arial" w:eastAsia="Arial" w:hAnsi="Arial"/>
          <w:sz w:val="18"/>
          <w:szCs w:val="18"/>
          <w:b w:val="1"/>
          <w:bCs w:val="1"/>
          <w:color w:val="auto"/>
        </w:rPr>
        <w:t>PERFORMANCE PERIOD]</w:t>
      </w:r>
      <w:r>
        <w:rPr>
          <w:rFonts w:ascii="Arial" w:cs="Arial" w:eastAsia="Arial" w:hAnsi="Arial"/>
          <w:sz w:val="18"/>
          <w:szCs w:val="18"/>
          <w:color w:val="auto"/>
        </w:rPr>
        <w:t>, and subject to the terms of this Agreement. Any Restricted Stock Units earned based on achievement of the specific</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goals set forth in Schedule A shall vest when the Administrator certifies the payout level as a result of such performance achievement, and the shares of Stock representing such vested Restricted Stock Units shall be paid to the Participant or Beneficiary no later than 90 days following the end of the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400685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jc w:val="both"/>
        <w:spacing w:after="0" w:line="270" w:lineRule="auto"/>
        <w:rPr>
          <w:sz w:val="20"/>
          <w:szCs w:val="20"/>
          <w:color w:val="auto"/>
        </w:rPr>
      </w:pPr>
      <w:r>
        <w:rPr>
          <w:rFonts w:ascii="Arial" w:cs="Arial" w:eastAsia="Arial" w:hAnsi="Arial"/>
          <w:sz w:val="17"/>
          <w:szCs w:val="17"/>
          <w:color w:val="auto"/>
        </w:rPr>
        <w:t>Notwithstanding anything else herein to the contrary, if Participant’s employment with the Company ends as a result of Participant’s death or disability, then any unvested Restricted Stock Units shall become fully vested (at target level of performance, if applicable), and the shares of Stock represented by such Restricted Stock Units shall be delivered to the Participant or to the Participant’s Beneficiary (subject to any required tax withholding requirements) within sixty (60) days following such employment termination. A Participant’s Beneficiary shall be designated prior to death in a manner acceptable to the Administrator (or, if no such beneficiary has been so designated, then the Participant’s estate shall be considered to be the Beneficiary for this purpose) (such designated beneficiary or the estate, as the case may be, being herein referred to as Participant’s “Beneficiary”). For this purpose, “disability” shall mean, as determined in the sole and absolute discretion of the Administrator in accordance with Treas. Reg. Section 1.409A-3(i)(4), that the Participant is unable to engage in any substantial gainful activity by reason of any medically determinable physical or mental impairment that can be expected to result in death or can be expected to last for a continuous period of not less than twelve (12) months.</w:t>
      </w:r>
    </w:p>
    <w:p>
      <w:pPr>
        <w:spacing w:after="0" w:line="200" w:lineRule="exact"/>
        <w:rPr>
          <w:sz w:val="20"/>
          <w:szCs w:val="20"/>
          <w:color w:val="auto"/>
        </w:rPr>
      </w:pPr>
    </w:p>
    <w:p>
      <w:pPr>
        <w:spacing w:after="0" w:line="248" w:lineRule="exact"/>
        <w:rPr>
          <w:sz w:val="20"/>
          <w:szCs w:val="20"/>
          <w:color w:val="auto"/>
        </w:rPr>
      </w:pPr>
    </w:p>
    <w:p>
      <w:pPr>
        <w:ind w:left="780" w:hanging="772"/>
        <w:spacing w:after="0"/>
        <w:tabs>
          <w:tab w:leader="none" w:pos="7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DIVIDENDS AND VOTING RIGHTS.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Participant shall not be entitled to any dividends or other distributions, including amounts in lieu of dividends, with respect to shares of Stock subject to the Award, except as to shares of Stock actually transferred to Participant under Section 5 above as to which Participant is the record owner on the record date for the dividend or other distribution. Similarly, the Participant shall have no voting rights with respect to the Restricted Stock Units granted hereunder, except as to shares of Stock actually transferred to Participant under Section 5 above, as to which Participant is the record owner.</w:t>
      </w:r>
    </w:p>
    <w:p>
      <w:pPr>
        <w:spacing w:after="0" w:line="194" w:lineRule="exact"/>
        <w:rPr>
          <w:sz w:val="20"/>
          <w:szCs w:val="20"/>
          <w:color w:val="auto"/>
        </w:rPr>
      </w:pPr>
    </w:p>
    <w:p>
      <w:pPr>
        <w:ind w:left="780" w:hanging="772"/>
        <w:spacing w:after="0"/>
        <w:tabs>
          <w:tab w:leader="none" w:pos="7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Award and the number of Restricted Stock Units subject to the Award are subject to adjustment as provided in Section 7(c) of the Plan.</w:t>
      </w:r>
    </w:p>
    <w:p>
      <w:pPr>
        <w:spacing w:after="0" w:line="248" w:lineRule="exact"/>
        <w:rPr>
          <w:sz w:val="20"/>
          <w:szCs w:val="20"/>
          <w:color w:val="auto"/>
        </w:rPr>
      </w:pPr>
    </w:p>
    <w:p>
      <w:pPr>
        <w:ind w:left="780" w:hanging="772"/>
        <w:spacing w:after="0"/>
        <w:tabs>
          <w:tab w:leader="none" w:pos="7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WITHHOLDING.</w:t>
      </w:r>
    </w:p>
    <w:p>
      <w:pPr>
        <w:spacing w:after="0" w:line="25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Participant or Beneficiary shall, no later than the date on which any share of Stock is transferred to Participant or Beneficiary and as a condition to such transfer, pay to the Company in cash, or make arrangements satisfactory to the Administrator regarding payment of, any and all federal, state, and local taxes of any kind required by law to be withheld with respect to such income. If any taxes are required to be withheld by the Company prior to such transfer of such share of Stock (for example, upon the vesting of the right to receive such share), the Participant or Beneficiary must (i) pay such taxes timely in cash by separate payment, (ii) instruct the Company to withhold the required taxes from other amounts payable to Participant or Beneficiary, (iii) deliver shares of Stock that have a fair market value equal to the required tax amount, or (iv) make other arrangements for the payment of such taxes as the Administrator determines in its sole discretion. If Participant or Beneficiary does not timely elect a method to pay such taxes, the Company may require Participant or Beneficiary to make any required tax payment by any of (ii), (ii) or (iv) above as the Administrator determines in its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7" w:name="page28"/>
    <w:bookmarkEnd w:id="27"/>
    <w:p>
      <w:pPr>
        <w:ind w:left="780" w:hanging="772"/>
        <w:spacing w:after="0"/>
        <w:tabs>
          <w:tab w:leader="none" w:pos="7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SECTION 83(b) NOT APPLICABLE.</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Participant expressly acknowledges that because the Award does not give to Participant a present ownership right in any Stock, but only consists of an unfunded and unsecured promise by the Company to deliver shares of Stock in the future, it is not possible to make a so-called “83(b) election” with respect to the Award.</w:t>
      </w:r>
    </w:p>
    <w:p>
      <w:pPr>
        <w:spacing w:after="0" w:line="204" w:lineRule="exact"/>
        <w:rPr>
          <w:sz w:val="20"/>
          <w:szCs w:val="20"/>
          <w:color w:val="auto"/>
        </w:rPr>
      </w:pPr>
    </w:p>
    <w:p>
      <w:pPr>
        <w:ind w:left="860" w:hanging="852"/>
        <w:spacing w:after="0"/>
        <w:tabs>
          <w:tab w:leader="none" w:pos="8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EFFECT ON EMPLOYMENT.</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Neither the grant of this Award, nor the delivery of any Stock hereunder, will give the Participant any right to be retained in the employ of the Company or any of its Affiliates or affect the right of the Company or any of its Affiliates to discharge or discipline such Participant at any time.</w:t>
      </w:r>
    </w:p>
    <w:p>
      <w:pPr>
        <w:spacing w:after="0" w:line="193" w:lineRule="exact"/>
        <w:rPr>
          <w:sz w:val="20"/>
          <w:szCs w:val="20"/>
          <w:color w:val="auto"/>
        </w:rPr>
      </w:pPr>
    </w:p>
    <w:p>
      <w:pPr>
        <w:ind w:left="860" w:hanging="852"/>
        <w:spacing w:after="0"/>
        <w:tabs>
          <w:tab w:leader="none" w:pos="8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SECTION 409A; LIMITATION OF LIABILITY.</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Award is intended to be exempt from, or to otherwise comply with, Section 409A of the Code, and will be construed and interpreted accordingly. Notwithstanding the foregoing, the Company makes no representations or warranties that the payments and benefits provided under this Award are exempt from or comply with Section 409A, and in no event will the Company, any Affiliate, the Administrator, or any person acting on behalf of the Company, any Affiliate or the Administrator, be liable to the Participant or to the estate or beneficiary of any Participant by reason of the acceleration of income, or any additional tax, penalties, interest or other expenses, asserted by reason of the failure of the Award to satisfy the requirements of Section 409A, or by reason of Section 4999 of the Code, or otherwise asserted with respect to the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549275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8" w:name="page29"/>
    <w:bookmarkEnd w:id="28"/>
    <w:p>
      <w:pPr>
        <w:ind w:left="66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Company has caused this instrument to be executed by its duly authorized officer.</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TransAct Technologies Incorporated</w:t>
      </w:r>
    </w:p>
    <w:p>
      <w:pPr>
        <w:spacing w:after="0" w:line="200" w:lineRule="exact"/>
        <w:rPr>
          <w:sz w:val="20"/>
          <w:szCs w:val="20"/>
          <w:color w:val="auto"/>
        </w:rPr>
      </w:pPr>
    </w:p>
    <w:p>
      <w:pPr>
        <w:spacing w:after="0" w:line="29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Participant: </w:t>
      </w:r>
      <w:r>
        <w:rPr>
          <w:rFonts w:ascii="Arial" w:cs="Arial" w:eastAsia="Arial" w:hAnsi="Arial"/>
          <w:sz w:val="18"/>
          <w:szCs w:val="18"/>
          <w:b w:val="1"/>
          <w:bCs w:val="1"/>
          <w:color w:val="auto"/>
        </w:rPr>
        <w:t>[INSERT NAME]</w:t>
      </w:r>
    </w:p>
    <w:p>
      <w:pPr>
        <w:spacing w:after="0" w:line="234"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b w:val="1"/>
          <w:bCs w:val="1"/>
          <w:color w:val="auto"/>
        </w:rPr>
        <w:t>[INSERT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3171190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sectPr>
      </w:pPr>
    </w:p>
    <w:bookmarkStart w:id="29" w:name="page30"/>
    <w:bookmarkEnd w:id="29"/>
    <w:p>
      <w:pPr>
        <w:jc w:val="center"/>
        <w:ind w:right="-1220"/>
        <w:spacing w:after="0"/>
        <w:rPr>
          <w:sz w:val="20"/>
          <w:szCs w:val="20"/>
          <w:color w:val="auto"/>
        </w:rPr>
      </w:pPr>
      <w:r>
        <w:rPr>
          <w:rFonts w:ascii="Arial" w:cs="Arial" w:eastAsia="Arial" w:hAnsi="Arial"/>
          <w:sz w:val="18"/>
          <w:szCs w:val="18"/>
          <w:b w:val="1"/>
          <w:bCs w:val="1"/>
          <w:color w:val="auto"/>
        </w:rPr>
        <w:t>SCHEDULE A</w:t>
      </w:r>
    </w:p>
    <w:p>
      <w:pPr>
        <w:spacing w:after="0" w:line="27"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PERFORMANCE-BASED</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RESTRICTED STOCK UNIT AGREEMENT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[INSERT PAYOUT CHART]</w:t>
      </w:r>
    </w:p>
    <w:p>
      <w:pPr>
        <w:sectPr>
          <w:pgSz w:w="11900" w:h="16838" w:orient="portrait"/>
          <w:cols w:equalWidth="0" w:num="1">
            <w:col w:w="10219"/>
          </w:cols>
          <w:pgMar w:left="240" w:top="756" w:right="1440"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color w:val="auto"/>
        </w:rPr>
        <w:t>Exhibit 31.1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EXECUTIVE OFFICER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Bart C. Shuldman, certify that:</w:t>
      </w:r>
    </w:p>
    <w:p>
      <w:pPr>
        <w:spacing w:after="0" w:line="252" w:lineRule="exact"/>
        <w:rPr>
          <w:sz w:val="20"/>
          <w:szCs w:val="20"/>
          <w:color w:val="auto"/>
        </w:rPr>
      </w:pPr>
    </w:p>
    <w:p>
      <w:pPr>
        <w:ind w:left="660" w:hanging="229"/>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TransAct Technologies Incorporated;</w:t>
      </w:r>
    </w:p>
    <w:p>
      <w:pPr>
        <w:spacing w:after="0" w:line="252" w:lineRule="exact"/>
        <w:rPr>
          <w:rFonts w:ascii="Arial" w:cs="Arial" w:eastAsia="Arial" w:hAnsi="Arial"/>
          <w:sz w:val="18"/>
          <w:szCs w:val="18"/>
          <w:color w:val="auto"/>
        </w:rPr>
      </w:pPr>
    </w:p>
    <w:p>
      <w:pPr>
        <w:jc w:val="both"/>
        <w:ind w:left="660" w:hanging="229"/>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hanging="229"/>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660" w:hanging="229"/>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1300" w:hanging="225"/>
        <w:spacing w:after="0" w:line="264"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1300" w:hanging="235"/>
        <w:spacing w:after="0" w:line="264"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300" w:hanging="225"/>
        <w:spacing w:after="0" w:line="342" w:lineRule="auto"/>
        <w:tabs>
          <w:tab w:leader="none" w:pos="13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hanging="235"/>
        <w:spacing w:after="0" w:line="264"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hanging="229"/>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hanging="225"/>
        <w:spacing w:after="0" w:line="308" w:lineRule="auto"/>
        <w:tabs>
          <w:tab w:leader="none" w:pos="1300" w:val="left"/>
        </w:tabs>
        <w:numPr>
          <w:ilvl w:val="1"/>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hanging="235"/>
        <w:spacing w:after="0" w:line="277"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August 8, 2016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Bart C. Shuldman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8414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68414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Bart C. Shuldman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125"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color w:val="auto"/>
        </w:rPr>
        <w:t>Exhibit 31.2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FINANCIAL OFFICER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Steven A. DeMartino, certify that:</w:t>
      </w:r>
    </w:p>
    <w:p>
      <w:pPr>
        <w:spacing w:after="0" w:line="252" w:lineRule="exact"/>
        <w:rPr>
          <w:sz w:val="20"/>
          <w:szCs w:val="20"/>
          <w:color w:val="auto"/>
        </w:rPr>
      </w:pPr>
    </w:p>
    <w:p>
      <w:pPr>
        <w:ind w:left="660" w:hanging="229"/>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TransAct Technologies Incorporated;</w:t>
      </w:r>
    </w:p>
    <w:p>
      <w:pPr>
        <w:spacing w:after="0" w:line="252" w:lineRule="exact"/>
        <w:rPr>
          <w:rFonts w:ascii="Arial" w:cs="Arial" w:eastAsia="Arial" w:hAnsi="Arial"/>
          <w:sz w:val="18"/>
          <w:szCs w:val="18"/>
          <w:color w:val="auto"/>
        </w:rPr>
      </w:pPr>
    </w:p>
    <w:p>
      <w:pPr>
        <w:jc w:val="both"/>
        <w:ind w:left="660" w:hanging="229"/>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hanging="229"/>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660" w:hanging="229"/>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1300" w:hanging="225"/>
        <w:spacing w:after="0" w:line="264"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1300" w:hanging="235"/>
        <w:spacing w:after="0" w:line="264"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300" w:hanging="225"/>
        <w:spacing w:after="0" w:line="342" w:lineRule="auto"/>
        <w:tabs>
          <w:tab w:leader="none" w:pos="13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hanging="235"/>
        <w:spacing w:after="0" w:line="264"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hanging="229"/>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hanging="225"/>
        <w:spacing w:after="0" w:line="308" w:lineRule="auto"/>
        <w:tabs>
          <w:tab w:leader="none" w:pos="1300" w:val="left"/>
        </w:tabs>
        <w:numPr>
          <w:ilvl w:val="1"/>
          <w:numId w:val="1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hanging="235"/>
        <w:spacing w:after="0" w:line="277"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2016</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 Steven A. DeMartino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8414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68414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Steven A. DeMartino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Financial Officer, Treasurer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1420"/>
          </w:cols>
          <w:pgMar w:left="240" w:top="125"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color w:val="auto"/>
        </w:rPr>
        <w:t>Exhibit 32.1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TransAct Technologies Incorporated (the “Company”) on Form 10-Q for the period ending June 30, 2016, as filed with the Securities and Exchange Commission on the date hereof (the “Report”), each of the undersigned officers of the Company, certifies, pursuant to 18 U.S.C. § 1350, as adopted pursuant to § 906 of the Sarbanes-Oxley Act of 2002, that to the best of his knowledge:</w:t>
      </w:r>
    </w:p>
    <w:p>
      <w:pPr>
        <w:spacing w:after="0" w:line="193" w:lineRule="exact"/>
        <w:rPr>
          <w:sz w:val="20"/>
          <w:szCs w:val="20"/>
          <w:color w:val="auto"/>
        </w:rPr>
      </w:pPr>
    </w:p>
    <w:p>
      <w:pPr>
        <w:ind w:left="820" w:hanging="302"/>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820" w:hanging="302"/>
        <w:spacing w:after="0"/>
        <w:tabs>
          <w:tab w:leader="none" w:pos="8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2016</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 Bart C. Shuldman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588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Bart C. Shuldman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2016</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 Steven A. DeMartino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588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Steven A. DeMartino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Financial Officer, Treasurer and Secretary</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x"/>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decimal"/>
      <w:start w:val="2"/>
    </w:lvl>
  </w:abstractNum>
  <w:abstractNum w:abstractNumId="5">
    <w:nsid w:val="216231B"/>
    <w:multiLevelType w:val="hybridMultilevel"/>
    <w:lvl w:ilvl="0">
      <w:lvlJc w:val="left"/>
      <w:lvlText w:val="%1."/>
      <w:numFmt w:val="decimal"/>
      <w:start w:val="3"/>
    </w:lvl>
  </w:abstractNum>
  <w:abstractNum w:abstractNumId="6">
    <w:nsid w:val="1F16E9E8"/>
    <w:multiLevelType w:val="hybridMultilevel"/>
    <w:lvl w:ilvl="0">
      <w:lvlJc w:val="left"/>
      <w:lvlText w:val="%1."/>
      <w:numFmt w:val="decimal"/>
      <w:start w:val="6"/>
    </w:lvl>
  </w:abstractNum>
  <w:abstractNum w:abstractNumId="7">
    <w:nsid w:val="1190CDE7"/>
    <w:multiLevelType w:val="hybridMultilevel"/>
    <w:lvl w:ilvl="0">
      <w:lvlJc w:val="left"/>
      <w:lvlText w:val="%1."/>
      <w:numFmt w:val="decimal"/>
      <w:start w:val="7"/>
    </w:lvl>
  </w:abstractNum>
  <w:abstractNum w:abstractNumId="8">
    <w:nsid w:val="66EF438D"/>
    <w:multiLevelType w:val="hybridMultilevel"/>
    <w:lvl w:ilvl="0">
      <w:lvlJc w:val="left"/>
      <w:lvlText w:val="%1."/>
      <w:numFmt w:val="decimal"/>
      <w:start w:val="8"/>
    </w:lvl>
  </w:abstractNum>
  <w:abstractNum w:abstractNumId="9">
    <w:nsid w:val="140E0F76"/>
    <w:multiLevelType w:val="hybridMultilevel"/>
    <w:lvl w:ilvl="0">
      <w:lvlJc w:val="left"/>
      <w:lvlText w:val="%1."/>
      <w:numFmt w:val="decimal"/>
      <w:start w:val="9"/>
    </w:lvl>
  </w:abstractNum>
  <w:abstractNum w:abstractNumId="10">
    <w:nsid w:val="3352255A"/>
    <w:multiLevelType w:val="hybridMultilevel"/>
    <w:lvl w:ilvl="0">
      <w:lvlJc w:val="left"/>
      <w:lvlText w:val="%1."/>
      <w:numFmt w:val="decimal"/>
      <w:start w:val="10"/>
    </w:lvl>
  </w:abstractNum>
  <w:abstractNum w:abstractNumId="11">
    <w:nsid w:val="109CF92E"/>
    <w:multiLevelType w:val="hybridMultilevel"/>
    <w:lvl w:ilvl="0">
      <w:lvlJc w:val="left"/>
      <w:lvlText w:val="%1."/>
      <w:numFmt w:val="decimal"/>
      <w:start w:val="1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2019-12-29T11:02:14Z</dcterms:created>
  <dcterms:modified xsi:type="dcterms:W3CDTF">2019-12-29T11:02:14Z</dcterms:modified>
</cp:coreProperties>
</file>