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TRANSACT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Hitchcock Law Firm PLLC</w:t>
              <w:br/>
              <w:t>5614 Connecticut Avenue, N.W., No. 304</w:t>
              <w:br/>
              <w:t>Washington, DC, 20015</w:t>
              <w:br/>
              <w:t>(202) 489-4813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M. Gillman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521,841.00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 of class is calculated based on 10,276,279 shares of common stock, par value $0.01 (the "Common Stock"), of TransAct Technologies, Inc. (the "Issuer") outstanding as of April 30, 2026, as reported by the Issuer in its Quarterly Report on Form 10-Q filed with the U.S. Securities and Exchange Commission (the "SEC") on May 13, 2026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6"/>
        <w:gridCol w:w="9059"/>
      </w:tblGrid>
      <w:tr>
        <w:trPr/>
        <w:tc>
          <w:tcPr>
            <w:tcW w:w="1146" w:type="dxa"/>
            <w:tcBorders/>
            <w:vAlign w:val="center"/>
          </w:tcPr>
          <w:p>
            <w:pPr>
              <w:pStyle w:val="TableContents"/>
              <w:bidi w:val="0"/>
              <w:spacing w:before="0" w:after="283"/>
              <w:jc w:val="left"/>
              <w:rPr/>
            </w:pPr>
            <w:r>
              <w:rPr/>
              <w:t>Item 1.</w:t>
            </w:r>
          </w:p>
        </w:tc>
        <w:tc>
          <w:tcPr>
            <w:tcW w:w="9059" w:type="dxa"/>
            <w:tcBorders/>
            <w:vAlign w:val="center"/>
          </w:tcPr>
          <w:p>
            <w:pPr>
              <w:pStyle w:val="TableContents"/>
              <w:bidi w:val="0"/>
              <w:spacing w:before="0" w:after="283"/>
              <w:jc w:val="left"/>
              <w:rPr/>
            </w:pPr>
            <w:r>
              <w:rPr/>
              <w:t>Security and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jc w:val="left"/>
              <w:rPr/>
            </w:pPr>
            <w:r>
              <w:rPr/>
              <w:t xml:space="preserve">Name of Issuer: </w:t>
            </w:r>
          </w:p>
          <w:p>
            <w:pPr>
              <w:pStyle w:val="TableContents"/>
              <w:bidi w:val="0"/>
              <w:spacing w:before="0" w:after="0"/>
              <w:jc w:val="left"/>
              <w:rPr/>
            </w:pPr>
            <w:r>
              <w:rPr/>
              <w:t>TRANSACT TECHNOLOGIES INC</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Hamden Center, 2319 Whitney Avenue, Suite 3B, Hamden, CONNECTICUT , 06518.</w:t>
            </w:r>
          </w:p>
        </w:tc>
      </w:tr>
      <w:tr>
        <w:trPr/>
        <w:tc>
          <w:tcPr>
            <w:tcW w:w="1146" w:type="dxa"/>
            <w:tcBorders/>
            <w:vAlign w:val="center"/>
          </w:tcPr>
          <w:p>
            <w:pPr>
              <w:pStyle w:val="TableContents"/>
              <w:bidi w:val="0"/>
              <w:spacing w:before="0" w:after="283"/>
              <w:jc w:val="left"/>
              <w:rPr/>
            </w:pPr>
            <w:r>
              <w:rPr/>
              <w:t>Item 2.</w:t>
            </w:r>
          </w:p>
        </w:tc>
        <w:tc>
          <w:tcPr>
            <w:tcW w:w="9059" w:type="dxa"/>
            <w:tcBorders/>
            <w:vAlign w:val="center"/>
          </w:tcPr>
          <w:p>
            <w:pPr>
              <w:pStyle w:val="TableContents"/>
              <w:bidi w:val="0"/>
              <w:spacing w:before="0" w:after="283"/>
              <w:jc w:val="left"/>
              <w:rPr/>
            </w:pPr>
            <w:r>
              <w:rPr/>
              <w:t>Identity and Background</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This statement is filed by Charles M. Gillman. Mr. Gillman is referred to as the Reporting Person.</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The address of the principal office of the Reporting Person is 1223 Wilshire Boulevard, Unit 648, Santa Monica CA 90403.</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The principal occupation of Mr. Gillman is serving as the Executive Managing Director of IDWR Office.</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Mr. Gillman has not, during the last five years, been convicted in a criminal proceeding (excluding traffic violations or similar misdemeanors).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Mr. Gillman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6" w:type="dxa"/>
            <w:tcBorders/>
            <w:vAlign w:val="center"/>
          </w:tcPr>
          <w:p>
            <w:pPr>
              <w:pStyle w:val="TableContents"/>
              <w:bidi w:val="0"/>
              <w:spacing w:before="0" w:after="283"/>
              <w:jc w:val="left"/>
              <w:rPr/>
            </w:pPr>
            <w:r>
              <w:rPr/>
              <w:t>(f)</w:t>
            </w:r>
          </w:p>
        </w:tc>
        <w:tc>
          <w:tcPr>
            <w:tcW w:w="9059" w:type="dxa"/>
            <w:tcBorders/>
            <w:vAlign w:val="center"/>
          </w:tcPr>
          <w:p>
            <w:pPr>
              <w:pStyle w:val="TableContents"/>
              <w:bidi w:val="0"/>
              <w:spacing w:before="0" w:after="0"/>
              <w:jc w:val="left"/>
              <w:rPr/>
            </w:pPr>
            <w:r>
              <w:rPr/>
              <w:t>Mr. Gillman is a citizen of the United States of America.</w:t>
            </w:r>
          </w:p>
        </w:tc>
      </w:tr>
      <w:tr>
        <w:trPr/>
        <w:tc>
          <w:tcPr>
            <w:tcW w:w="1146" w:type="dxa"/>
            <w:tcBorders/>
            <w:vAlign w:val="center"/>
          </w:tcPr>
          <w:p>
            <w:pPr>
              <w:pStyle w:val="TableContents"/>
              <w:bidi w:val="0"/>
              <w:spacing w:before="0" w:after="283"/>
              <w:jc w:val="left"/>
              <w:rPr/>
            </w:pPr>
            <w:r>
              <w:rPr/>
              <w:t>Item 3.</w:t>
            </w:r>
          </w:p>
        </w:tc>
        <w:tc>
          <w:tcPr>
            <w:tcW w:w="9059" w:type="dxa"/>
            <w:tcBorders/>
            <w:vAlign w:val="center"/>
          </w:tcPr>
          <w:p>
            <w:pPr>
              <w:pStyle w:val="TableContents"/>
              <w:bidi w:val="0"/>
              <w:spacing w:before="0" w:after="283"/>
              <w:jc w:val="left"/>
              <w:rPr/>
            </w:pPr>
            <w:r>
              <w:rPr/>
              <w:t>Source and Amount of Funds or Other Consideration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aggregate purchase price of the 521,841 Shares is approximately $2,453,646, excluding brokerage commissions.</w:t>
            </w:r>
          </w:p>
        </w:tc>
      </w:tr>
      <w:tr>
        <w:trPr/>
        <w:tc>
          <w:tcPr>
            <w:tcW w:w="1146" w:type="dxa"/>
            <w:tcBorders/>
            <w:vAlign w:val="center"/>
          </w:tcPr>
          <w:p>
            <w:pPr>
              <w:pStyle w:val="TableContents"/>
              <w:bidi w:val="0"/>
              <w:spacing w:before="0" w:after="283"/>
              <w:jc w:val="left"/>
              <w:rPr/>
            </w:pPr>
            <w:r>
              <w:rPr/>
              <w:t>Item 4.</w:t>
            </w:r>
          </w:p>
        </w:tc>
        <w:tc>
          <w:tcPr>
            <w:tcW w:w="9059" w:type="dxa"/>
            <w:tcBorders/>
            <w:vAlign w:val="center"/>
          </w:tcPr>
          <w:p>
            <w:pPr>
              <w:pStyle w:val="TableContents"/>
              <w:bidi w:val="0"/>
              <w:spacing w:before="0" w:after="283"/>
              <w:jc w:val="left"/>
              <w:rPr/>
            </w:pPr>
            <w:r>
              <w:rPr/>
              <w:t>Purpose of Transaction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purpose of the acquisition of the Common Stock is for investment, and the acquisitions of the Common Stock were made in the ordinary course of business and were not made for the purpose of acquiring control of the Issuer. Although no Reporting Person has any specific plan or proposal to acquire or dispose of the Common Stock, consistent with its investment purpose, each Reporting Person at any time and from time to time may acquire additional Common Stock or dispose of any or all of its Common Stock depending upon an ongoing evaluation of the investment in the Common Stock, prevailing market conditions, other investment opportunities, liquidity requirements of the Reporting Persons, and/or other investment considerations. Also, consistent with the investment purpose, the Reporting Person (Mr. Gillman)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The Reporting Person may discuss ideas that, if effected, may result in any of the following: the acquisition by persons of additional Common Stock of the Issuer, an extraordinary corporate transaction involving the Issuer, and/or changes in the board of directors or management of the Issuer. Mr. Gillman believes that the company is facing unique and very complicated challenges in its BOHA business. Mr. Gillman believes that these challenges require an immediate and urgent review of the BOHA business, including an exploration of strategic alternatives. To this end, Mr. Gillman believes that it is important for the board to add multiple new directors with the skills and experience to carry out this exploration of strategic alternatives for BOHA. Mr. Gillman believes that shareholders who share these concerns should communicate their concerns directly to each member of the incumbent board of directors. Mr. Gillman believes that the by laws of the company allow shareholders holding a majority of the voting rights to call a special meeting. Mr. Gillman believes that every single shareholder should today consider whether it is advisable at this time to call a special meeting of shareholders for the purpose of electing additional members to the board. At this time, Mr. Gillman has no specific plan or proposal to acquire or dispose of his Common Stock. Mr. Gillman may from time to time acquire additional Common Stock or dispose of any or all of his Common Stock depending upon an ongoing evaluation of the investment in the Common Stock, prevailing market conditions, other investment opportunities, liquidity requirements and/or other investment considerations. Also, consistent with the investment purpose, he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Mr. Gillman may discuss ideas that, if effected, may result in any of the following: the acquisition by persons of additional Common Stock of the Issuer, an extraordinary corporate transaction involving the Issuer, and/or changes in the board of directors or management of the Issuer. Except to the extent the foregoing may be deemed a plan or proposal, he has no plans or proposals which relate to, or could result in, any of the matters referred to in paragraphs (a) through (j), inclusive, of the instructions to Item 4 of Schedule 13D. Mr. Gillman may review or reconsider his position at any time. Mr. Gillman may change his goals with respect to TransAct at any time. Except to the extent the foregoing may be deemed a plan or proposal, Mr. Gillman has no plans or proposals which relate to, or could result in, any of the matters referred to in paragraphs (a) through (j), inclusive, of the instructions to Item 4 of Schedule 13D. Mr. Gillman may, at any time and from time to time, review or reconsider their position and/or change their purpose and/or formulate plans or proposals with respect thereto.</w:t>
            </w:r>
          </w:p>
        </w:tc>
      </w:tr>
      <w:tr>
        <w:trPr/>
        <w:tc>
          <w:tcPr>
            <w:tcW w:w="1146" w:type="dxa"/>
            <w:tcBorders/>
            <w:vAlign w:val="center"/>
          </w:tcPr>
          <w:p>
            <w:pPr>
              <w:pStyle w:val="TableContents"/>
              <w:bidi w:val="0"/>
              <w:spacing w:before="0" w:after="283"/>
              <w:jc w:val="left"/>
              <w:rPr/>
            </w:pPr>
            <w:r>
              <w:rPr/>
              <w:t>Item 5.</w:t>
            </w:r>
          </w:p>
        </w:tc>
        <w:tc>
          <w:tcPr>
            <w:tcW w:w="9059" w:type="dxa"/>
            <w:tcBorders/>
            <w:vAlign w:val="center"/>
          </w:tcPr>
          <w:p>
            <w:pPr>
              <w:pStyle w:val="TableContents"/>
              <w:bidi w:val="0"/>
              <w:spacing w:before="0" w:after="283"/>
              <w:jc w:val="left"/>
              <w:rPr/>
            </w:pPr>
            <w:r>
              <w:rPr/>
              <w:t>Interest in Securities of the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The aggregate percentage of Shares reported owned by the Reporting Person is based upon 10,276,279 shares outstanding as of April 30, 2026, as reported by the Issuer in its Quarterly Report on Form 10-Q filed with the SEC on May 13, 2026.</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1. Sole power to vote or direct vote: 521,841 2. Shared power to vote or direct vote: 0 3. Sole power to dispose or direct the disposition: 521,841 4. Shared power to dispose or direct the disposition: 0</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See Exhibit 99.1 for details.</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Not applicable</w:t>
            </w:r>
          </w:p>
        </w:tc>
      </w:tr>
      <w:tr>
        <w:trPr/>
        <w:tc>
          <w:tcPr>
            <w:tcW w:w="1146" w:type="dxa"/>
            <w:tcBorders/>
            <w:vAlign w:val="center"/>
          </w:tcPr>
          <w:p>
            <w:pPr>
              <w:pStyle w:val="TableContents"/>
              <w:bidi w:val="0"/>
              <w:spacing w:before="0" w:after="283"/>
              <w:jc w:val="left"/>
              <w:rPr/>
            </w:pPr>
            <w:r>
              <w:rPr/>
              <w:t>Item 6.</w:t>
            </w:r>
          </w:p>
        </w:tc>
        <w:tc>
          <w:tcPr>
            <w:tcW w:w="905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Other than as described herein, there are no contracts, arrangements, understandings or relationships among the Reporting Person, or between the Reporting Person and any other person, with respect to the securities of the Issuer.</w:t>
            </w:r>
          </w:p>
        </w:tc>
      </w:tr>
      <w:tr>
        <w:trPr/>
        <w:tc>
          <w:tcPr>
            <w:tcW w:w="1146" w:type="dxa"/>
            <w:tcBorders/>
            <w:vAlign w:val="center"/>
          </w:tcPr>
          <w:p>
            <w:pPr>
              <w:pStyle w:val="TableContents"/>
              <w:bidi w:val="0"/>
              <w:spacing w:before="0" w:after="283"/>
              <w:jc w:val="left"/>
              <w:rPr/>
            </w:pPr>
            <w:r>
              <w:rPr/>
              <w:t>Item 7.</w:t>
            </w:r>
          </w:p>
        </w:tc>
        <w:tc>
          <w:tcPr>
            <w:tcW w:w="9059" w:type="dxa"/>
            <w:tcBorders/>
            <w:vAlign w:val="center"/>
          </w:tcPr>
          <w:p>
            <w:pPr>
              <w:pStyle w:val="TableContents"/>
              <w:bidi w:val="0"/>
              <w:spacing w:before="0" w:after="283"/>
              <w:jc w:val="left"/>
              <w:rPr/>
            </w:pPr>
            <w:r>
              <w:rPr/>
              <w:t>Material to be Filed as Exhibits.</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Item 5(c) information being filed as Exhibit 99.1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Charles M. Gillman</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Charles M Gillman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Executive Managing 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ex99_1.htm"/>
      <w:bookmarkStart w:id="15" w:name="ksex99_1"/>
      <w:bookmarkEnd w:id="14"/>
      <w:bookmarkEnd w:id="1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5(c) Transaction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with respect to Shares effected during the past sixty (60) days by Charles M. Gillman. All such transactions were purchases of Shares effected in the open market, and the table includes commissions paid in per share prices.</w:t>
      </w:r>
    </w:p>
    <w:p>
      <w:pPr>
        <w:pStyle w:val="TextBody"/>
        <w:bidi w:val="0"/>
        <w:spacing w:before="0" w:after="0"/>
        <w:ind w:left="0" w:right="0" w:hanging="0"/>
        <w:jc w:val="left"/>
        <w:rPr>
          <w:caps w:val="false"/>
          <w:smallCaps w:val="false"/>
          <w:color w:val="284F87"/>
        </w:rPr>
      </w:pPr>
      <w:r>
        <w:rPr>
          <w:caps w:val="false"/>
          <w:smallCaps w:val="false"/>
          <w:color w:val="284F87"/>
        </w:rPr>
        <w:t> </w:t>
      </w:r>
    </w:p>
    <w:tbl>
      <w:tblPr>
        <w:tblW w:w="4715" w:type="dxa"/>
        <w:jc w:val="left"/>
        <w:tblInd w:w="-10" w:type="dxa"/>
        <w:tblLayout w:type="fixed"/>
        <w:tblCellMar>
          <w:top w:w="28" w:type="dxa"/>
          <w:left w:w="28" w:type="dxa"/>
          <w:bottom w:w="28" w:type="dxa"/>
          <w:right w:w="28" w:type="dxa"/>
        </w:tblCellMar>
      </w:tblPr>
      <w:tblGrid>
        <w:gridCol w:w="1055"/>
        <w:gridCol w:w="2315"/>
        <w:gridCol w:w="800"/>
        <w:gridCol w:w="545"/>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sz w:val="20"/>
              </w:rPr>
              <w:t>Date</w:t>
            </w:r>
            <w:r>
              <w:rPr/>
              <w:t xml:space="preserve"> </w:t>
            </w:r>
          </w:p>
        </w:tc>
        <w:tc>
          <w:tcPr>
            <w:tcW w:w="23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Action </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rFonts w:ascii="Times New Roman;Times;Serif" w:hAnsi="Times New Roman;Times;Serif"/>
                <w:sz w:val="20"/>
              </w:rPr>
              <w:t>Quantity</w:t>
            </w:r>
            <w:r>
              <w:rPr/>
              <w:t xml:space="preserve"> </w:t>
            </w:r>
          </w:p>
        </w:tc>
        <w:tc>
          <w:tcPr>
            <w:tcW w:w="5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rFonts w:ascii="Times New Roman;Times;Serif" w:hAnsi="Times New Roman;Times;Serif"/>
                <w:sz w:val="20"/>
              </w:rPr>
              <w:t>Price</w:t>
            </w:r>
            <w:r>
              <w:rPr/>
              <w:t xml:space="preserve"> </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sz w:val="20"/>
              </w:rPr>
              <w:t>07-01-2026</w:t>
            </w:r>
            <w:r>
              <w:rPr/>
              <w:t xml:space="preserve"> </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Purchase of Common Stock</w:t>
            </w:r>
            <w:r>
              <w:rPr/>
              <w:t xml:space="preserve">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62,064</w:t>
            </w:r>
            <w:r>
              <w:rPr/>
              <w:t xml:space="preserve"> </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$5.80 </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sz w:val="20"/>
              </w:rPr>
              <w:t>06-30-2026</w:t>
            </w:r>
            <w:r>
              <w:rPr/>
              <w:t xml:space="preserve"> </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Purchase of Common Stock</w:t>
            </w:r>
            <w:r>
              <w:rPr/>
              <w:t xml:space="preserve">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37,936</w:t>
            </w:r>
            <w:r>
              <w:rPr/>
              <w:t xml:space="preserve"> </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$5.76 </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rFonts w:ascii="Times New Roman;Times;Serif" w:hAnsi="Times New Roman;Times;Serif"/>
                <w:sz w:val="20"/>
              </w:rPr>
              <w:t>06-29-2026</w:t>
            </w:r>
            <w:r>
              <w:rPr/>
              <w:t xml:space="preserve"> </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Purchase of Common Stock</w:t>
            </w:r>
            <w:r>
              <w:rPr/>
              <w:t xml:space="preserve">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1,603</w:t>
            </w:r>
            <w:r>
              <w:rPr/>
              <w:t xml:space="preserve"> </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1617</Words>
  <Characters>8343</Characters>
  <CharactersWithSpaces>9901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