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483235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 Securities Exchange Act of 1934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</w:t>
        <w:tab/>
        <w:t>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240.14a–12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2011045</wp:posOffset>
            </wp:positionH>
            <wp:positionV relativeFrom="paragraph">
              <wp:posOffset>146050</wp:posOffset>
            </wp:positionV>
            <wp:extent cx="3120390" cy="8229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82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TransAct Technologies Incorporated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the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188595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214630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506095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9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500380</wp:posOffset>
            </wp:positionV>
            <wp:extent cx="7132320" cy="9481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48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243205</wp:posOffset>
            </wp:positionV>
            <wp:extent cx="7132320" cy="96012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60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2026-04-13T15:26:27Z</dcterms:created>
  <dcterms:modified xsi:type="dcterms:W3CDTF">2026-04-13T15:26:27Z</dcterms:modified>
</cp:coreProperties>
</file>