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12" w:lineRule="exact"/>
        <w:rPr>
          <w:sz w:val="24"/>
          <w:szCs w:val="24"/>
          <w:color w:val="auto"/>
        </w:rPr>
      </w:pPr>
    </w:p>
    <w:p>
      <w:pPr>
        <w:ind w:left="820"/>
        <w:spacing w:after="0"/>
        <w:tabs>
          <w:tab w:leader="none" w:pos="4060" w:val="left"/>
          <w:tab w:leader="none" w:pos="5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16"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-3175</wp:posOffset>
            </wp:positionV>
            <wp:extent cx="324993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4993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_____________________________________________________________________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8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06518</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4"/>
          <w:szCs w:val="24"/>
          <w:color w:val="auto"/>
        </w:rPr>
      </w:pPr>
    </w:p>
    <w:p>
      <w:pPr>
        <w:ind w:right="38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06" w:right="239" w:bottom="1440" w:gutter="0" w:footer="0" w:header="0"/>
        </w:sectPr>
      </w:pPr>
    </w:p>
    <w:p>
      <w:pPr>
        <w:spacing w:after="0" w:line="19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6"/>
          <w:szCs w:val="16"/>
          <w:color w:val="auto"/>
        </w:rPr>
        <w:t>Smaller reporting company</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3">
            <w:col w:w="5800" w:space="720"/>
            <w:col w:w="1960" w:space="100"/>
            <w:col w:w="2840"/>
          </w:cols>
          <w:pgMar w:left="240" w:top="306" w:right="239" w:bottom="1440" w:gutter="0" w:footer="0" w:header="0"/>
          <w:type w:val="continuous"/>
        </w:sectPr>
      </w:pPr>
    </w:p>
    <w:p>
      <w:pPr>
        <w:spacing w:after="0" w:line="5"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8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30, 2018, the number of shares outstanding of the Company's common stock, $0.01 par value, was 7,402,383.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rPr>
              <w:t>TRANSACT TECHNOLOGIES INCORPORATED</w:t>
            </w:r>
          </w:p>
        </w:tc>
        <w:tc>
          <w:tcPr>
            <w:tcW w:w="780" w:type="dxa"/>
            <w:vAlign w:val="bottom"/>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92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419"/>
        </w:trPr>
        <w:tc>
          <w:tcPr>
            <w:tcW w:w="5440" w:type="dxa"/>
            <w:vAlign w:val="bottom"/>
            <w:gridSpan w:val="13"/>
          </w:tcPr>
          <w:p>
            <w:pPr>
              <w:spacing w:after="0"/>
              <w:rPr>
                <w:sz w:val="20"/>
                <w:szCs w:val="20"/>
                <w:color w:val="auto"/>
              </w:rPr>
            </w:pPr>
            <w:r>
              <w:rPr>
                <w:rFonts w:ascii="Arial" w:cs="Arial" w:eastAsia="Arial" w:hAnsi="Arial"/>
                <w:sz w:val="18"/>
                <w:szCs w:val="18"/>
                <w:color w:val="auto"/>
              </w:rPr>
              <w:t>PART I - Financial Information:</w:t>
            </w:r>
          </w:p>
        </w:tc>
        <w:tc>
          <w:tcPr>
            <w:tcW w:w="560" w:type="dxa"/>
            <w:vAlign w:val="bottom"/>
            <w:tcBorders>
              <w:top w:val="single" w:sz="8" w:color="auto"/>
            </w:tcBorders>
          </w:tcPr>
          <w:p>
            <w:pPr>
              <w:spacing w:after="0"/>
              <w:rPr>
                <w:sz w:val="24"/>
                <w:szCs w:val="24"/>
                <w:color w:val="auto"/>
              </w:rPr>
            </w:pPr>
          </w:p>
        </w:tc>
        <w:tc>
          <w:tcPr>
            <w:tcW w:w="4640" w:type="dxa"/>
            <w:vAlign w:val="bottom"/>
            <w:gridSpan w:val="7"/>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Page</w:t>
            </w:r>
          </w:p>
        </w:tc>
      </w:tr>
      <w:tr>
        <w:trPr>
          <w:trHeight w:val="419"/>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2018 and December 31, 2017</w:t>
              </w:r>
            </w:hyperlink>
          </w:p>
        </w:tc>
        <w:tc>
          <w:tcPr>
            <w:tcW w:w="330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months ended March 31, 2018 and 2017</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2018 and 2017</w:t>
              </w:r>
            </w:hyperlink>
          </w:p>
        </w:tc>
        <w:tc>
          <w:tcPr>
            <w:tcW w:w="1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2018 and 2017</w:t>
              </w:r>
            </w:hyperlink>
          </w:p>
        </w:tc>
        <w:tc>
          <w:tcPr>
            <w:tcW w:w="198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58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14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26"/>
        </w:trPr>
        <w:tc>
          <w:tcPr>
            <w:tcW w:w="10640" w:type="dxa"/>
            <w:vAlign w:val="bottom"/>
            <w:gridSpan w:val="21"/>
          </w:tcPr>
          <w:p>
            <w:pPr>
              <w:spacing w:after="0"/>
              <w:rPr>
                <w:sz w:val="20"/>
                <w:szCs w:val="20"/>
                <w:color w:val="auto"/>
              </w:rPr>
            </w:pPr>
            <w:r>
              <w:rPr>
                <w:rFonts w:ascii="Arial" w:cs="Arial" w:eastAsia="Arial" w:hAnsi="Arial"/>
                <w:sz w:val="18"/>
                <w:szCs w:val="18"/>
                <w:color w:val="auto"/>
              </w:rPr>
              <w:t>PART II - Other Information:</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82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2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Default Upon Senior Securities</w:t>
              </w:r>
            </w:hyperlink>
          </w:p>
        </w:tc>
        <w:tc>
          <w:tcPr>
            <w:tcW w:w="73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Other Information</w:t>
              </w:r>
            </w:hyperlink>
          </w:p>
        </w:tc>
        <w:tc>
          <w:tcPr>
            <w:tcW w:w="82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98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SIGNATURES</w:t>
              </w:r>
            </w:hyperlink>
          </w:p>
        </w:tc>
        <w:tc>
          <w:tcPr>
            <w:tcW w:w="936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68"/>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2"/>
          </w:tcPr>
          <w:p>
            <w:pPr>
              <w:jc w:val="center"/>
              <w:ind w:left="4291"/>
              <w:spacing w:after="0"/>
              <w:rPr>
                <w:sz w:val="20"/>
                <w:szCs w:val="20"/>
                <w:color w:val="auto"/>
              </w:rPr>
            </w:pPr>
            <w:r>
              <w:rPr>
                <w:rFonts w:ascii="Arial" w:cs="Arial" w:eastAsia="Arial" w:hAnsi="Arial"/>
                <w:sz w:val="16"/>
                <w:szCs w:val="16"/>
                <w:color w:val="auto"/>
                <w:w w:val="89"/>
              </w:rPr>
              <w:t>2</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
        </w:trPr>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6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jc w:val="center"/>
              <w:ind w:left="1750"/>
              <w:spacing w:after="0"/>
              <w:rPr>
                <w:sz w:val="20"/>
                <w:szCs w:val="20"/>
                <w:color w:val="auto"/>
              </w:rPr>
            </w:pPr>
            <w:r>
              <w:rPr>
                <w:rFonts w:ascii="Arial" w:cs="Arial" w:eastAsia="Arial" w:hAnsi="Arial"/>
                <w:sz w:val="18"/>
                <w:szCs w:val="18"/>
                <w:b w:val="1"/>
                <w:bCs w:val="1"/>
                <w:color w:val="auto"/>
              </w:rPr>
              <w:t>TRANSACT TECHNOLOGIES INCORPORATED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8"/>
        </w:trPr>
        <w:tc>
          <w:tcPr>
            <w:tcW w:w="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88"/>
        </w:trPr>
        <w:tc>
          <w:tcPr>
            <w:tcW w:w="760" w:type="dxa"/>
            <w:vAlign w:val="bottom"/>
            <w:gridSpan w:val="2"/>
            <w:vMerge w:val="continue"/>
          </w:tcPr>
          <w:p>
            <w:pPr>
              <w:spacing w:after="0"/>
              <w:rPr>
                <w:sz w:val="16"/>
                <w:szCs w:val="16"/>
                <w:color w:val="auto"/>
              </w:rPr>
            </w:pPr>
          </w:p>
        </w:tc>
        <w:tc>
          <w:tcPr>
            <w:tcW w:w="8060" w:type="dxa"/>
            <w:vAlign w:val="bottom"/>
          </w:tcPr>
          <w:p>
            <w:pPr>
              <w:spacing w:after="0"/>
              <w:rPr>
                <w:sz w:val="16"/>
                <w:szCs w:val="16"/>
                <w:color w:val="auto"/>
              </w:rPr>
            </w:pPr>
          </w:p>
        </w:tc>
        <w:tc>
          <w:tcPr>
            <w:tcW w:w="2600" w:type="dxa"/>
            <w:vAlign w:val="bottom"/>
            <w:gridSpan w:val="5"/>
          </w:tcPr>
          <w:p>
            <w:pPr>
              <w:jc w:val="right"/>
              <w:ind w:right="70"/>
              <w:spacing w:after="0" w:line="189" w:lineRule="exact"/>
              <w:rPr>
                <w:sz w:val="20"/>
                <w:szCs w:val="20"/>
                <w:color w:val="auto"/>
              </w:rPr>
            </w:pPr>
            <w:r>
              <w:rPr>
                <w:rFonts w:ascii="Arial" w:cs="Arial" w:eastAsia="Arial" w:hAnsi="Arial"/>
                <w:sz w:val="18"/>
                <w:szCs w:val="18"/>
                <w:i w:val="1"/>
                <w:iCs w:val="1"/>
                <w:color w:val="auto"/>
                <w:w w:val="90"/>
              </w:rPr>
              <w:t>(In thousands, except share data)</w:t>
            </w:r>
          </w:p>
        </w:tc>
        <w:tc>
          <w:tcPr>
            <w:tcW w:w="0" w:type="dxa"/>
            <w:vAlign w:val="bottom"/>
          </w:tcPr>
          <w:p>
            <w:pPr>
              <w:spacing w:after="0"/>
              <w:rPr>
                <w:sz w:val="1"/>
                <w:szCs w:val="1"/>
                <w:color w:val="auto"/>
              </w:rPr>
            </w:pPr>
          </w:p>
        </w:tc>
      </w:tr>
      <w:tr>
        <w:trPr>
          <w:trHeight w:val="217"/>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4,669</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8,659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8,881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565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23,130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Fixed assets, net of accumulated depreciation of $19,934 and $19,752, respectively</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2,361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8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2,621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2,295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 of accumulated amortization of $3,391, and $3,359, respectively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436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7,745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30,875</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882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3,181</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2,329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313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5,823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585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6,408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0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Common stock, $0.01 par value, 20,000,000 shares authorized; 11,412,095 and 11,366,526 shares issued,</w:t>
            </w:r>
          </w:p>
        </w:tc>
        <w:tc>
          <w:tcPr>
            <w:tcW w:w="120" w:type="dxa"/>
            <w:vAlign w:val="bottom"/>
          </w:tcPr>
          <w:p>
            <w:pPr>
              <w:spacing w:after="0"/>
              <w:rPr>
                <w:sz w:val="16"/>
                <w:szCs w:val="16"/>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respectively; 7,400,883 and 7,478,094 shares outstanding, 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31,362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24,763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Treasury stock, at cost, 4,011,212 and 3,888,432 shares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(31,672)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24,467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30,875</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89" w:lineRule="exact"/>
              <w:rPr>
                <w:sz w:val="20"/>
                <w:szCs w:val="20"/>
                <w:color w:val="auto"/>
              </w:rPr>
            </w:pPr>
            <w:r>
              <w:rPr>
                <w:rFonts w:ascii="Arial" w:cs="Arial" w:eastAsia="Arial" w:hAnsi="Arial"/>
                <w:sz w:val="18"/>
                <w:szCs w:val="18"/>
                <w:i w:val="1"/>
                <w:iCs w:val="1"/>
                <w:color w:val="auto"/>
                <w:w w:val="89"/>
              </w:rPr>
              <w:t>(In thousands,</w:t>
            </w:r>
          </w:p>
        </w:tc>
        <w:tc>
          <w:tcPr>
            <w:tcW w:w="1360" w:type="dxa"/>
            <w:vAlign w:val="bottom"/>
            <w:gridSpan w:val="3"/>
          </w:tcPr>
          <w:p>
            <w:pPr>
              <w:jc w:val="right"/>
              <w:ind w:right="130"/>
              <w:spacing w:after="0" w:line="189" w:lineRule="exact"/>
              <w:rPr>
                <w:sz w:val="20"/>
                <w:szCs w:val="20"/>
                <w:color w:val="auto"/>
              </w:rPr>
            </w:pPr>
            <w:r>
              <w:rPr>
                <w:rFonts w:ascii="Arial" w:cs="Arial" w:eastAsia="Arial" w:hAnsi="Arial"/>
                <w:sz w:val="18"/>
                <w:szCs w:val="18"/>
                <w:i w:val="1"/>
                <w:iCs w:val="1"/>
                <w:color w:val="auto"/>
                <w:w w:val="83"/>
              </w:rPr>
              <w:t>except per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data)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5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12,243</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6,381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5,862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1,573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5,006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856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Arial" w:cs="Arial" w:eastAsia="Arial" w:hAnsi="Arial"/>
                <w:sz w:val="18"/>
                <w:szCs w:val="18"/>
                <w:color w:val="auto"/>
              </w:rPr>
              <w:t>Interest, net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178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680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
        </w:trPr>
        <w:tc>
          <w:tcPr>
            <w:tcW w:w="8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0.09</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0.09</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7,533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7,901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320" w:type="dxa"/>
            <w:vAlign w:val="bottom"/>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372"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2017</w:t>
            </w:r>
          </w:p>
        </w:tc>
        <w:tc>
          <w:tcPr>
            <w:tcW w:w="4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365"/>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617"/>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680</w:t>
            </w:r>
          </w:p>
        </w:tc>
        <w:tc>
          <w:tcPr>
            <w:tcW w:w="900" w:type="dxa"/>
            <w:vAlign w:val="bottom"/>
            <w:gridSpan w:val="2"/>
            <w:shd w:val="clear" w:color="auto" w:fill="CCEEFF"/>
          </w:tcPr>
          <w:p>
            <w:pPr>
              <w:jc w:val="right"/>
              <w:ind w:right="625"/>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left="450"/>
              <w:spacing w:after="0" w:line="202" w:lineRule="exact"/>
              <w:rPr>
                <w:sz w:val="20"/>
                <w:szCs w:val="20"/>
                <w:color w:val="auto"/>
              </w:rPr>
            </w:pPr>
            <w:r>
              <w:rPr>
                <w:rFonts w:ascii="Arial" w:cs="Arial" w:eastAsia="Arial" w:hAnsi="Arial"/>
                <w:sz w:val="18"/>
                <w:szCs w:val="18"/>
                <w:b w:val="1"/>
                <w:bCs w:val="1"/>
                <w:color w:val="auto"/>
                <w:w w:val="96"/>
              </w:rPr>
              <w:t>March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3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center"/>
              <w:ind w:right="270"/>
              <w:spacing w:after="0"/>
              <w:rPr>
                <w:sz w:val="20"/>
                <w:szCs w:val="20"/>
                <w:color w:val="auto"/>
              </w:rPr>
            </w:pPr>
            <w:r>
              <w:rPr>
                <w:rFonts w:ascii="Arial" w:cs="Arial" w:eastAsia="Arial" w:hAnsi="Arial"/>
                <w:sz w:val="18"/>
                <w:szCs w:val="18"/>
                <w:i w:val="1"/>
                <w:iCs w:val="1"/>
                <w:color w:val="auto"/>
                <w:w w:val="90"/>
              </w:rPr>
              <w:t>(In thousands)</w:t>
            </w:r>
          </w:p>
        </w:tc>
        <w:tc>
          <w:tcPr>
            <w:tcW w:w="0" w:type="dxa"/>
            <w:vAlign w:val="bottom"/>
          </w:tcPr>
          <w:p>
            <w:pPr>
              <w:spacing w:after="0"/>
              <w:rPr>
                <w:sz w:val="1"/>
                <w:szCs w:val="1"/>
                <w:color w:val="auto"/>
              </w:rPr>
            </w:pPr>
          </w:p>
        </w:tc>
      </w:tr>
      <w:tr>
        <w:trPr>
          <w:trHeight w:val="175"/>
        </w:trPr>
        <w:tc>
          <w:tcPr>
            <w:tcW w:w="748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680</w:t>
            </w: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Foreign currency transaction losses (gains)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2,297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Prepaid income taxes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Other current and long term assets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8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(872)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1,863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Additions to capitalized software</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used in investing activities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Payment of dividends on common stock</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Purchases of common stock for treasury</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(1,562)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Proceeds from stock option exercises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Arial" w:cs="Arial" w:eastAsia="Arial" w:hAnsi="Arial"/>
                <w:sz w:val="18"/>
                <w:szCs w:val="18"/>
                <w:color w:val="auto"/>
              </w:rPr>
              <w:t>Net cash used in financing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(2,387)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Decrease in cash and cash equivalents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5,507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4,669</w:t>
            </w:r>
          </w:p>
        </w:tc>
        <w:tc>
          <w:tcPr>
            <w:tcW w:w="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Supplemental schedule of non-cash investing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 included in accounts payable</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122</w:t>
            </w: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54"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accompanying unaudited financial statements of TransAct Technologies Incorporated (the "Company")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In the opinion of management, all adjustments considered necessary for a fair statement of the results for the periods presented have been included and are of a normal recurring nature. The December 31, 2017 Condensed Consolidated Balance Sheet data was derived from audited financial statements, but does not include all disclosures required by U.S. GAAP. These interim financial statements should be read in conjunction with the audited financial statements for the year ended December 31, 2017 included in our Annual Report on Form 10-K.</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loss, net of tax", in the Condensed Consolidated Balance Sheets. Transaction gains and losses are included in "Interest and other income (expense)" in the Condensed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March 31, 2018 are not necessarily indicative of the results to be expected for the full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2. Inventories,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700" w:type="dxa"/>
            <w:vAlign w:val="bottom"/>
            <w:gridSpan w:val="2"/>
          </w:tcPr>
          <w:p>
            <w:pPr>
              <w:spacing w:after="0"/>
              <w:rPr>
                <w:sz w:val="20"/>
                <w:szCs w:val="20"/>
                <w:color w:val="auto"/>
              </w:rPr>
            </w:pPr>
            <w:r>
              <w:rPr>
                <w:rFonts w:ascii="Arial" w:cs="Arial" w:eastAsia="Arial" w:hAnsi="Arial"/>
                <w:sz w:val="18"/>
                <w:szCs w:val="18"/>
                <w:color w:val="auto"/>
              </w:rPr>
              <w:t>The components of inventories, net 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4"/>
          </w:tcPr>
          <w:p>
            <w:pPr>
              <w:jc w:val="right"/>
              <w:ind w:right="360"/>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6,658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3"/>
              </w:rPr>
              <w:t>6,322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3"/>
              </w:rPr>
              <w:t>2,553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8,881</w:t>
            </w:r>
          </w:p>
        </w:tc>
        <w:tc>
          <w:tcPr>
            <w:tcW w:w="100" w:type="dxa"/>
            <w:vAlign w:val="bottom"/>
          </w:tcPr>
          <w:p>
            <w:pPr>
              <w:spacing w:after="0"/>
              <w:rPr>
                <w:sz w:val="17"/>
                <w:szCs w:val="17"/>
                <w:color w:val="auto"/>
              </w:rPr>
            </w:pPr>
          </w:p>
        </w:tc>
        <w:tc>
          <w:tcPr>
            <w:tcW w:w="8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3"/>
              </w:rPr>
              <w:t>8,875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three months ended March 31, 2018 and 2017:</w:t>
      </w:r>
    </w:p>
    <w:p>
      <w:pPr>
        <w:spacing w:after="0" w:line="206"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44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900" w:type="dxa"/>
            <w:vAlign w:val="bottom"/>
            <w:gridSpan w:val="2"/>
            <w:shd w:val="clear" w:color="auto" w:fill="CCEEFF"/>
          </w:tcPr>
          <w:p>
            <w:pPr>
              <w:jc w:val="right"/>
              <w:ind w:right="61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267</w:t>
            </w:r>
          </w:p>
        </w:tc>
        <w:tc>
          <w:tcPr>
            <w:tcW w:w="9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900" w:type="dxa"/>
            <w:vAlign w:val="bottom"/>
            <w:gridSpan w:val="2"/>
          </w:tcPr>
          <w:p>
            <w:pPr>
              <w:jc w:val="right"/>
              <w:ind w:right="61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278</w:t>
            </w:r>
          </w:p>
        </w:tc>
        <w:tc>
          <w:tcPr>
            <w:tcW w:w="9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2018, $196 thousand of the accrued product warranty liability is classified as current in "Accrued liabilities" in the Condensed Consolidated Balance Sheets and the remaining $82 thousand is classified as non-current in "Other liabilities".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0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89" w:lineRule="exact"/>
              <w:rPr>
                <w:sz w:val="20"/>
                <w:szCs w:val="20"/>
                <w:color w:val="auto"/>
              </w:rPr>
            </w:pPr>
            <w:r>
              <w:rPr>
                <w:rFonts w:ascii="Arial" w:cs="Arial" w:eastAsia="Arial" w:hAnsi="Arial"/>
                <w:sz w:val="18"/>
                <w:szCs w:val="18"/>
                <w:i w:val="1"/>
                <w:iCs w:val="1"/>
                <w:color w:val="auto"/>
                <w:w w:val="89"/>
              </w:rPr>
              <w:t>(In thousands,</w:t>
            </w:r>
          </w:p>
        </w:tc>
        <w:tc>
          <w:tcPr>
            <w:tcW w:w="1360" w:type="dxa"/>
            <w:vAlign w:val="bottom"/>
            <w:gridSpan w:val="3"/>
          </w:tcPr>
          <w:p>
            <w:pPr>
              <w:jc w:val="right"/>
              <w:ind w:right="130"/>
              <w:spacing w:after="0" w:line="189" w:lineRule="exact"/>
              <w:rPr>
                <w:sz w:val="20"/>
                <w:szCs w:val="20"/>
                <w:color w:val="auto"/>
              </w:rPr>
            </w:pPr>
            <w:r>
              <w:rPr>
                <w:rFonts w:ascii="Arial" w:cs="Arial" w:eastAsia="Arial" w:hAnsi="Arial"/>
                <w:sz w:val="18"/>
                <w:szCs w:val="18"/>
                <w:i w:val="1"/>
                <w:iCs w:val="1"/>
                <w:color w:val="auto"/>
                <w:w w:val="83"/>
              </w:rPr>
              <w:t>except per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data)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8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680</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7,533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Add: Dilutive effect of outstanding options and restricted stock units as determined by the treasury stock method</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368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7,901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1"/>
        </w:trPr>
        <w:tc>
          <w:tcPr>
            <w:tcW w:w="8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0.09</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March 31, 2018 and 2017, there were 147 thousand and 846 thousand, respectively, of potentially dilutive shares consisting of stock awards that were excluded from the calculation of earnings per diluted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9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three months ended March 31, 2018 were as follows (in thousands):</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1580" w:type="dxa"/>
            <w:vAlign w:val="bottom"/>
            <w:gridSpan w:val="2"/>
            <w:shd w:val="clear" w:color="auto" w:fill="CCEEFF"/>
          </w:tcPr>
          <w:p>
            <w:pPr>
              <w:jc w:val="right"/>
              <w:ind w:right="205"/>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tcPr>
          <w:p>
            <w:pPr>
              <w:spacing w:after="0" w:line="202" w:lineRule="exact"/>
              <w:rPr>
                <w:sz w:val="20"/>
                <w:szCs w:val="20"/>
                <w:color w:val="auto"/>
              </w:rPr>
            </w:pPr>
            <w:r>
              <w:rPr>
                <w:rFonts w:ascii="Arial" w:cs="Arial" w:eastAsia="Arial" w:hAnsi="Arial"/>
                <w:sz w:val="18"/>
                <w:szCs w:val="18"/>
                <w:color w:val="auto"/>
              </w:rPr>
              <w:t>Issuance of shares from exercise of stock options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tcPr>
          <w:p>
            <w:pPr>
              <w:spacing w:after="0" w:line="202" w:lineRule="exact"/>
              <w:rPr>
                <w:sz w:val="20"/>
                <w:szCs w:val="20"/>
                <w:color w:val="auto"/>
              </w:rPr>
            </w:pPr>
            <w:r>
              <w:rPr>
                <w:rFonts w:ascii="Arial" w:cs="Arial" w:eastAsia="Arial" w:hAnsi="Arial"/>
                <w:sz w:val="18"/>
                <w:szCs w:val="18"/>
                <w:color w:val="auto"/>
              </w:rPr>
              <w:t>Relinquishment of stock awards upon exercise and fully vested deferred stock units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line="202" w:lineRule="exact"/>
              <w:rPr>
                <w:sz w:val="20"/>
                <w:szCs w:val="20"/>
                <w:color w:val="auto"/>
              </w:rPr>
            </w:pPr>
            <w:r>
              <w:rPr>
                <w:rFonts w:ascii="Arial" w:cs="Arial" w:eastAsia="Arial" w:hAnsi="Arial"/>
                <w:sz w:val="18"/>
                <w:szCs w:val="18"/>
                <w:color w:val="auto"/>
              </w:rPr>
              <w:t>Purchase of common stock for treasury</w:t>
            </w:r>
          </w:p>
        </w:tc>
        <w:tc>
          <w:tcPr>
            <w:tcW w:w="1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March 31, 2018</w:t>
            </w: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24,467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three months ended March 31, 2018, our Board of Directors declared a quarterly cash dividend of $0.09 per share, totaling $673 thousand, which was paid on March 15, 2018 to common shareholders of record at the close of business on February 20, 2018. For the three months ended March 31, 2017, dividends declared and paid totaled $587 thousand, or $0.08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recorded an income tax provision for the first quarter of 2018 of $178 thousand at an effective tax rate of 20.7%, compared to an income tax provision during the first quarter of 2017 of $459 thousand at an effective tax rate of 32.7%. The effective tax rate in the first quarter of 2018 was lower than the first quarter 2017 effective tax rate due to the passage of the Tax Cuts and Jobs Act (the "Tax Reform Act") enacted on December 22, 2017. The legislation significantly changes U.S. tax law by, among other things, lowering corporate income tax rates, implementing a territorial tax system and imposing a one-time repatriation tax on undistributed foreign earnings. The Tax Reform Act reduced the U.S. corporate income tax rate from a maximum of 35% to a flat 21% rate effective January 1, 2018 and, as a result, reduced our statutory U.S. corporate income tax rate from 34% to 21%.</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to address the application of U.S. GAAP in situations where a registrant does not have the necessary information available, prepared, or analyzed in reasonable detail to complete the accounting for certain income tax effects of the Tax Reform Act. SAB 118 provides a measurement period, not to exceed one year from the enactment of the Tax Reform Act. In accordance with SAB 118, the Company has recognized provisional tax impacts related to the revaluation of deferred tax assets and liabilities and included these amounts in its consolidated financial statements for the year ended December 31, 2017, and no changes were made to these provisional amounts during the quarter ended March 31, 2018. The ultimate impact may differ from these provisional amounts, possibly materially, due to, among other things, additional analysis, changes in interpretations and assumptions, additional regulatory guidance from Treasury, the Internal Revenue Service and State Governments, and actions the Company may take as a result of the Tax Reform Act, but the enactment of this legislation did not result in a material adjustment for the quarter ended March 31, 2018.</w:t>
      </w:r>
    </w:p>
    <w:p>
      <w:pPr>
        <w:sectPr>
          <w:pgSz w:w="11900" w:h="16838" w:orient="portrait"/>
          <w:cols w:equalWidth="0" w:num="1">
            <w:col w:w="11420"/>
          </w:cols>
          <w:pgMar w:left="240" w:top="121" w:right="239" w:bottom="144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both"/>
        <w:spacing w:after="0" w:line="279" w:lineRule="auto"/>
        <w:rPr>
          <w:sz w:val="20"/>
          <w:szCs w:val="20"/>
          <w:color w:val="auto"/>
        </w:rPr>
      </w:pPr>
      <w:r>
        <w:rPr>
          <w:rFonts w:ascii="Arial" w:cs="Arial" w:eastAsia="Arial" w:hAnsi="Arial"/>
          <w:sz w:val="16"/>
          <w:szCs w:val="16"/>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tax. The Company has not recorded any impacts of GILTI or BEAT in its consolidated financial statements for the quarter ended March 31, 2018.</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subject to U.S. federal income tax, as well as income tax in certain state and foreign jurisdictions. We have substantially concluded all U.S. federal income tax, state and local, and foreign tax regulatory examination matters through 2013. However, our federal tax returns for the years 2014 through 2016 remain open to examination. Various state and foreign tax jurisdiction tax years remain open to examination as well, though we believe that any additional assessment would be immaterial to the Condensed Consolidated Financial Statements.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March 31, 2018, we had $104 thousand of total gross unrecognized tax benefits that, if recognized, would favorably affect the effective income tax rate in any future periods. We expect $28 thousand of the $104 thousand of unrecognized tax benefits will reverse in 2018 upon the expiration of the statute of limitations.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reported as "Deferred tax assets" in the Condensed Consolidated Balance Sheet. As of March 31, 2018, we have $20 thousand of accrued interest and penalties related to uncertain tax positions. The Company maintains a valuation allowance against certain deferred tax assets where realization is not certain.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will be adopted in future reporting periods: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and is effective for public entities for annual periods beginning after December 15, 2018 and for interim periods within those fiscal years. Early adoption is permitted. The Company does have leases for equipment and real property which exceed 12 months and we are currently evaluating the impact that the adoption of ASU 2016-02 will have on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were adopted during 2018:</w:t>
      </w:r>
    </w:p>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Revenue recognition:</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ASU No. 2014-09," Revenue from Contracts with Customers" and its related amendments (collectively, ASC 606) are effective for reporting periods beginning after December 15, 2017, and interim periods therein. We adopted ASC 606 effective January 1, 2018 and elected the modified retrospective approach. The results for periods before 2018 were not adjusted for the new standard and any cumulative effective of the change in accounting was recognized through retained earnings at the date of adoption.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prior to January 1, 2018</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revenue recognition method prior to the adoption of ASC 606 can be found under Note 2. Summary of significant accounting policies within the "Notes to Consolidated Financial Statements" in the Annual Report on Form 10-K for the fiscal year ended December 31,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commencing January 1, 2018</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product and extended warranties).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EPICENTRAL™, that enables casino operators to create promotional coupons and marketing messages and to print them in real-time at the slot machine.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completion of the repair work is completed and the printer or terminal is returned to the customer, as control of the product is transferred to the customer.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Performance obligations are satisfied over-time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and maintenance agreements (including free one-year maintenance received by the customers upon completion of EPICENTRAL™ installation) revenue is recognized over-time as the customer receives the benefit. The transaction price from the maintenance services is recognized ratably over-time, using output methods, as control of the services is transferred to the customer. For extended warranties, the transaction price is recognized ratably over the warranty period, using output methods, as control of the services is transferred to the customer.</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cases where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r>
      <w:tr>
        <w:trPr>
          <w:trHeight w:val="228"/>
        </w:trPr>
        <w:tc>
          <w:tcPr>
            <w:tcW w:w="7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March 31, 2018</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86"/>
              </w:rPr>
              <w:t>United States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2"/>
              </w:rPr>
              <w:t>International</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
              <w:spacing w:after="0" w:line="202" w:lineRule="exact"/>
              <w:rPr>
                <w:sz w:val="20"/>
                <w:szCs w:val="20"/>
                <w:color w:val="auto"/>
              </w:rPr>
            </w:pPr>
            <w:r>
              <w:rPr>
                <w:rFonts w:ascii="Arial" w:cs="Arial" w:eastAsia="Arial" w:hAnsi="Arial"/>
                <w:sz w:val="18"/>
                <w:szCs w:val="18"/>
                <w:i w:val="1"/>
                <w:iCs w:val="1"/>
                <w:color w:val="auto"/>
                <w:w w:val="90"/>
              </w:rPr>
              <w:t>(In thousands)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Restaurant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973</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w:t>
            </w:r>
          </w:p>
        </w:tc>
        <w:tc>
          <w:tcPr>
            <w:tcW w:w="36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1,045</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POS automation and banking</w:t>
            </w:r>
          </w:p>
        </w:tc>
        <w:tc>
          <w:tcPr>
            <w:tcW w:w="10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1,716</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and gaming</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4,190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5,940</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Lottery</w:t>
            </w:r>
          </w:p>
        </w:tc>
        <w:tc>
          <w:tcPr>
            <w:tcW w:w="10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635</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Printrex</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w:t>
            </w:r>
          </w:p>
        </w:tc>
      </w:tr>
      <w:tr>
        <w:trPr>
          <w:trHeight w:val="210"/>
        </w:trPr>
        <w:tc>
          <w:tcPr>
            <w:tcW w:w="7440" w:type="dxa"/>
            <w:vAlign w:val="bottom"/>
          </w:tcPr>
          <w:p>
            <w:pPr>
              <w:spacing w:after="0" w:line="202" w:lineRule="exact"/>
              <w:rPr>
                <w:sz w:val="20"/>
                <w:szCs w:val="20"/>
                <w:color w:val="auto"/>
              </w:rPr>
            </w:pPr>
            <w:r>
              <w:rPr>
                <w:rFonts w:ascii="Arial" w:cs="Arial" w:eastAsia="Arial" w:hAnsi="Arial"/>
                <w:sz w:val="18"/>
                <w:szCs w:val="18"/>
                <w:color w:val="auto"/>
              </w:rPr>
              <w:t>TransAct Services Group</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2,448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2,632</w:t>
            </w:r>
          </w:p>
        </w:tc>
      </w:tr>
      <w:tr>
        <w:trPr>
          <w:trHeight w:val="243"/>
        </w:trPr>
        <w:tc>
          <w:tcPr>
            <w:tcW w:w="74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10,179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12,243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and financial statement impact of adopting ASC 606</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Except for the changes below, we have consistently applied the accounting policies to all periods presented in the consolidated financial statements. As noted above, we adopted ASC 606 using the modified retrospective approach which allows the Company to record any changes using the cumulative effect. The adoption of the ASC 606 did not require the Company to record an adjustment to retained earnings at January 1, 2018 and did not have an impact on the first quarter consolidated income statement, basic or diluted earnings per share, consolidated statement of cash flows or consolidated balance sheet at March 31, 2018.</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Costs to Obtain a Contract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obtain a contract, such as sales commissions, were previously expensed as incurred. The Company applied the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for contracts with customers for a term of twelve months or less, in accordance with ASC 340-40-25-4, which allows TransAct to continue to expense sales commissions as incurred, since the expected amortization period of the cost to obtain a contract is less than 12 months. No amounts were capitalized as of the adoption of ASC 606 or as of March 31, 2018.</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Contract balances</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EPICENTRAL™ maintenance contracts and testing service contracts, and is recognized as revenue as (or when) we perform under the contract. We do not have any contract asset balances as of March 31, 2018 or December 31, 2017. In the first quarter of 2018, we recognized revenue of $103 thousand related to our contract liabilities at January 1, 2018. Total contract liabilities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right"/>
              <w:ind w:right="33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358</w:t>
            </w:r>
          </w:p>
        </w:tc>
        <w:tc>
          <w:tcPr>
            <w:tcW w:w="900" w:type="dxa"/>
            <w:vAlign w:val="bottom"/>
            <w:gridSpan w:val="2"/>
            <w:shd w:val="clear" w:color="auto" w:fill="CCEEFF"/>
          </w:tcPr>
          <w:p>
            <w:pPr>
              <w:jc w:val="right"/>
              <w:ind w:right="57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313</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Total contract liabilities</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739</w:t>
            </w:r>
          </w:p>
        </w:tc>
        <w:tc>
          <w:tcPr>
            <w:tcW w:w="900" w:type="dxa"/>
            <w:vAlign w:val="bottom"/>
            <w:gridSpan w:val="2"/>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Remaining performance obligations represents the transaction price of firm orders for which a good or service has not been delivered to our customer. As of March 31, 2018, the aggregate amount of the transaction price allocated to remaining performance obligations was $8.4 million. The Company expects to recognize revenue on $6.3 million of our remaining performance obligations within the next twelve months, with the balance of these remaining performance obligations recognized within the next 24 months.</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Stock compensation:</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The amendments are applied prospectively to an award modified on or after the adoption date. We adopted this guidance in the first quarter of 2018 and the adoption has not resulted in a change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TransAct Technologies Incorporated ("TransAct") is a global leader in developing and selling software-driven technology and printing solutions for high growth markets including restaurant solutions, point of sale ("POS") automation and banking, casino and gaming, lottery, mobile and oil and gas. Our world-class products are designed from the ground up based on market and customer requirements and are sold under the AccuDate™, Epic, EPICENTRAL™, Ithaca®, Printrex® and Responder® brand names. Known and respected worldwide for innovative designs and real-world service reliability, our thermal and inkjet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the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2017. We have reviewed those policies and determined that they remain our critical accounting policies for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Results of Operations: Three months ended March 31, 2018 compared to three months ended March 31, 2017</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March 31, 2018 and 2017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93"/>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2"/>
              </w:rPr>
              <w:t>March 31, 2017</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5,940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5,117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12,243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13,997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for the first quarter of 2018 decreased $1.8 million, or 13%, from the same period in 2017. Printer and terminal sales volume decreased 28% to approximately 31 thousand units driven primarily by an 80% decrease in unit volume from the lottery market and a 29% decrease in unit volume in the POS automation and banking market. These decreases were partially offset by increases in unit volume of 6% from the casino and gaming market and 87% from the restaurant solutions market. The average selling price of our printers and terminals increased 15% in the first quarter of 2018 compared to the first quarter of 2017.</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sales for the first quarter of 2018 decreased $1.4 million, or 41%, from the same period in 2017 primarily due to a decrease in sales in the international lottery market and to a lesser extent a 14% decrease in the international casino and gaming market.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Revenue from the restaurant solutions market includes sales of terminals that combine hardware and software in a device that includes an operating system, touchscreen and one or two thermal print mechanisms that print easy-to-read food rotation labels, grab and go labels for prepared foods, and "enjoy by" date labels to help food service establishments and restaurants (including fine dining, casual dining, quick-serve convenience and hospitality establishments) effectively manage food safety and automate and manage back-of-the-restaurant operations. A summary of sales of our worldwide restaurant solutions products for the three months ended March 31, 2018 and 2017 is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b w:val="1"/>
                <w:bCs w:val="1"/>
                <w:color w:val="auto"/>
                <w:w w:val="92"/>
              </w:rPr>
              <w:t>March 31,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3"/>
              </w:rPr>
              <w:t>March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c>
          <w:tcPr>
            <w:tcW w:w="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89.8%</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105.7%</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domestic restaurant solutions revenue in the first quarter of 2018 compared to the first quarter of 2017 was driven by increased sales of our AccuDate 9700 terminal to our U.S. distributor and the initial shipments of the AccuDate XL to a large corporate customer in support of a large-scale, multi-quarter rollout of the terminal. This increase was partially offset by decreased sales of our AccuDate Pro terminal to our U.S. distributor. We expect sales of our restaurant solutions terminals to increase in 2018 compared to 2017 as we benefit from the strategic selling and marketing investments implemented during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from the POS automation and banking market includes sales of thermal and impact printers used primarily by restaurants (including fine dining, casual dining, quick 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March 31, 2018 and 2017 is as follows (in thousands, except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b w:val="1"/>
                <w:bCs w:val="1"/>
                <w:color w:val="auto"/>
                <w:w w:val="93"/>
              </w:rPr>
              <w:t>March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2"/>
              </w:rPr>
              <w:t>March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97.3%</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98.3%</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2,458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decrease in domestic POS automation and banking product revenue in the first quarter of 2018 compared to the first quarter of 2017 was primarily driven by a 27% decrease in domestic sales of our Ithaca® 9000 printer, as sales to McDonald's slowed compared to the record pace experienced in 2016 and the first quarter of 2017. We expect sales to McDonald's to decrease for the full year 2018 compared to the full year 2017, as McDonald's completes the implementation of initiatives that use the Ithaca 9000, which began in 2015. Domestic sales also declined, although to a lesser extent, due to a 73% decrease in sales of our legacy banking and other POS printers in the first quarter of 2018 compared to the first quarter of 2017 as we continue to deemphasize these products. We expect sales of these legacy products to continue to decline during 2018, as we have shifted our sales focus to our newer products.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1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Revenue from the casino and gaming market includes sales of thermal ticket printers used in slot machines, video lottery terminals ("VLTs"), and other gaming machines that print tickets or receipts instead of issuing coins ("ticket-in, ticket-out" or "TITO")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A summary of sales of our worldwide casino and gaming products for the three months ended March 31, 2018 and 2017 is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2"/>
              </w:rPr>
              <w:t>March 31, 2018</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2"/>
              </w:rPr>
              <w:t>March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70.5%</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3,085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60.3%</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5,940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5,117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increase in domestic sales of our casino and gaming products was due largely to a 19% increase in domestic sales of our thermal casino printers in the first quarter of 2018 compared to the first quarter of 2017, driven primarily by increased sales to our OEMs. Additionally, domestic EPICENTRAL™ software sales increased 233% in the first quarter of 2018 compared to the first quarter of 2017 as we completed one new installation in 2018 compared to no installations completed during the first quarter of 2017. Sales of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are project based and as a result, may fluctuate significantly quarter-to-quarter and year-to-year.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International casino and gaming product sales decreased in the first quarter of 2018 compared to the first quarter of 2017 due to a 32% decline in international sales of our off-premise gaming printers to Europe, Australia and Asia. Sales of our off-premise gaming printers are largely project-oriented and therefore may fluctuate significantly from quarter-to-quarter and year-to-year. International sales of our thermal casino printers increased 5% in the first quarter of 2018 compared to the first quarter of 2017. We expect international sales of both our thermal casino printers and off-premise gaming printers to increase in 2018 as we benefit from the transition away from our previous exclusive worldwide distributor whose contract ended at the end of 2017 and begin to sell directly to our slot machine manufacturers and end user casino and gaming customers in Europe.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from the lottery market includes sales of thermal on-line and other lottery printers primarily to International Game Technology and its subsidiaries ("IGT"), and to a lesser extent, other lottery system companies for various lottery applications. A summary of sales of our worldwide lottery printers for the three months ended March 31, 2018 and 2017 is as follows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3"/>
              </w:rPr>
              <w:t>March 31,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3"/>
              </w:rPr>
              <w:t>March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60.9%</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r>
      <w:tr>
        <w:trPr>
          <w:trHeight w:val="210"/>
        </w:trPr>
        <w:tc>
          <w:tcPr>
            <w:tcW w:w="2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While we expect to increase sales of our lottery printers to other customers, based on our backlog of orders and customer forecasts, we expect lottery printer sales to be lower in 2018 compared to 2017.</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decrease in international lottery sales in the first quarter of 2018 compared to the first quarter of 2017 was due to a sale of lottery printers to IGT for the Canadian lottery in the first quarter of 2017 and no comparable sale occurring in the first quarter of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Printrex branded printers are sold into markets that include wide format, desktop and rack mounted and vehicle mounted black/white thermal 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three months ended March 31, 2018 and 2017 is as follows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2"/>
              </w:rPr>
              <w:t>March 31, 2018</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2"/>
              </w:rPr>
              <w:t>March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95.6%</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75.3%</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54.5%</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increase in sales of Printrex printers in the first quarter of 2018 compared to the first quarter of 2017 resulted from 107% higher domestic sales in the oil and gas market. This increase was partially offset by lower sales in the international oil and gas market and lower sales of both domestic and international medical and mobile printers in the first quarter of 2018 compared to the first quarter of 2017. We expect Printrex sales for the full year of 2018 to be higher than 2017, as we expect a continued modest recovery in the oil and gas market to more than offset lower expected sales of medical and mobile printers as we shift our focus to our higher value, technology-enabled restaurant solution and casino and gaming products.</w:t>
      </w:r>
    </w:p>
    <w:p>
      <w:pPr>
        <w:sectPr>
          <w:pgSz w:w="11900" w:h="16838" w:orient="portrait"/>
          <w:cols w:equalWidth="0" w:num="1">
            <w:col w:w="11420"/>
          </w:cols>
          <w:pgMar w:left="240" w:top="125" w:right="2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b w:val="1"/>
          <w:bCs w:val="1"/>
          <w:i w:val="1"/>
          <w:iCs w:val="1"/>
          <w:color w:val="auto"/>
        </w:rPr>
        <w:t>TSG:</w:t>
      </w:r>
    </w:p>
    <w:p>
      <w:pPr>
        <w:jc w:val="both"/>
        <w:spacing w:after="0" w:line="260"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food safety labels and other printing supplies), replacement parts, maintenance and repair services, testing services, refurbished printers, and shipping and handling charges. A summary of sales in our worldwide TSG market for the three months ended March 31, 2018 and 2017 is as follows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b w:val="1"/>
                <w:bCs w:val="1"/>
                <w:color w:val="auto"/>
                <w:w w:val="93"/>
              </w:rPr>
              <w:t>March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b w:val="1"/>
                <w:bCs w:val="1"/>
                <w:color w:val="auto"/>
                <w:w w:val="92"/>
              </w:rPr>
              <w:t>March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2,448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94.6%</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decrease in domestic revenue from TSG for the first quarter of 2018 as compared to the prior year period was due to decreased replacement part sales, service revenue and non-Printrex consumable product sales of 7%, 11% and 6%, respectively. These decreases were partially offset by a 34% increase in Printrex consumables related to the recovery in the oil and gas market. Based on our backlog of orders and contractual commitments for spare parts for our installed base of lottery printers, we expect TSG sales to decrease in 2018 compared to the unusually high level of spare parts sales, largely from lottery printer spare part sales to IGT, in 2017.</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Internationally, revenue from TSG increased slightly in the first quarter of 2018 compared to the first quarter of 2017 due to higher international replacement part sales.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three months ended March 31, 2018 and 2017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5,862</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6,093</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43.5%</w:t>
            </w:r>
          </w:p>
        </w:tc>
      </w:tr>
    </w:tbl>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print system. In the first quarter of 2018, gross profit decreased $231 thousand, or 4%, compared to the same period in 2017 due to 13% lower sales, somewhat offset by higher gross margin. Although gross profit decreased, our gross margin increased 440 basis points, from 47.9% in the first quarter of 2018 compared to 43.5% in the first quarter of 2017. The increased gross margin reflects a favorable shift in sales mix towards higher-value, technology driven solutions, as well as lower sales of the lottery and POS printers, which carry lower margins than our other products.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information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2018 and 2017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7.1%</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hardware and software engineering staff, depreciation and design expenses (including prototype printer expenses, outside design and testing services, and supplies). Such expenses increased $228 thousand, or 23%, in the first quarter of 2018 compared to the first quarter of 2017 due primarily to the hiring of additional engineering staff and increased expenses related to product development for the restaurant solutions and casino and gaming markets. We expect engineering, design and product development expenses to be higher in 2018 compared to 2017, as we continue to expand our engineering staff to support new product development for the restaurant solutions market.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sectPr>
      </w:pPr>
    </w:p>
    <w:bookmarkStart w:id="15" w:name="page16"/>
    <w:bookmarkEnd w:id="15"/>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information for the three months ended March 31, 2018 and 2017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1,573</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1,672</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w:t>
            </w:r>
          </w:p>
        </w:tc>
      </w:tr>
    </w:tbl>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$99 thousand, or 6%, in the first quarter of 2018 compared to the first quarter of 2017 primarily due to the retirement of our EVP, Sales and Marketing in December 2017, whose position was replaced by an existing employee of TransAct, as well as the elimination of commission expense to our former international casino and gaming distributor, Suzo-Happ. These decreases were partially offset by the hiring of additional sales staff to expand our casino and gaming sales to support our direct selling model and to replace our former distributor. We expect selling and marketing expenses to be higher in 2018 compared to 2017 due to the build-out of our internal sales infrastructure to sell directly to slot machine manufacturers and end user casino and gaming customers in Europe in 2018.</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for the three months ended March 31, 2018 and 2017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2,212</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14.4%</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increased $200 thousand, or 10%, in first quarter of 2018 compared to the first quarter of 2017 due primarily to higher severance and incentive compensation expense incurred in the 2018 period. We expect general and administrative expenses in 2018 to be higher than 2017 due to increased recruiting expenses as we continue to expand our restaurant solutions sales and engineering staff and complete the planned expansion of sales staff for our European casino and gaming market.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Operating Income.</w:t>
            </w:r>
          </w:p>
        </w:tc>
        <w:tc>
          <w:tcPr>
            <w:tcW w:w="9900" w:type="dxa"/>
            <w:vAlign w:val="bottom"/>
            <w:gridSpan w:val="10"/>
          </w:tcPr>
          <w:p>
            <w:pPr>
              <w:jc w:val="right"/>
              <w:spacing w:after="0"/>
              <w:rPr>
                <w:sz w:val="20"/>
                <w:szCs w:val="20"/>
                <w:color w:val="auto"/>
              </w:rPr>
            </w:pPr>
            <w:r>
              <w:rPr>
                <w:rFonts w:ascii="Arial" w:cs="Arial" w:eastAsia="Arial" w:hAnsi="Arial"/>
                <w:sz w:val="18"/>
                <w:szCs w:val="18"/>
                <w:color w:val="auto"/>
                <w:w w:val="96"/>
              </w:rPr>
              <w:t>Operating income information for the three months ended March 31, 2018 and  2017 is summarized below (in thousands, except</w:t>
            </w: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percentages):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300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5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- 2017</w:t>
            </w: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w:t>
            </w:r>
          </w:p>
        </w:tc>
      </w:tr>
    </w:tbl>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operating income decreased $560 thousand, or 40%, and our operating margin decreased to 7% of net sales in the first quarter of 2018 from 10% of net sales in the first quarter of 2017. The decrease in both operating profit and operating margin were primarily due to 13% lower sales combined with 7% higher operating expense, somewhat offset by a 440 basis point increase in gross margin, in the first quarter of 2018 compared with the first quarter of 2017.</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$8 thousand in the first quarter of 2018 and the first quarter of 2017. We do not expect significant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interest expense for the full year 2018.</w:t>
      </w:r>
    </w:p>
    <w:p>
      <w:pPr>
        <w:spacing w:after="0" w:line="156"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We recorded other income of $10 thousand in the first quarter of 2018 compared to other expense of $6 thousand in the first quarter of 2017.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was due to foreign currency transaction exchange gains recorded in 2018 compared to foreign currency transaction losses recorded in the 2017 period.</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quarter of 2018 of $178 thousand at an effective tax rate of 20.7%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during the first quarter of 2017 of $459 thousand at an effective tax rate of 32.7%. The effective tax rate in the first quarter of 2018 was lower than the effective tax rate in the first quarter of 2017 due to the passage of the Tax Reform Act that was signed on December 22, 2017. The legislation significantly changed U.S. tax law by, among other things, lowering corporate income tax rates, implementing a territorial tax system and imposing a one-time repatriation tax on undistributed foreign earnings. The Tax Reform Act reduced the U.S. corporate income tax rate from a maximum of 35% to a flat 21% rate effective January 1, 2018, and as a result, reduced our statutory U.S. corporate income tax rate from 34% to 21%. We expect our effective tax rate to be between 20% and 21% for the full year 2018.</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first quarter of 2018 of $680 thousand, or $0.09 per diluted share, compared to $943 thousand, or $0.13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quarter of 2017.</w:t>
      </w:r>
    </w:p>
    <w:p>
      <w:pPr>
        <w:spacing w:after="0" w:line="149"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b w:val="1"/>
          <w:bCs w:val="1"/>
          <w:i w:val="1"/>
          <w:iCs w:val="1"/>
          <w:color w:val="auto"/>
        </w:rPr>
        <w:t>Impact of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three months ended March 31,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However, there can be no assurance that future inflation would not have an adverse impact upon our future operating results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the first three months of 2018, our cash and cash equivalents balance decreased $838 thousand, or 15%, from December 31, 2017 and we ended the first quarter of 2018 with $4.7 million in cash and cash equivalents, of which $315 thousand was held by our U.K. subsidiary, and no debt outstanding.</w:t>
      </w:r>
    </w:p>
    <w:p>
      <w:pPr>
        <w:spacing w:after="0" w:line="127"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$1.9 million in the first three months of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$771 thousand in the first three months of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2018:</w:t>
      </w:r>
    </w:p>
    <w:p>
      <w:pPr>
        <w:spacing w:after="0" w:line="1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$680 thousand.</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and amortization of $221 thousand, and share-based compensation expense of $161 thousand.</w:t>
      </w:r>
    </w:p>
    <w:p>
      <w:pPr>
        <w:spacing w:after="0" w:line="9" w:lineRule="exact"/>
        <w:rPr>
          <w:rFonts w:ascii="Arial" w:cs="Arial" w:eastAsia="Arial" w:hAnsi="Arial"/>
          <w:sz w:val="18"/>
          <w:szCs w:val="18"/>
          <w:color w:val="auto"/>
        </w:rPr>
      </w:pPr>
    </w:p>
    <w:p>
      <w:pPr>
        <w:ind w:left="980" w:right="94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$2.3 million, or 21%, due to the collection of past due receivables for 2017 sales made to our former international casino and gaming distributor.</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income taxes decreased $161 thousand during the first quarter of 2018.</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decreased $740 thousand, or 19%, due primarily to higher inventory purchases made towards the end of the fourth quarter of 2017 compared to the first quarter of 2018 that were subsequently paid in the first quarter of 2018.</w:t>
      </w: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Accrued liabilities and other liabilities decreased $872 thousand, or 21%, due primarily to the payment of 2017 annual bonuses in March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2017:</w:t>
      </w:r>
    </w:p>
    <w:p>
      <w:pPr>
        <w:spacing w:after="0" w:line="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$943 thousand.</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and amortization of $313 thousand, and share-based compensation expense of $146 thousand.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Accounts receivable decreased $1.3 million, or 12%, due to the collection of receivables for sales made late in the fourth quarter of 2016.</w:t>
      </w:r>
    </w:p>
    <w:p>
      <w:pPr>
        <w:spacing w:after="0" w:line="20" w:lineRule="exact"/>
        <w:rPr>
          <w:rFonts w:ascii="Arial" w:cs="Arial" w:eastAsia="Arial" w:hAnsi="Arial"/>
          <w:sz w:val="17"/>
          <w:szCs w:val="17"/>
          <w:color w:val="auto"/>
        </w:rPr>
      </w:pPr>
    </w:p>
    <w:p>
      <w:pPr>
        <w:ind w:left="980" w:right="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increased $254 thousand, or 3%, due largely to the purchase of AccuDate inventory to support expected restaurant solutions sales in 2017.</w:t>
      </w:r>
    </w:p>
    <w:p>
      <w:pPr>
        <w:ind w:left="980" w:right="2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current assets and long-term assets increased $169 thousand, or 45%, due largely to advance payments made in the first quarter of 2017 for annual ERP software maintenance expense.</w:t>
      </w:r>
    </w:p>
    <w:p>
      <w:pPr>
        <w:ind w:left="980" w:right="1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decreased $1.3 million, or 27%, due primarily to increased inventory purchases towards the end of the fourth quarter of 2016 and subsequently paid in the first quarter of 2017.</w:t>
      </w:r>
    </w:p>
    <w:p>
      <w:pPr>
        <w:ind w:left="980" w:right="42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$195 thousand due primarily to the payment of 2016 annual bonuses in March 2017. The decrease was partially offset by increased income taxes payable.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Our capital expenditures were $298 thousand and $234 thousand in the first three months of 2018 and 2017, respectively.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in 2018 were primarily for computer and networking equipment and furniture and fixtures purchases related to investments made in our U.K. facility to support the build-out of our internal sales infrastructure to sell directly to slot machine manufacturers and end user casino and gaming customers. To a lesser extent, expenditures in 2018 included computer and networking equipment for our U.S. operations. Expenditures in the first three months of 2017 were primarily for new product tooling equipment and computer and networking equipment and, to a lesser extent, leasehold improvements for our Ithaca facility.</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Capital expenditures and capitalized software development costs for 2018 are expected to be approximately $2 million primarily for new product tooling and tooling enhancements for our existing products, new computer software and equipment purchases, leasehold improvements at our Las Vegas and UK facilities, as well as capitalized software development costs related to our restaurant solutions products.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We used $2.4 million of cash from financing activities during the first three months of 2018 to purchase $1.6 million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for treasury, to pay dividends of $673 thousand to common shareholders and $246 thousand related to the relinquishment of shares to pay for withholding taxes on stock issued from our stock compensation plan, partially offset by proceeds from stock option exercises of $94 thousand. During the first three months of 2017, we used $605 thousand of cash from financing activities to pay dividends of $587 thousand to common shareholders and $18 thousand related to the relinquishment of shares to pay for withholding taxes on stock issued from our stock compensation plan.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maintain a credit facility (the "TD Bank Credit Facility") with TD Bank N.A., which provides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6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March 31, 2018. The following table lists the financial covenants and the performance measurements at March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40" w:type="dxa"/>
            <w:vAlign w:val="bottom"/>
          </w:tcPr>
          <w:p>
            <w:pPr>
              <w:jc w:val="right"/>
              <w:ind w:right="150"/>
              <w:spacing w:after="0"/>
              <w:rPr>
                <w:sz w:val="20"/>
                <w:szCs w:val="20"/>
                <w:color w:val="auto"/>
              </w:rPr>
            </w:pPr>
            <w:r>
              <w:rPr>
                <w:rFonts w:ascii="Arial" w:cs="Arial" w:eastAsia="Arial" w:hAnsi="Arial"/>
                <w:sz w:val="18"/>
                <w:szCs w:val="18"/>
                <w:color w:val="auto"/>
              </w:rPr>
              <w:t>Calculation at March 31,</w:t>
            </w:r>
          </w:p>
        </w:tc>
      </w:tr>
      <w:tr>
        <w:trPr>
          <w:trHeight w:val="224"/>
        </w:trPr>
        <w:tc>
          <w:tcPr>
            <w:tcW w:w="4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Financial Covenant</w:t>
            </w:r>
          </w:p>
        </w:tc>
        <w:tc>
          <w:tcPr>
            <w:tcW w:w="3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Requirement/Restriction</w:t>
            </w:r>
          </w:p>
        </w:tc>
        <w:tc>
          <w:tcPr>
            <w:tcW w:w="28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2018</w:t>
            </w:r>
          </w:p>
        </w:tc>
      </w:tr>
      <w:tr>
        <w:trPr>
          <w:trHeight w:val="203"/>
        </w:trPr>
        <w:tc>
          <w:tcPr>
            <w:tcW w:w="4860" w:type="dxa"/>
            <w:vAlign w:val="bottom"/>
            <w:shd w:val="clear" w:color="auto" w:fill="CCEEFF"/>
          </w:tcPr>
          <w:p>
            <w:pPr>
              <w:jc w:val="center"/>
              <w:ind w:right="170"/>
              <w:spacing w:after="0" w:line="202" w:lineRule="exact"/>
              <w:rPr>
                <w:sz w:val="20"/>
                <w:szCs w:val="20"/>
                <w:color w:val="auto"/>
              </w:rPr>
            </w:pPr>
            <w:r>
              <w:rPr>
                <w:rFonts w:ascii="Arial" w:cs="Arial" w:eastAsia="Arial" w:hAnsi="Arial"/>
                <w:sz w:val="18"/>
                <w:szCs w:val="18"/>
                <w:color w:val="auto"/>
                <w:w w:val="91"/>
              </w:rPr>
              <w:t>Operating cash flow / Total debt service</w:t>
            </w:r>
          </w:p>
        </w:tc>
        <w:tc>
          <w:tcPr>
            <w:tcW w:w="3720" w:type="dxa"/>
            <w:vAlign w:val="bottom"/>
            <w:shd w:val="clear" w:color="auto" w:fill="CCEEFF"/>
          </w:tcPr>
          <w:p>
            <w:pPr>
              <w:jc w:val="center"/>
              <w:ind w:left="230"/>
              <w:spacing w:after="0" w:line="202" w:lineRule="exact"/>
              <w:rPr>
                <w:sz w:val="20"/>
                <w:szCs w:val="20"/>
                <w:color w:val="auto"/>
              </w:rPr>
            </w:pPr>
            <w:r>
              <w:rPr>
                <w:rFonts w:ascii="Arial" w:cs="Arial" w:eastAsia="Arial" w:hAnsi="Arial"/>
                <w:sz w:val="18"/>
                <w:szCs w:val="18"/>
                <w:color w:val="auto"/>
                <w:w w:val="94"/>
              </w:rPr>
              <w:t>Minimum of 1.25 times</w:t>
            </w:r>
          </w:p>
        </w:tc>
        <w:tc>
          <w:tcPr>
            <w:tcW w:w="2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40.19</w:t>
            </w:r>
          </w:p>
        </w:tc>
      </w:tr>
      <w:tr>
        <w:trPr>
          <w:trHeight w:val="230"/>
        </w:trPr>
        <w:tc>
          <w:tcPr>
            <w:tcW w:w="4860" w:type="dxa"/>
            <w:vAlign w:val="bottom"/>
          </w:tcPr>
          <w:p>
            <w:pPr>
              <w:jc w:val="center"/>
              <w:ind w:right="190"/>
              <w:spacing w:after="0"/>
              <w:rPr>
                <w:sz w:val="20"/>
                <w:szCs w:val="20"/>
                <w:color w:val="auto"/>
              </w:rPr>
            </w:pPr>
            <w:r>
              <w:rPr>
                <w:rFonts w:ascii="Arial" w:cs="Arial" w:eastAsia="Arial" w:hAnsi="Arial"/>
                <w:sz w:val="18"/>
                <w:szCs w:val="18"/>
                <w:color w:val="auto"/>
                <w:w w:val="94"/>
              </w:rPr>
              <w:t>Funded Debt / EBITDA</w:t>
            </w:r>
          </w:p>
        </w:tc>
        <w:tc>
          <w:tcPr>
            <w:tcW w:w="3720" w:type="dxa"/>
            <w:vAlign w:val="bottom"/>
          </w:tcPr>
          <w:p>
            <w:pPr>
              <w:jc w:val="center"/>
              <w:ind w:left="230"/>
              <w:spacing w:after="0"/>
              <w:rPr>
                <w:sz w:val="20"/>
                <w:szCs w:val="20"/>
                <w:color w:val="auto"/>
              </w:rPr>
            </w:pPr>
            <w:r>
              <w:rPr>
                <w:rFonts w:ascii="Arial" w:cs="Arial" w:eastAsia="Arial" w:hAnsi="Arial"/>
                <w:sz w:val="18"/>
                <w:szCs w:val="18"/>
                <w:color w:val="auto"/>
                <w:w w:val="93"/>
              </w:rPr>
              <w:t>Maximum of 3.0 times</w:t>
            </w: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borrowings available under the TD Bank Credit facility were $20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September 2012, our Board of Directors initiated a quarterly cash dividend program, with an initial quarterly dividend of $0.06 per share,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$673 thousand, or $0.09 per share, and $587 thousand, or $0.08 per share, in the first quarter of 2018 and first quarter of 2017, respectively. We expect to pay approximately $2.7 million in cash dividends to our common shareholders during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it prior to such time. We use the cost method to account for treasury stock purchases, under which the price paid for the stock is charged to the treasury stock account. Repurchases of our common stock are accounted for as of the settlement date. During the three months ended March 31, 2018, we repurchased 122,780 shares of our common stock for approximately $1.6 million at an average price per share of $12.72.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2017.</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in our contractual obligations outside the ordinary course of business since December 31, 2017. We have no material off-balance sheet arrangements as defined in Item 303(a)(4)(ii) of Regulation S-K.</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2017. There has been no material change in our exposure to market risk during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2018, our Chief Executive Officer and Chief Financial Officer concluded that, as of such date, our disclosure controls and procedures were effective at the reasonable assurance level.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March 31, 2018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Management believes that the final outcome of such matters, if determined adversely, will not have a material adverse effect on our business, financial condition or results of operations.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2017.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prior stock repurchase program expired on December 31, 2017. No repurchase program was in place, and no repurchases of our common stock were made, from January 1, 2018 through February 28, 2018. On March 1, 2018, our Board of Directors approved the 2018 Stock Repurchase Program. Under the 2018 Stock Repurchase Program, we are authorized to repurchase up to $5 million of our outstanding shares of common stock from time to time in the open market through December 31, 2019 at prevailing market prices based on market conditions, share price and other factors. During the three months ended March 31, 2018, we purchased 122,780 shares of our common stock for approximately $1.6 million at an average price per share of $12.72. As of March 31, 2018, $3.4 million remains authorized for future repurchase under the 2018 Stock Repurchase Program. The following table summarizes common stock repurchases made by or on behalf of the Company for the three months ended March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8"/>
                <w:szCs w:val="18"/>
                <w:color w:val="auto"/>
              </w:rPr>
            </w:pPr>
          </w:p>
        </w:tc>
        <w:tc>
          <w:tcPr>
            <w:tcW w:w="2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Approximate Dollar Value</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6"/>
              </w:rPr>
              <w:t>Purchased as Part of</w:t>
            </w:r>
          </w:p>
        </w:tc>
        <w:tc>
          <w:tcPr>
            <w:tcW w:w="120" w:type="dxa"/>
            <w:vAlign w:val="bottom"/>
          </w:tcPr>
          <w:p>
            <w:pPr>
              <w:spacing w:after="0"/>
              <w:rPr>
                <w:sz w:val="17"/>
                <w:szCs w:val="17"/>
                <w:color w:val="auto"/>
              </w:rPr>
            </w:pPr>
          </w:p>
        </w:tc>
        <w:tc>
          <w:tcPr>
            <w:tcW w:w="214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0"/>
              </w:rPr>
              <w:t>of Shares that May Yet Be</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6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7"/>
                <w:szCs w:val="17"/>
                <w:color w:val="auto"/>
              </w:rPr>
            </w:pPr>
          </w:p>
        </w:tc>
        <w:tc>
          <w:tcPr>
            <w:tcW w:w="12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93"/>
              </w:rPr>
              <w:t>Average Price</w:t>
            </w:r>
          </w:p>
        </w:tc>
        <w:tc>
          <w:tcPr>
            <w:tcW w:w="100" w:type="dxa"/>
            <w:vAlign w:val="bottom"/>
          </w:tcPr>
          <w:p>
            <w:pPr>
              <w:spacing w:after="0"/>
              <w:rPr>
                <w:sz w:val="17"/>
                <w:szCs w:val="17"/>
                <w:color w:val="auto"/>
              </w:rPr>
            </w:pPr>
          </w:p>
        </w:tc>
        <w:tc>
          <w:tcPr>
            <w:tcW w:w="20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Publicly Announced Plans</w:t>
            </w:r>
          </w:p>
        </w:tc>
        <w:tc>
          <w:tcPr>
            <w:tcW w:w="120" w:type="dxa"/>
            <w:vAlign w:val="bottom"/>
          </w:tcPr>
          <w:p>
            <w:pPr>
              <w:spacing w:after="0"/>
              <w:rPr>
                <w:sz w:val="17"/>
                <w:szCs w:val="17"/>
                <w:color w:val="auto"/>
              </w:rPr>
            </w:pPr>
          </w:p>
        </w:tc>
        <w:tc>
          <w:tcPr>
            <w:tcW w:w="214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87"/>
              </w:rPr>
              <w:t>Purchased under the Plans</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8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89"/>
              </w:rPr>
              <w:t>Paid per Share</w:t>
            </w: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or Programs</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0"/>
              </w:rPr>
              <w:t>or Programs</w:t>
            </w: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1, 2018 – January 31, 2018</w:t>
            </w:r>
          </w:p>
        </w:tc>
        <w:tc>
          <w:tcPr>
            <w:tcW w:w="1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February 1, 2018 – February 28, 2018</w:t>
            </w:r>
          </w:p>
        </w:tc>
        <w:tc>
          <w:tcPr>
            <w:tcW w:w="1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March 1, 2018 – March 31, 2018</w:t>
            </w:r>
          </w:p>
        </w:tc>
        <w:tc>
          <w:tcPr>
            <w:tcW w:w="18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122,780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122,780</w:t>
            </w:r>
          </w:p>
        </w:tc>
        <w:tc>
          <w:tcPr>
            <w:tcW w:w="440" w:type="dxa"/>
            <w:vAlign w:val="bottom"/>
            <w:tcBorders>
              <w:bottom w:val="single" w:sz="8" w:color="CCEEFF"/>
            </w:tcBorders>
            <w:gridSpan w:val="2"/>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3,438,000</w:t>
            </w: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1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122,780</w:t>
            </w:r>
          </w:p>
        </w:tc>
        <w:tc>
          <w:tcPr>
            <w:tcW w:w="5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12.72</w:t>
            </w:r>
          </w:p>
        </w:tc>
        <w:tc>
          <w:tcPr>
            <w:tcW w:w="2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122,780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500" w:type="dxa"/>
            <w:vAlign w:val="bottom"/>
          </w:tcPr>
          <w:p>
            <w:pPr>
              <w:ind w:left="380"/>
              <w:spacing w:after="0"/>
              <w:rPr>
                <w:sz w:val="20"/>
                <w:szCs w:val="20"/>
                <w:color w:val="auto"/>
              </w:rPr>
            </w:pPr>
            <w:r>
              <w:rPr>
                <w:rFonts w:ascii="Arial" w:cs="Arial" w:eastAsia="Arial" w:hAnsi="Arial"/>
                <w:sz w:val="18"/>
                <w:szCs w:val="18"/>
                <w:b w:val="1"/>
                <w:bCs w:val="1"/>
                <w:color w:val="auto"/>
              </w:rPr>
              <w:t>OTHER INFORMATION</w:t>
            </w:r>
          </w:p>
        </w:tc>
      </w:tr>
      <w:tr>
        <w:trPr>
          <w:trHeight w:val="419"/>
        </w:trPr>
        <w:tc>
          <w:tcPr>
            <w:tcW w:w="920" w:type="dxa"/>
            <w:vAlign w:val="bottom"/>
            <w:gridSpan w:val="2"/>
          </w:tcPr>
          <w:p>
            <w:pPr>
              <w:spacing w:after="0"/>
              <w:rPr>
                <w:sz w:val="20"/>
                <w:szCs w:val="20"/>
                <w:color w:val="auto"/>
              </w:rPr>
            </w:pPr>
            <w:r>
              <w:rPr>
                <w:rFonts w:ascii="Arial" w:cs="Arial" w:eastAsia="Arial" w:hAnsi="Arial"/>
                <w:sz w:val="18"/>
                <w:szCs w:val="18"/>
                <w:color w:val="auto"/>
              </w:rPr>
              <w:t>None.</w:t>
            </w:r>
          </w:p>
        </w:tc>
        <w:tc>
          <w:tcPr>
            <w:tcW w:w="10500" w:type="dxa"/>
            <w:vAlign w:val="bottom"/>
          </w:tcPr>
          <w:p>
            <w:pPr>
              <w:spacing w:after="0"/>
              <w:rPr>
                <w:sz w:val="24"/>
                <w:szCs w:val="24"/>
                <w:color w:val="auto"/>
              </w:rPr>
            </w:pP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tcPr>
          <w:p>
            <w:pPr>
              <w:ind w:left="28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9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Exhibit 31.1</w:t>
              </w:r>
            </w:hyperlink>
          </w:p>
        </w:tc>
        <w:tc>
          <w:tcPr>
            <w:tcW w:w="1050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183"/>
        </w:trPr>
        <w:tc>
          <w:tcPr>
            <w:tcW w:w="920" w:type="dxa"/>
            <w:vAlign w:val="bottom"/>
            <w:tcBorders>
              <w:bottom w:val="single" w:sz="8" w:color="0000EE"/>
            </w:tcBorders>
            <w:gridSpan w:val="2"/>
          </w:tcPr>
          <w:p>
            <w:pPr>
              <w:spacing w:after="0" w:line="182"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Exhibit 31.2</w:t>
              </w:r>
            </w:hyperlink>
          </w:p>
        </w:tc>
        <w:tc>
          <w:tcPr>
            <w:tcW w:w="10500" w:type="dxa"/>
            <w:vAlign w:val="bottom"/>
          </w:tcPr>
          <w:p>
            <w:pPr>
              <w:ind w:left="460"/>
              <w:spacing w:after="0" w:line="182" w:lineRule="exact"/>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183"/>
        </w:trPr>
        <w:tc>
          <w:tcPr>
            <w:tcW w:w="920" w:type="dxa"/>
            <w:vAlign w:val="bottom"/>
            <w:gridSpan w:val="2"/>
          </w:tcPr>
          <w:p>
            <w:pPr>
              <w:spacing w:after="0" w:line="182"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Exhibit 32.1</w:t>
              </w:r>
            </w:hyperlink>
          </w:p>
        </w:tc>
        <w:tc>
          <w:tcPr>
            <w:tcW w:w="10500" w:type="dxa"/>
            <w:vAlign w:val="bottom"/>
          </w:tcPr>
          <w:p>
            <w:pPr>
              <w:ind w:left="460"/>
              <w:spacing w:after="0" w:line="182" w:lineRule="exact"/>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195"/>
        </w:trPr>
        <w:tc>
          <w:tcPr>
            <w:tcW w:w="900" w:type="dxa"/>
            <w:vAlign w:val="bottom"/>
            <w:tcBorders>
              <w:top w:val="single" w:sz="8" w:color="0000EE"/>
            </w:tcBorders>
          </w:tcPr>
          <w:p>
            <w:pPr>
              <w:spacing w:after="0" w:line="195"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6"/>
                <w:szCs w:val="16"/>
                <w:color w:val="auto"/>
              </w:rPr>
            </w:pPr>
          </w:p>
        </w:tc>
        <w:tc>
          <w:tcPr>
            <w:tcW w:w="10500" w:type="dxa"/>
            <w:vAlign w:val="bottom"/>
          </w:tcPr>
          <w:p>
            <w:pPr>
              <w:ind w:left="460"/>
              <w:spacing w:after="0" w:line="195" w:lineRule="exact"/>
              <w:rPr>
                <w:sz w:val="20"/>
                <w:szCs w:val="20"/>
                <w:color w:val="auto"/>
              </w:rPr>
            </w:pPr>
            <w:r>
              <w:rPr>
                <w:rFonts w:ascii="Arial" w:cs="Arial" w:eastAsia="Arial" w:hAnsi="Arial"/>
                <w:sz w:val="18"/>
                <w:szCs w:val="18"/>
                <w:color w:val="auto"/>
              </w:rPr>
              <w:t>XBRL Instance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Calculation Linkbase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Definition Linkbase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105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48"/>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00" w:type="dxa"/>
            <w:vAlign w:val="bottom"/>
          </w:tcPr>
          <w:p>
            <w:pPr>
              <w:ind w:left="4720"/>
              <w:spacing w:after="0"/>
              <w:rPr>
                <w:sz w:val="20"/>
                <w:szCs w:val="20"/>
                <w:color w:val="auto"/>
              </w:rPr>
            </w:pPr>
            <w:r>
              <w:rPr>
                <w:rFonts w:ascii="Arial" w:cs="Arial" w:eastAsia="Arial" w:hAnsi="Arial"/>
                <w:sz w:val="16"/>
                <w:szCs w:val="16"/>
                <w:color w:val="auto"/>
              </w:rPr>
              <w:t>20</w:t>
            </w:r>
          </w:p>
        </w:tc>
      </w:tr>
      <w:tr>
        <w:trPr>
          <w:trHeight w:val="67"/>
        </w:trPr>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384"/>
        </w:trPr>
        <w:tc>
          <w:tcPr>
            <w:tcW w:w="5720" w:type="dxa"/>
            <w:vAlign w:val="bottom"/>
            <w:vMerge w:val="restart"/>
          </w:tcPr>
          <w:p>
            <w:pPr>
              <w:spacing w:after="0"/>
              <w:rPr>
                <w:sz w:val="20"/>
                <w:szCs w:val="20"/>
                <w:color w:val="auto"/>
              </w:rPr>
            </w:pPr>
            <w:r>
              <w:rPr>
                <w:rFonts w:ascii="Arial" w:cs="Arial" w:eastAsia="Arial" w:hAnsi="Arial"/>
                <w:sz w:val="18"/>
                <w:szCs w:val="18"/>
                <w:color w:val="auto"/>
              </w:rPr>
              <w:t>May 10,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Steven A. DeMartino</w:t>
            </w:r>
          </w:p>
        </w:tc>
        <w:tc>
          <w:tcPr>
            <w:tcW w:w="0" w:type="dxa"/>
            <w:vAlign w:val="bottom"/>
          </w:tcPr>
          <w:p>
            <w:pPr>
              <w:spacing w:after="0"/>
              <w:rPr>
                <w:sz w:val="1"/>
                <w:szCs w:val="1"/>
                <w:color w:val="auto"/>
              </w:rPr>
            </w:pPr>
          </w:p>
        </w:tc>
      </w:tr>
      <w:tr>
        <w:trPr>
          <w:trHeight w:val="188"/>
        </w:trPr>
        <w:tc>
          <w:tcPr>
            <w:tcW w:w="5720" w:type="dxa"/>
            <w:vAlign w:val="bottom"/>
            <w:vMerge w:val="continue"/>
          </w:tcPr>
          <w:p>
            <w:pPr>
              <w:spacing w:after="0"/>
              <w:rPr>
                <w:sz w:val="16"/>
                <w:szCs w:val="16"/>
                <w:color w:val="auto"/>
              </w:rPr>
            </w:pPr>
          </w:p>
        </w:tc>
        <w:tc>
          <w:tcPr>
            <w:tcW w:w="5700" w:type="dxa"/>
            <w:vAlign w:val="bottom"/>
          </w:tcPr>
          <w:p>
            <w:pPr>
              <w:ind w:left="220"/>
              <w:spacing w:after="0" w:line="189" w:lineRule="exact"/>
              <w:rPr>
                <w:sz w:val="20"/>
                <w:szCs w:val="20"/>
                <w:color w:val="auto"/>
              </w:rPr>
            </w:pPr>
            <w:r>
              <w:rPr>
                <w:rFonts w:ascii="Arial" w:cs="Arial" w:eastAsia="Arial" w:hAnsi="Arial"/>
                <w:sz w:val="18"/>
                <w:szCs w:val="18"/>
                <w:color w:val="auto"/>
              </w:rPr>
              <w:t>Steven A. DeMartino</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President, Chief Financial Officer, Treasurer and Secretary</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B. Peters</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Vice President and Chief Accounting Officer</w:t>
      </w:r>
    </w:p>
    <w:p>
      <w:pPr>
        <w:ind w:left="59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188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340"/>
          </w:cols>
          <w:pgMar w:left="240" w:top="121" w:right="31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531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121" w:right="319" w:bottom="1440" w:gutter="0" w:footer="0" w:header="0"/>
        </w:sectPr>
      </w:pPr>
    </w:p>
    <w:bookmarkStart w:id="23" w:name="page24"/>
    <w:bookmarkEnd w:id="23"/>
    <w:p>
      <w:pPr>
        <w:jc w:val="center"/>
        <w:ind w:right="-139"/>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w:t>
      </w:r>
    </w:p>
    <w:p>
      <w:pPr>
        <w:jc w:val="center"/>
        <w:ind w:right="-13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2018,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51"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300"/>
      </w:cols>
      <w:pgMar w:left="24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2019-12-28T21:47:16Z</dcterms:created>
  <dcterms:modified xsi:type="dcterms:W3CDTF">2019-12-28T21:47:16Z</dcterms:modified>
</cp:coreProperties>
</file>