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4"/>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52"/>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4"/>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sectPr>
      </w:pPr>
    </w:p>
    <w:p>
      <w:pPr>
        <w:spacing w:after="0" w:line="261" w:lineRule="auto"/>
        <w:rPr>
          <w:sz w:val="20"/>
          <w:szCs w:val="20"/>
          <w:color w:val="auto"/>
        </w:rPr>
      </w:pPr>
      <w:r>
        <w:rPr>
          <w:rFonts w:ascii="Arial" w:cs="Arial" w:eastAsia="Arial" w:hAnsi="Arial"/>
          <w:sz w:val="18"/>
          <w:szCs w:val="18"/>
          <w:color w:val="auto"/>
        </w:rPr>
        <w:t>Large accelerated filer o Accelerated filer o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4" w:lineRule="exact"/>
        <w:rPr>
          <w:sz w:val="24"/>
          <w:szCs w:val="24"/>
          <w:color w:val="auto"/>
        </w:rPr>
      </w:pPr>
    </w:p>
    <w:p>
      <w:pPr>
        <w:sectPr>
          <w:pgSz w:w="11900" w:h="16838" w:orient="portrait"/>
          <w:cols w:equalWidth="0" w:num="2">
            <w:col w:w="8500" w:space="100"/>
            <w:col w:w="2820"/>
          </w:cols>
          <w:pgMar w:left="240" w:top="206"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8500" w:space="120"/>
            <w:col w:w="460" w:space="120"/>
            <w:col w:w="2220"/>
          </w:cols>
          <w:pgMar w:left="240" w:top="206"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2015, the number of shares outstanding of the Company’s common stock, $0.01 par value, was 7,754,792.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6"/>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7"/>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1"/>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7"/>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2015 and December 31, 201</w:t>
              </w:r>
            </w:hyperlink>
            <w:r>
              <w:rPr>
                <w:rFonts w:ascii="Arial" w:cs="Arial" w:eastAsia="Arial" w:hAnsi="Arial"/>
                <w:sz w:val="18"/>
                <w:szCs w:val="18"/>
                <w:color w:val="000000"/>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nine months ended September 30, 2015 and 2014</w:t>
              </w:r>
            </w:hyperlink>
          </w:p>
        </w:tc>
        <w:tc>
          <w:tcPr>
            <w:tcW w:w="126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2015 and 2014</w:t>
              </w:r>
            </w:hyperlink>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nine months ended September 30, 2015 and 2014</w:t>
              </w:r>
            </w:hyperlink>
          </w:p>
        </w:tc>
        <w:tc>
          <w:tcPr>
            <w:tcW w:w="166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514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140" w:type="dxa"/>
            <w:vAlign w:val="bottom"/>
            <w:tcBorders>
              <w:top w:val="single" w:sz="8" w:color="0000EE"/>
            </w:tcBorders>
          </w:tcPr>
          <w:p>
            <w:pPr>
              <w:spacing w:after="0"/>
              <w:rPr>
                <w:sz w:val="24"/>
                <w:szCs w:val="24"/>
                <w:color w:val="auto"/>
              </w:rPr>
            </w:pPr>
          </w:p>
        </w:tc>
        <w:tc>
          <w:tcPr>
            <w:tcW w:w="846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Exhibits</w:t>
              </w:r>
            </w:hyperlink>
          </w:p>
        </w:tc>
        <w:tc>
          <w:tcPr>
            <w:tcW w:w="89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SIGNATURES</w:t>
              </w:r>
            </w:hyperlink>
          </w:p>
        </w:tc>
        <w:tc>
          <w:tcPr>
            <w:tcW w:w="930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871"/>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2"/>
          </w:tcPr>
          <w:p>
            <w:pPr>
              <w:jc w:val="center"/>
              <w:ind w:left="4250"/>
              <w:spacing w:after="0"/>
              <w:rPr>
                <w:sz w:val="20"/>
                <w:szCs w:val="20"/>
                <w:color w:val="auto"/>
              </w:rPr>
            </w:pPr>
            <w:r>
              <w:rPr>
                <w:rFonts w:ascii="Arial" w:cs="Arial" w:eastAsia="Arial" w:hAnsi="Arial"/>
                <w:sz w:val="18"/>
                <w:szCs w:val="18"/>
                <w:color w:val="auto"/>
                <w:w w:val="99"/>
              </w:rPr>
              <w:t>2</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rPr>
              <w:t>TRANSACT TECHNOLOGIES INCORPORATED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ind w:left="20"/>
              <w:spacing w:after="0" w:line="201" w:lineRule="exact"/>
              <w:rPr>
                <w:sz w:val="20"/>
                <w:szCs w:val="20"/>
                <w:color w:val="auto"/>
              </w:rPr>
            </w:pPr>
            <w:r>
              <w:rPr>
                <w:rFonts w:ascii="Arial" w:cs="Arial" w:eastAsia="Arial" w:hAnsi="Arial"/>
                <w:sz w:val="18"/>
                <w:szCs w:val="18"/>
                <w:i w:val="1"/>
                <w:iCs w:val="1"/>
                <w:color w:val="auto"/>
                <w:w w:val="96"/>
              </w:rPr>
              <w:t>(In thousands,</w:t>
            </w:r>
          </w:p>
        </w:tc>
        <w:tc>
          <w:tcPr>
            <w:tcW w:w="1380" w:type="dxa"/>
            <w:vAlign w:val="bottom"/>
            <w:gridSpan w:val="3"/>
          </w:tcPr>
          <w:p>
            <w:pPr>
              <w:jc w:val="right"/>
              <w:ind w:right="10"/>
              <w:spacing w:after="0" w:line="201" w:lineRule="exact"/>
              <w:rPr>
                <w:sz w:val="20"/>
                <w:szCs w:val="20"/>
                <w:color w:val="auto"/>
              </w:rPr>
            </w:pPr>
            <w:r>
              <w:rPr>
                <w:rFonts w:ascii="Arial" w:cs="Arial" w:eastAsia="Arial" w:hAnsi="Arial"/>
                <w:sz w:val="18"/>
                <w:szCs w:val="18"/>
                <w:i w:val="1"/>
                <w:iCs w:val="1"/>
                <w:color w:val="auto"/>
                <w:w w:val="84"/>
              </w:rPr>
              <w:t>except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12,451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Prepaid income taxes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494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27,154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Deferred tax assets</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$2,684 and $2,326, respectively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983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34,240</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liabilities:</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Accrued lawsuit settlement expenses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8,248</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liabilities</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w w:val="93"/>
              </w:rPr>
              <w:t>Common stock, $0.01 par value, 20,000,000 shares authorized; 11,142,381 and 11,122,293 shares issued,</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respectively; 7,753,792 and 7,900,257 shares outstanding, respectively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28,709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23,046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Treasury stock, at cost, 3,388,589 and 3,222,036 shares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(26,181)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800"/>
              <w:spacing w:after="0"/>
              <w:rPr>
                <w:sz w:val="20"/>
                <w:szCs w:val="20"/>
                <w:color w:val="auto"/>
              </w:rPr>
            </w:pPr>
            <w:r>
              <w:rPr>
                <w:rFonts w:ascii="Arial" w:cs="Arial" w:eastAsia="Arial" w:hAnsi="Arial"/>
                <w:sz w:val="18"/>
                <w:szCs w:val="18"/>
                <w:color w:val="auto"/>
              </w:rPr>
              <w:t>Total shareholders’ equity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25,609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34,240</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8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2"/>
              </w:rPr>
              <w:t>(In thousands, except per share data)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14,172</w:t>
            </w:r>
          </w:p>
        </w:tc>
        <w:tc>
          <w:tcPr>
            <w:tcW w:w="4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47,560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7,881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27,616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19,944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1,823</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w w:val="97"/>
              </w:rPr>
              <w:t>Legal fees and settlement expenses associated with lawsuit (Note 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4,726</w:t>
            </w:r>
          </w:p>
        </w:tc>
        <w:tc>
          <w:tcPr>
            <w:tcW w:w="22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15,957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1,565</w:t>
            </w:r>
          </w:p>
        </w:tc>
        <w:tc>
          <w:tcPr>
            <w:tcW w:w="22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Interest,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2,560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46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0.33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Diluted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7,800</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7,848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2015</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w w:val="70"/>
              </w:rPr>
              <w:t>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Incremental tax benefit from stock options exercised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Gain on sale of fixed asset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Deferred income tax provision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Foreign currency transaction losses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(845)</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2,957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(4,434)</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tcBorders>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2,655</w:t>
            </w:r>
          </w:p>
        </w:tc>
        <w:tc>
          <w:tcPr>
            <w:tcW w:w="220" w:type="dxa"/>
            <w:vAlign w:val="bottom"/>
            <w:tcBorders>
              <w:top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Proceeds from sale of assets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(487)</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Revolving credit line borrowings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Revolving credit line payments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Proceeds from stock option exercises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dividends on common stock</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(1,863)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(2,839)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3,131</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2,450</w:t>
            </w:r>
          </w:p>
        </w:tc>
        <w:tc>
          <w:tcPr>
            <w:tcW w:w="2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Capital expenditures funded by accounts payable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financial statements of TransAct Technologies Incorporated have been prepared in accordance with accounting principles generally accepted in the United States of America (“GAAP”) for interim financial information. Accordingly, they do not include all of the information and footnotes required by GAAP to be included in full year financial statements. In the opinion of management, all adjustments considered necessary for a fair statement of the results for the periods presented have been included and are of a normal recurring nature. The December 31, 2014 Condensed Consolidated Balance Sheet data was derived from audited financial statements, but does not include all disclosures required by GAAP. These interim financial statements should be read in conjunction with the audited financial statements for the year ended December 31, 2014 included in our Annual Report on Form 10-K.</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(expenses)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nine months ended September 30, 2015 are not necessarily indicative of the results to be expected for the full year.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4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600" w:type="dxa"/>
            <w:vAlign w:val="bottom"/>
            <w:gridSpan w:val="3"/>
          </w:tcPr>
          <w:p>
            <w:pPr>
              <w:jc w:val="right"/>
              <w:ind w:right="870"/>
              <w:spacing w:after="0"/>
              <w:rPr>
                <w:sz w:val="20"/>
                <w:szCs w:val="20"/>
                <w:color w:val="auto"/>
              </w:rPr>
            </w:pPr>
            <w:r>
              <w:rPr>
                <w:rFonts w:ascii="Arial" w:cs="Arial" w:eastAsia="Arial" w:hAnsi="Arial"/>
                <w:sz w:val="17"/>
                <w:szCs w:val="17"/>
                <w:i w:val="1"/>
                <w:iCs w:val="1"/>
                <w:color w:val="auto"/>
                <w:w w:val="73"/>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nine months ended September 30, 2015: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i w:val="1"/>
                <w:iCs w:val="1"/>
                <w:color w:val="auto"/>
                <w:w w:val="97"/>
              </w:rPr>
              <w:t>(In thousands)</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Warranties issued</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Approximately $143,000 of the accrued product warranty liability is classified as current in Accrued liabilities at September 30, 2015 in the Condensed Consolidated Balance Sheets. The remaining $98,000 of the accrued product warranty liability is classified as long-term in Other liabilities.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2,560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7,800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8,337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Dilutive effect of outstanding options as determined by the</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method</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Diluted: Weighted average common and common equivalent shares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7,848</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7,844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8,403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0.33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options, when the average market price of the common stock is lower than the exercise price of the related stock option during the period. These outstanding stock options are not included in the computation of diluted earnings per share because the effect would be anti-dilutive. For the three months ended September 30, 2015 and 2014, there were 700,000 and 505,000, respectively, potentially dilutive shares consisting of stock options that were excluded from the calculation of earnings per diluted share. For the nine months ended September 30, 2015 and 2014, there were 844,000 and 268,500, respectively, potentially dilutive shares consisting of stock options that were excluded from the calculation of earnings per diluted share.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nine months ended September 30, 2015 were as follows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25,394</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deferred stock units, net of relinquishments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160"/>
              <w:spacing w:after="0"/>
              <w:rPr>
                <w:sz w:val="20"/>
                <w:szCs w:val="20"/>
                <w:color w:val="auto"/>
              </w:rPr>
            </w:pPr>
            <w:r>
              <w:rPr>
                <w:rFonts w:ascii="Arial" w:cs="Arial" w:eastAsia="Arial" w:hAnsi="Arial"/>
                <w:sz w:val="18"/>
                <w:szCs w:val="18"/>
                <w:color w:val="auto"/>
              </w:rPr>
              <w:t>Proceeds from issuance of shares from exercise of stock options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Incremental tax benefits from stock options exercised</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and paid on common stock</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40" w:type="dxa"/>
            <w:vAlign w:val="bottom"/>
          </w:tcPr>
          <w:p>
            <w:pPr>
              <w:ind w:left="160"/>
              <w:spacing w:after="0"/>
              <w:rPr>
                <w:sz w:val="20"/>
                <w:szCs w:val="20"/>
                <w:color w:val="auto"/>
              </w:rPr>
            </w:pPr>
            <w:r>
              <w:rPr>
                <w:rFonts w:ascii="Arial" w:cs="Arial" w:eastAsia="Arial" w:hAnsi="Arial"/>
                <w:sz w:val="18"/>
                <w:szCs w:val="18"/>
                <w:color w:val="auto"/>
              </w:rPr>
              <w:t>Purchase of common stock for treasury</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25,609</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2014 incentive bonus for the chief executive officer and chief financial officer in the form of deferred stock units. Such deferred stock units were granted in February 2015 and were fully vested at the time of grant.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2015, our Board of Directors declared a quarterly cash dividend of $0.08 per share, totaling $620,000, which was paid in September 2015 to common shareholders of record at the close of business on August 20, 2015. For the three months ended September 30, 2014, dividends declared and paid totaled $664,000, or $0.08 per share. For the nine months ended September 30, 2015 and 2014, dividends declared and paid totaled $1,863,000, or $0.24 per share and $1,912,000, or $0.23 per share,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recorded an income tax provision for the third quarter of 2015 of $541,000 at an effective tax rate of 34.5%, compared to an income tax provision during the third quarter of 2014 of $4,000 at an effective tax rate of 7.4%. Our effective tax rate for the third quarter of 2014 was unusually low due to the near breakeven level of pretax income.For the nine months ended September 30, 2015, we recorded an income tax provision of $1,403,000 at an effective tax rate of 35.4%, compared to an income tax provision during the nine months ended September 30, 2014 of $365,000 at an effective tax rate of 37.1%.</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U.S. federal income tax as well as income tax in certain state and foreign jurisdictions. We have substantially concluded all U.S. federal income tax, state and local, and foreign tax regulatory examination matters through 2011. During 2013, an examination of our 2010 federal tax return was completed. However, our federal tax returns for the years 2012 through 2014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September 30, 2015, we had $105,000 of total gross unrecognized tax benefits that, if recognized, would favorably affect the effective income tax rate in any future periods. During the third quarter of 2015, we recognized $49,000 of previously unrecognized tax benefits as the statute of limitations expired during the third quarter of 2015.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Accounting pronouncements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2014, the Financial Accounting Standards Board (the “FASB”) issued Accounting Standards Update (ASU) No.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April 2015, the FASB voted to defer the effective date of the new revenue recognition standard by one year. As a result, the provisions of this ASU are now effective for interim and annual periods beginning after December 15, 2017. We are currently evaluating the impact of this ASU.</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TransAct Technologies Incorporated (“TransAct”) designs, develops and sells market-specific solutions, including printers, terminals, software and other products for transaction-based and other industries. These world-class products are sold under the AccuDate™, Ithaca®, RESPONDER®, Epic,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Printrex®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and Printrex (which serves the oil and gas, medical and mobile printing markets). We sell our products to original equipment manufacturers, value-added resellers,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 printers and terminals and providing printer-related services, supplies and spare parts.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2014. We have reviewed those policies and determined that they remain our critical accounting policies for the nine months ended September 30, 2015.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September 30, 2015 compared to three months ended September 30, 2014</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September 30, 2015 and 2014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Casino and gaming</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5,062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Printrex</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14,172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13,389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160" w:right="340" w:firstLine="90"/>
        <w:spacing w:after="0" w:line="261" w:lineRule="auto"/>
        <w:rPr>
          <w:sz w:val="20"/>
          <w:szCs w:val="20"/>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7"/>
          <w:szCs w:val="17"/>
          <w:color w:val="auto"/>
        </w:rPr>
        <w:t>Net sales for the third quarter of 2015 increased $783,000, or 6%, from the same period in 2014. Overall printer sales volume decreased 3% to approximately 35,000 but the decrease in printer sales volume was more than offset by a 37% increase in the TSG market in the third quarter of 2015 compared to the same period in 2014. The decrease in units was driven primarily by a 16% decrease in unit volume from the casino and gaming market and an 84% decrease in the Printrex market. These printer unit sales decreases were partially offset by an increase in unit volume of 18% from the food safety, banking and POS market and a 15% increase in the lottery market. The average selling price of our printers decreased by less than 1% in the third quarter of 2015 compared to the third quarter of 2014. International sales decreased $1,210,000, or 33%, due primarily to decreases in the international casino and gaming market that were partially offset by an increase in the international lottery market.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the food safety, banking and POS market includes sales of food safety terminals which are printing devices that consist of an operating system, a touchscreen and one or two thermal print mechanisms that print easy-to-read expiration and "enjoy by" date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and/or validate checks at bank teller stations. A summary of sales of our worldwide food safety, banking and POS products for the three months ended September 30, 2015 and 2014 is as follows (in thousands, except percentages):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increase in the domestic food safety, banking and POS product revenue from the third quarter of 2014 was primarily driven by a 91% increase in sales of our food safety terminal, including the first shipment of our AccuDate</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 food safety terminal in the third quarter of 2015. Additionally, domestic sales of our Ithaca®9000 printers increased 27% primarily to support new initiatives at McDonald’s Corporation. These increases were partially offset by lower sales of our older generation POS printers.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real-time at the slot machine. A summary of sales of our worldwide casino and gaming products for the three months ended September 30, 2015 and 2014 is as follows (in thousands,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in domestic sales of our casino and gaming products was primarily due to a 70% increase in sales of our thermal casino printers during the third quarter of 2015 compared to the third quarter of 2014. We believe the increase resulted from market share gains, as the replacement cycle for slot machines remains weak. EPICENTRAL™ software sales for the third quarter 2015 remained relatively consistent with those reported for the third quarter 2014.</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casino and gaming printer sales decreased in the third quarter of 2015 compared to the third quarter of 2014 due primarily to a 71% decrease in sales of our thermal casino printers, primarily due to a significant decrease in casino printers being shipped to our European distributor. International sales of our off-premise gaming printers remained consistent for the third quarter 2015 compared to the third quarter 2014.</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IGT (formerly GTECH Corporation) and its subsidiaries for various lottery applications. A summary of sales of our worldwide lottery printers for the three months ended September 30, 2015 and 2014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International lottery sales increased due to a sale to IGT for lottery terminals for the Spanish lottery.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Printrex branded printers are sold into markets that include wide format, rack mounted and vehicle mounted black/white and color thermal printers 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and other mobile printing applications. A summary of sales of our worldwide Printrex printers for the three months ended September 30, 2015 and 2014 is as follows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sales of Printrex printers in the third quarter of 2015 compared to the third quarter of 2014 was primarily due to 69% lower domestic and international sales in the oil and gas market due to the continued negative impact from the decline in worldwide oil prices which we expect will continue to negatively impact our sales during the remainder of 2015. In addition, we experienced a 95% decline in medical and mobile printer sales due to the loss of a customer in the medical industry that will impact our sales further for the remainder of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September 30, 2015 and 2014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domestic revenue from TSG was primarily due to a 118% increase in sales of replacement parts due mainly to purchases for lottery printers by IGT. These increases were partially offset by 61% lower revenue from consumables for our Printrex color printers due to lower printing usage resulting from reduced drilling caused by the decline in worldwide oil prices as well as an 11% decrease in sales of non-Printrex consumable products, largely HP inkjet cartridges, as we continue to deemphasize this commoditized consumable product.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0"/>
                <w:szCs w:val="20"/>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6,291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our EPICENTRAL® print system. Gross profit increased $1,005,000, or 19%, and our gross margin increased by 490 basis points as we experienced a favorable sales mix in the third quarter of 2015 compared to the third quarter of 2014. During the third quarter of 2015, a large portion of our sales increase was generated from our higher margin TSG products and food safety terminals. We expect our gross margin for the full year 2015 to be higher than in 2014 as we expect to benefit from increased sales of our new value-added products, and expect to recognize the benefits from cost reduction initiatives we implemented during the fourth quarter of 2014.</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766</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1,053</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(27.3%)</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decreased $287,000, or 27%, due primarily to a reduction of engineering staff resulting from our 2014 cost reduction initiatives as well as lower outside testing and pre-production expenses during the third quarter of 2015 compared to the third quarter of 2014 when we were in the process of launching three new products. We expect engineering, design and product development expenses in 2015 to be lower than in 2014 due to staff reductions and lower product development expenses resulting from cost reduction initiatives we implemented during the fourth quarter of 2014. We expect engineering, design and product development expenses in 2015 to be lower than in 2014 due to staff reductions and lower product development expenses resulting from cost reduction initiatives we implemented during the fourth quarter of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0"/>
                <w:szCs w:val="20"/>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2,137</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1,847</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15.1%</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$290,000, or 16%, in the third quarter of 2015 compared to the third quarter of 2014 primarily due to planned investments made during the second half of 2014 and first nine months of 2015 in new sales staff to focus on sales execution of our new products. Additionally, we incurred higher trade show expenses due to the timing of our largest tradeshow, the Global Gaming Expo, which occurred in the third quarter in 2015 compared to the fourth quarter in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1,823</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1,901</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by 78,000, or 4%, in the third quarter of 2015 compared to the third quarter of 2014 primarily due to the departure of our VP, Business Development during the fourth quarter of 2014 who was not replaced.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Fees and Settlement Expenses Associated with Lawsuit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Legal fee information is summarized below (in thousands, except percentages):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428</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disclosed in Note 7 to the Condensed Consolidated Financial Statements, in June 2012, Avery Dennison Corporation (“AD”) filed a civil complaint against the Company, which we settled in March 2015. Due to the settlement of the AD lawsuit in March 2015, we did not incur any legal fees related to the lawsuit during the third quarter of 2015 and we do not expect to incur any additional expenses for the remainder of 2015.</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Three months ended</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9"/>
                <w:szCs w:val="19"/>
                <w:color w:val="auto"/>
              </w:rPr>
            </w:pPr>
          </w:p>
        </w:tc>
        <w:tc>
          <w:tcPr>
            <w:tcW w:w="19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36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1,565</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w:t>
            </w:r>
          </w:p>
        </w:tc>
        <w:tc>
          <w:tcPr>
            <w:tcW w:w="2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2,645.6%</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income increased by $1,508,000 and our operating margin improved to 11.0% of net sales primarily due to a 490 basis point increase of our gross margin in the third quarter of 2015 compared to the third quarter of 2014. In addition our operating income was positively impacted by the settlement of the AD lawsuit during the first quarter of 2015 as we had no legal fees related to the lawsuit in the third quarter of 2015 compared to $428,000 in the third quarter of 2014.</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$7,000 in the third quarter of 2015 compared to $12,000 in the third quarter of 2014 due to the lower unused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line fee we are charged upon renewing our credit facility (the “TD Bank Credit Facility”) with TD Bank N.A. (“TD Bank”) on November 26, 2014. As of the renewal, we are charged a fee of 0.15% on unused borrowings compared to 0.25% during the third quarter of 2014. See “Liquidity and Capital Resources” below for more information.</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We recorded other income of $11,000 in the third quarter of 2015 compared to other income of $9,000 in the third quarter of 2014. The 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due primarily to a gain of $4,000 recorded on the disposal of a fixed asset in the third quarter of 2015. Foreign currency transaction exchange gains recorded by our U.K. subsidiary remained consistent in the third quarter of 2015 compared to the third quarter of 2014.</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third quarter of 2015 of $541,000 at an effective tax rate of 34.5%, compared to an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during the third quarter of 2014 of $4,000 at an effective tax rate of 7.4%. Our effective tax rate for the third quarter of 2014 was unusually low due to the near breakeven level of pretax income. We expect our effective tax rate for the full year 2015 to be between 35% and 36%.</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third quarter of 2015 of $1,028,000, or $0.13 per diluted share, compared to $50,000, or $0.01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third quarter of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Nine months ended September 30, 2015 compared to nine months ended September 30, 2014</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nine months ended September 30, 2015 and 2014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4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18"/>
                <w:szCs w:val="18"/>
                <w:color w:val="auto"/>
              </w:rPr>
            </w:pPr>
          </w:p>
        </w:tc>
        <w:tc>
          <w:tcPr>
            <w:tcW w:w="1620" w:type="dxa"/>
            <w:vAlign w:val="bottom"/>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Casino and gaming</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17,237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17,728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Printrex</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1,152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3,013</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47,560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40,812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6,748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International *</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11,187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11,230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800" w:type="dxa"/>
            <w:vAlign w:val="bottom"/>
            <w:gridSpan w:val="17"/>
          </w:tcPr>
          <w:p>
            <w:pPr>
              <w:jc w:val="right"/>
              <w:ind w:right="10"/>
              <w:spacing w:after="0" w:line="201" w:lineRule="exact"/>
              <w:rPr>
                <w:sz w:val="20"/>
                <w:szCs w:val="20"/>
                <w:color w:val="auto"/>
              </w:rPr>
            </w:pPr>
            <w:r>
              <w:rPr>
                <w:rFonts w:ascii="Arial" w:cs="Arial" w:eastAsia="Arial" w:hAnsi="Arial"/>
                <w:sz w:val="18"/>
                <w:szCs w:val="18"/>
                <w:color w:val="auto"/>
                <w:w w:val="95"/>
              </w:rPr>
              <w:t>International sales do not include sales of printers made to domestic distributors or other domestic customers who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20" w:type="dxa"/>
            <w:vAlign w:val="bottom"/>
            <w:gridSpan w:val="10"/>
          </w:tcPr>
          <w:p>
            <w:pPr>
              <w:ind w:left="420"/>
              <w:spacing w:after="0"/>
              <w:rPr>
                <w:sz w:val="20"/>
                <w:szCs w:val="20"/>
                <w:color w:val="auto"/>
              </w:rPr>
            </w:pPr>
            <w:r>
              <w:rPr>
                <w:rFonts w:ascii="Arial" w:cs="Arial" w:eastAsia="Arial" w:hAnsi="Arial"/>
                <w:sz w:val="18"/>
                <w:szCs w:val="18"/>
                <w:color w:val="auto"/>
                <w:w w:val="95"/>
              </w:rPr>
              <w:t>*may in turn ship those printers to international destinations.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for the first nine months of 2015 increased $6,748,000, or 17%, from the same period in 2014. Printer sales volume increased 28% to approximately 135,000 units driven primarily by a 176% increase in unit volume from the lottery market. Additionally, unit sales increased to a lesser extent in the first nine months of 2015 from a 15% increase from the food safety, banking and POS market. The average selling price of our printers decreased approximately 8% during the first nine months of 2015 compared to the first nine months of 2014 primarily due to the large volume of lower-priced lottery printers sold during the first nine months of 2015.</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Overall, international sales decreased slightly by $43,000, or less than 1%, as lower sales in the international casino and gaming market, Printrex market and TSG market were almost fully offset by increases in the international lottery market and international food safety, banking and POS market.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food safety, banking and POS products for the nine months ended September 30, 2015 and 2014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increase in both domestic and international food safety, banking and POS printer revenue as compared to the first nine months of 2014 was primarily driven by a 112% increase in sales of our food safety terminals during the first nine months of 2015 due largely to the resumption of shipments to our distributor who made a large initial stocking order in 2013 and did not make any purchases in the first nine months of 2014. Also, the sale of food safety products increased during the third quarter of 2015 as we shipped our first AccuDate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Pro units. In addition to increased food safety terminal sales, sales of our Ithaca® 9000 printers increased 18% in the first nine months of 2015 compared to the first nine months of 2014 due to new initiatives by McDonald’s Corporation that started in 2015. These increases were partially offset by lower sales of our banking printers and other POS printers.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casino and gaming products for the nine months ended September 30, 2015 and 2014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8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9,449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17,728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increase in domestic sales of our casino and gaming products resulted primarily from higher domestic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sales due to one new installation that occurred in the first nine months of 2015 compared to no new domestic installations in the first nine months of 2014. This increase was partially offset by a 3% decline in sales of our thermal casino printers in the first nine months of 2015 compared to the first nine months of 2014.</w:t>
      </w: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International casino and gaming printer sales decreased in the first nine months of 2015 due to 17% and 88% decreases in sales of our thermal casino printers and EPICENTRAL™ software, respectively. EPICENTRAL™ software sales decreased as we had no new international installations in the first nine months of 2015 compared to one international installation at multiple casino properties for a customer in South America during the first nine months of 2014. These decreases were partially offset by an 80% increase in sales of our off-premise thermal gaming printers during the first nine months of 2015 compared to the first nine months of 2014 largely due to installations in sports betting machines in Spain. Sales of our off-premise gaming printers are largely project-oriented and therefore may fluctuate significantly from quarter-to-quarter and year-to-year.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lottery printers for the nine months ended September 30, 2015 and 2014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International sales increased due to a sale to IGT for lottery terminals for the Spanish lottery.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summary of sales of our worldwide Printrex printers for the nine months ended September 30, 2015 and 2014 is as follows (in thousands, except percentages):</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ind w:left="220"/>
              <w:spacing w:after="0" w:line="199" w:lineRule="exact"/>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7"/>
                <w:szCs w:val="17"/>
                <w:color w:val="auto"/>
              </w:rPr>
            </w:pPr>
          </w:p>
        </w:tc>
        <w:tc>
          <w:tcPr>
            <w:tcW w:w="2360" w:type="dxa"/>
            <w:vAlign w:val="bottom"/>
            <w:gridSpan w:val="4"/>
          </w:tcPr>
          <w:p>
            <w:pPr>
              <w:ind w:left="240"/>
              <w:spacing w:after="0" w:line="199"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3"/>
          </w:tcPr>
          <w:p>
            <w:pPr>
              <w:ind w:left="680"/>
              <w:spacing w:after="0" w:line="199" w:lineRule="exact"/>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Printrex printers was due primarily to 62% lower domestic and international sales in the oil and gas market due to the continued negative impact from the decline in worldwide oil prices. In addition, we experienced a 61% decline in medical and mobile printer sales due largely to the loss of a customer in the medical industry. This decrease was partially offset by the first sales contribution from our RESPONDER mobile printer in the first nine months of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in our worldwide TSG market for the nine months ended September 30, 2015 and 2014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domestic revenue from TSG was primarily due to a 65% increase in sales of replacement parts mainly to IGT for the lottery market and a 25% increase in services revenue largely from project oriented paper testing services. These increases were partially offset by an 11% decline in sales of our non-Printrex consumables, largely from the decline in sales of HP inkjet cartridges, as we continue to deemphasize this commoditized consumable product and 29% lower revenue from consumables for our Printrex color printers due to lower printing usage resulting from reduced drilling caused by the decline in worldwide oil prices.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Internationally, TSG revenue decreased primarily due to a 38% decrease in sales of replacement parts and accessories due to a large number of shipments to IGT in 2014 to support international legacy lottery printers that did not reoccur during the first nine months of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0"/>
                <w:szCs w:val="20"/>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19,944</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16,800</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increased $3,144,000, or 19%, due primarily to a 17% increase in sales. Additionally, our gross margin increased by 70 basis points as we experienced a slightly more favorable sales mix in the first nine months of 2015 compared to the first nine months of 2014. This increase in gross margin was achieved despite a large portion of our sales being generated from our lottery printers during the first half of 2015 which carry lower gross margin than our other products. The improved gross margin was attained primarily during the third quarter of 2015 due to higher margin contribution from TSG products and food safety terminal sales.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2,494</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3,434</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expenses decreased $940,000, or 27%, due primarily to a reduction of engineering staff resulting from our 2014 cost reduction initiatives as well as lower outside testing and pre-production expenses during the first nine months of 2015 compared to the first nine months of 2014 when we were in the process of launching three new products.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6,060</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6,069</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Such expenses remained relatively consistent decreasing by less than 1% in the first nine months of 2015 compared to the first nine months of 2015 primarily due to lower marketing expenses from cost savings initiatives as well as lower travel expenses in our Printrex markets as we consciously decided to reduce these expenses in response to the worldwide decline in the oil and gas markets. These decreases were almost entirely offset by the planned investments we made during the second half of 2014 and early 2015 in new sales and marketing staff to focus on sales execution of our new products and higher tradeshow expense due to the timing of our largest tradeshow, the Global Gaming Expo, which occurred in the third quarter in 2015 compared to the fourth quarter in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5,665</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5,789</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decreased $124,000, or 2%, due primarily to lower salary expenses related to the departure of our VP, Business Development during the fourth quarter of 2014 who has not been replaced. This decrease was somewhat offset by higher incentive compensation expense in the first nine months of 2015 compared to the first nine months of 2014.</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Fees and Settlement Expenses Associated with Lawsuit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Legal fee information is summarized below (in thousands, except percentages):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1,738</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265.9%</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7 to the Condensed Consolidated Financial Statements, in June 2012, AD filed a civil complaint against the Company which we settled in March 2015. In connection with this lawsuit, we incurred legal fees of $1,738,000 and $475,000 in the first nine months of 2015 and 2014, respectively. Due to the settlement of the AD lawsuit in March 2015, we did not incur any additional expenses related to the lawsuit during the third quarter of 2015 and we do not expect to incur any further expenses for the remainder of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3,987</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1,033</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286.0%</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our operating income and operating margin increased primarily due to a 17% increase in sales in the first nine months of 2015 as compared to the first nine months of 2014. In addition, our operating income was positively impacted by cost savings initiatives we instituted in the fourth quarter of 2014 but were largely offset by higher legal expenses resulting from the AD lawsuit. Excluding the AD legal fees, our operating income would have increased $4,217,000, or 280% in the first nine months of 2015 compared to the first nine months of 2014.</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$23,000 in the first nine months of 2015 compared to $38,000 in the first nine months of 2014 due to the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unused revolving credit line fee we are charged upon renewing the TD Bank Credit Facility with TD Bank on November 26, 2014. As of the renewal, we are charged a fee of 0.15% on unused borrowings compared to 0.25% during the first nine months of 2014. See “Liquidity and Capital Resources” below for more information.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$1,000 in the first nine months of 2015 compared to other expense of $11,000 in the first nine months of 2014.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was primarily due to lower net foreign currency transaction exchange losses recorded by our U.K. subsidiary in the first nine months of 2015 compared to the first nine months of 2014.</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first nine months of 2015 of $1,403,000 at an effective tax rate of 35.4%, compared to an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provision during the first nine months of 2014 of $365,000 at an effective tax rate of 37.1%. Our effective tax rate for the first nine months of 2014 was higher due to the impact from certain permanent book to tax adjustments on a relatively low level of pre-tax income.</w:t>
      </w:r>
    </w:p>
    <w:p>
      <w:pPr>
        <w:jc w:val="both"/>
        <w:spacing w:after="0" w:line="261"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nine months of 2015 of $2,560,000, or $0.33 per diluted share, compared to $619,000, or $0.07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nine months of 2014.</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nine months of 2015, our cash and cash equivalents balance decreased $681,000, or 22%, from December 31, 2014 and we ended the third quarter of 2015 with $2,450,000 in cash and cash equivalents, of which $77,000 was held by our U.K. subsidiary, and no debt outstanding. However, in April 2015 we borrowed $2,500,000 under our TD Bank Credit Facility to fund the $3,600,000 payment related to the settlement of the AD lawsuit, which we fully repaid during the second quarter 2015.</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$2,792,000 in the first nine months of 2015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$3,456,000 in the first nine months of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2015:</w:t>
      </w:r>
    </w:p>
    <w:p>
      <w:pPr>
        <w:spacing w:after="0" w:line="23" w:lineRule="exact"/>
        <w:rPr>
          <w:sz w:val="20"/>
          <w:szCs w:val="20"/>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reported net income of $2,560,000.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$1,454,000.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increased $845,000, or 9%, due to the increase and timing of sales during the third quarter of 2015.</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increased $644,000, or 5%, due to the build-up of inventory in anticipation of higher sales volume in 2015.</w:t>
      </w:r>
    </w:p>
    <w:p>
      <w:pPr>
        <w:spacing w:after="0" w:line="9" w:lineRule="exact"/>
        <w:rPr>
          <w:rFonts w:ascii="Arial" w:cs="Arial" w:eastAsia="Arial" w:hAnsi="Arial"/>
          <w:sz w:val="18"/>
          <w:szCs w:val="18"/>
          <w:color w:val="auto"/>
        </w:rPr>
      </w:pPr>
    </w:p>
    <w:p>
      <w:pPr>
        <w:ind w:left="1140" w:right="2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payable increased $2,957,000 due primarily to increased inventory purchases during the first nine months of the year to support a higher level of sales.</w:t>
      </w:r>
    </w:p>
    <w:p>
      <w:pPr>
        <w:ind w:left="1140" w:hanging="132"/>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$4,434,000 due primarily to the payment of the AD lawsuit settlement in April 2015 and the payment of 2014 annual bonuses in March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2014:</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$619,000.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$1,526,000.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decreased $2,061,000 due primarily to lower sales volume and collections made from the high concentration of sales made during the latter portion of the fourth quarter of 2013.</w:t>
      </w:r>
    </w:p>
    <w:p>
      <w:pPr>
        <w:ind w:left="1140" w:right="2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increased $499,000 due to increased stocking levels of our newly launched food safety and Printrex products combined with lower than expected sales volume.</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decreased $921,000 due primarily to the timing of payments and decreased inventory purchases during the third quarter of 2014.</w:t>
      </w:r>
    </w:p>
    <w:p>
      <w:pPr>
        <w:ind w:left="1140" w:right="20" w:hanging="132"/>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$713,000 primarily due to increased accrued salaries as well as higher levels of advanced payments received for EPICENTRAL™ software maintenance.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$491,000 and $568,000 in the first nine months of 2015 and 2014, respectively. Expenditures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approximately $333,000 of cost incurred for the purchase of a new phone system and other computer equipment and the remaining amount was primarily for the purchase of new product tooling equipment. Expenditures in 2014 included $316,000 of costs incurred for the purchase of new product tooling, $39,000 for costs incurred in connection with an enhancement to the Company’s ERP software and the remaining amount primarily for the purchase of manufacturing equipment and computer equipment.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2015 are expected to be approximately $800,000 primarily for the purchase of a new phone system, leasehold improvements at our Las Vegas facility and new product tooling and tooling enhancements for our existing products.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We used $2,839,000 of cash from financing activities during the first nine months of 2015 to pay dividends of $1,863,000 to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and to purchase $1,020,000 of common stock for treasury, partially offset by proceeds and tax benefits from stock option exercises of $44,000. During the first nine months of 2014, we used $2,738,000 of cash from financing activities to pay cash dividends of $1,912,000 to common shareholders and to purchase $826,000 of common stock for treasury. Additionally, during the third quarter of 2015 we borrowed $2,500,000 under the TD Bank Credit Facility to partially fund the $3,600,000 payment related to the AD lawsuit, which we fully repaid before June 30,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working capital increased by 3% to $18,906,000 at September 30, 2015 from $18,361,000 at December 31, 2014. Our current ratio of current assets to current liabilities increased to 3.3 as of September 30, 2015 compared to 2.9 at December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amendment increases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expense we incurred in the fourth quarter of 2014 related to the settlement of the AD lawsuit); and modified the definition of Operating Cash Flow to exclude unfinanced capital expenditures for the quarters ending December 31, 2014, March 31, 2015 and June 30, 2015.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September 30, 2015. The following table lists the financial covenants and the performance measurements at September 30, 2015: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Financial Covenant</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Requirement/Restriction</w:t>
            </w:r>
          </w:p>
        </w:tc>
        <w:tc>
          <w:tcPr>
            <w:tcW w:w="3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Calculation at September 30, 2015</w:t>
            </w:r>
          </w:p>
        </w:tc>
      </w:tr>
      <w:tr>
        <w:trPr>
          <w:trHeight w:val="216"/>
        </w:trPr>
        <w:tc>
          <w:tcPr>
            <w:tcW w:w="44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Operating cash flow / Total debt service</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Minimum of 1.25 times</w:t>
            </w:r>
          </w:p>
        </w:tc>
        <w:tc>
          <w:tcPr>
            <w:tcW w:w="38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105.0 times</w:t>
            </w:r>
          </w:p>
        </w:tc>
      </w:tr>
      <w:tr>
        <w:trPr>
          <w:trHeight w:val="230"/>
        </w:trPr>
        <w:tc>
          <w:tcPr>
            <w:tcW w:w="4420" w:type="dxa"/>
            <w:vAlign w:val="bottom"/>
          </w:tcPr>
          <w:p>
            <w:pPr>
              <w:jc w:val="center"/>
              <w:ind w:left="70"/>
              <w:spacing w:after="0"/>
              <w:rPr>
                <w:sz w:val="20"/>
                <w:szCs w:val="20"/>
                <w:color w:val="auto"/>
              </w:rPr>
            </w:pPr>
            <w:r>
              <w:rPr>
                <w:rFonts w:ascii="Arial" w:cs="Arial" w:eastAsia="Arial" w:hAnsi="Arial"/>
                <w:sz w:val="18"/>
                <w:szCs w:val="18"/>
                <w:color w:val="auto"/>
                <w:w w:val="94"/>
              </w:rPr>
              <w:t>Funded Debt / EBITDA</w:t>
            </w:r>
          </w:p>
        </w:tc>
        <w:tc>
          <w:tcPr>
            <w:tcW w:w="3120" w:type="dxa"/>
            <w:vAlign w:val="bottom"/>
          </w:tcPr>
          <w:p>
            <w:pPr>
              <w:jc w:val="center"/>
              <w:spacing w:after="0"/>
              <w:rPr>
                <w:sz w:val="20"/>
                <w:szCs w:val="20"/>
                <w:color w:val="auto"/>
              </w:rPr>
            </w:pPr>
            <w:r>
              <w:rPr>
                <w:rFonts w:ascii="Arial" w:cs="Arial" w:eastAsia="Arial" w:hAnsi="Arial"/>
                <w:sz w:val="18"/>
                <w:szCs w:val="18"/>
                <w:color w:val="auto"/>
                <w:w w:val="93"/>
              </w:rPr>
              <w:t>Maximum of 3.0 times</w:t>
            </w:r>
          </w:p>
        </w:tc>
        <w:tc>
          <w:tcPr>
            <w:tcW w:w="3880" w:type="dxa"/>
            <w:vAlign w:val="bottom"/>
          </w:tcPr>
          <w:p>
            <w:pPr>
              <w:jc w:val="center"/>
              <w:ind w:right="30"/>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quarter of 2015 we borrowed $2,500,000 under the TD Bank Credit Facility to partially fund the $3,600,000 payment related to the AD lawsuit which we fully repaid before June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borrowings available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For the three months ended September 30, 2015, our Board of Directors declared a quarterly cash dividend of $0.08 per share, totaling approximately $620,000, which was paid in September 2015 to common shareholders of record at the close of business on August 20, 2015. For the nine months ended September 30, 2015, dividends declared and paid totaled $1,863,000, or $0.24 per share. We expect to pay approximately $2,500,000 in cash dividends to our common shareholders during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its expiration on July 31, 2015, we maintained a stock repurchase program (the “Stock Repurchase Program”) whereby we were authorized to repurchase up to $7,500,000 of outstanding shares of common stock from time to time in the open market, depending on market conditions, share price and other factors. The Stock Repurchase Program expired on July 31, 2015 and was not renewed. During the nine months ended September 30, 2015 we repurchased 166,553 shares of our common stock for $1,020,000 at an average price per share of $6.12. As of September 30, 2015, no additional shares are authorized for future repurchases due to the expiration of the Stock Repurchase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cash and cash equivalents on hand,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2014.</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On March 25, 2015 we executed a confidential settlement agreement on the AD lawsuit as disclosed herein under the heading “Other Information—Item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29, 2015, we signed a non-exclusive agreement with IGT (formerly GTECH) to provide thermal lottery printers to IGT for various lottery applications through December 31, 2019.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2015, we signed a second amendment of our lease agreement for our facility in Las Vegas, Nevada with The Realty Associates Fund IX L.P. as disclosed herein under the heading “Other Information—Item 5. Other Information”.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items mentioned above, there have been no other material changes in our contractual obligations outside the ordinary course of business since December 31, 2014. We have no material off-balance sheet arrangements as defined in Item 303(a)(4)(ii)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2014. There has been no material change in our exposure to market risk during the nine months ended September 30,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2015, our Chief Executive Officer and Chief Financial Officer concluded that, as of such date, our disclosure controls and procedures were effective at the reasonable assurance level.</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September 30, 2015 that has materially affected, or is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2014.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Exhibit 31.1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31.2</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32.1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51"/>
        </w:trPr>
        <w:tc>
          <w:tcPr>
            <w:tcW w:w="126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20</w:t>
            </w:r>
          </w:p>
        </w:tc>
      </w:tr>
      <w:tr>
        <w:trPr>
          <w:trHeight w:val="118"/>
        </w:trPr>
        <w:tc>
          <w:tcPr>
            <w:tcW w:w="126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558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November 9, 2015</w:t>
            </w: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5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1048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1142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04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59"/>
        </w:trPr>
        <w:tc>
          <w:tcPr>
            <w:tcW w:w="940" w:type="dxa"/>
            <w:vAlign w:val="bottom"/>
            <w:tcBorders>
              <w:bottom w:val="single" w:sz="8" w:color="808080"/>
            </w:tcBorders>
          </w:tcPr>
          <w:p>
            <w:pPr>
              <w:spacing w:after="0"/>
              <w:rPr>
                <w:sz w:val="24"/>
                <w:szCs w:val="24"/>
                <w:color w:val="auto"/>
              </w:rPr>
            </w:pPr>
          </w:p>
        </w:tc>
        <w:tc>
          <w:tcPr>
            <w:tcW w:w="10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438150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438150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September 30, 2015,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93"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2019-12-29T14:55:34Z</dcterms:created>
  <dcterms:modified xsi:type="dcterms:W3CDTF">2019-12-29T14:55:34Z</dcterms:modified>
</cp:coreProperties>
</file>