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5715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2"/>
          </w:tcPr>
          <w:p>
            <w:pPr>
              <w:jc w:val="right"/>
              <w:ind w:right="245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sectPr>
      </w:pPr>
    </w:p>
    <w:p>
      <w:pPr>
        <w:spacing w:after="0" w:line="261" w:lineRule="auto"/>
        <w:rPr>
          <w:sz w:val="20"/>
          <w:szCs w:val="20"/>
          <w:color w:val="auto"/>
        </w:rPr>
      </w:pPr>
      <w:r>
        <w:rPr>
          <w:rFonts w:ascii="Arial" w:cs="Arial" w:eastAsia="Arial" w:hAnsi="Arial"/>
          <w:sz w:val="18"/>
          <w:szCs w:val="18"/>
          <w:color w:val="auto"/>
        </w:rPr>
        <w:t>Large accelerated filer o Accelerated filer o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4" w:lineRule="exact"/>
        <w:rPr>
          <w:sz w:val="24"/>
          <w:szCs w:val="24"/>
          <w:color w:val="auto"/>
        </w:rPr>
      </w:pPr>
    </w:p>
    <w:p>
      <w:pPr>
        <w:sectPr>
          <w:pgSz w:w="11900" w:h="16838" w:orient="portrait"/>
          <w:cols w:equalWidth="0" w:num="2">
            <w:col w:w="8500" w:space="100"/>
            <w:col w:w="2820"/>
          </w:cols>
          <w:pgMar w:left="240" w:top="206"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8500" w:space="120"/>
            <w:col w:w="460" w:space="120"/>
            <w:col w:w="2220"/>
          </w:cols>
          <w:pgMar w:left="240" w:top="206"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2016, the number of shares outstanding of the Company’s common stock, $0.01 par value, was 7,383,364.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6"/>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1"/>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w:t>
              </w:r>
            </w:hyperlink>
            <w:r>
              <w:rPr>
                <w:rFonts w:ascii="Arial" w:cs="Arial" w:eastAsia="Arial" w:hAnsi="Arial"/>
                <w:sz w:val="18"/>
                <w:szCs w:val="18"/>
                <w:color w:val="000000"/>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nine months ended September 30, 2016 and 2015</w:t>
              </w:r>
            </w:hyperlink>
          </w:p>
        </w:tc>
        <w:tc>
          <w:tcPr>
            <w:tcW w:w="126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2016 and 2015</w:t>
              </w:r>
            </w:hyperlink>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2016 and 2015</w:t>
              </w:r>
            </w:hyperlink>
          </w:p>
        </w:tc>
        <w:tc>
          <w:tcPr>
            <w:tcW w:w="166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14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 Upon Senior Securities</w:t>
              </w:r>
            </w:hyperlink>
          </w:p>
        </w:tc>
        <w:tc>
          <w:tcPr>
            <w:tcW w:w="51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726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74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SIGNATURES</w:t>
              </w:r>
            </w:hyperlink>
          </w:p>
        </w:tc>
        <w:tc>
          <w:tcPr>
            <w:tcW w:w="9300" w:type="dxa"/>
            <w:vAlign w:val="bottom"/>
            <w:gridSpan w:val="2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1620" w:type="dxa"/>
            <w:vAlign w:val="bottom"/>
          </w:tcPr>
          <w:p>
            <w:pPr>
              <w:jc w:val="right"/>
              <w:ind w:right="10"/>
              <w:spacing w:after="0" w:line="201" w:lineRule="exact"/>
              <w:rPr>
                <w:sz w:val="20"/>
                <w:szCs w:val="20"/>
                <w:color w:val="auto"/>
              </w:rPr>
            </w:pPr>
            <w:r>
              <w:rPr>
                <w:rFonts w:ascii="Arial" w:cs="Arial" w:eastAsia="Arial" w:hAnsi="Arial"/>
                <w:sz w:val="18"/>
                <w:szCs w:val="18"/>
                <w:i w:val="1"/>
                <w:iCs w:val="1"/>
                <w:color w:val="auto"/>
              </w:rPr>
              <w:t>(In thousands,</w:t>
            </w:r>
          </w:p>
        </w:tc>
        <w:tc>
          <w:tcPr>
            <w:tcW w:w="2060" w:type="dxa"/>
            <w:vAlign w:val="bottom"/>
            <w:gridSpan w:val="3"/>
          </w:tcPr>
          <w:p>
            <w:pPr>
              <w:jc w:val="right"/>
              <w:ind w:right="710"/>
              <w:spacing w:after="0" w:line="201" w:lineRule="exact"/>
              <w:rPr>
                <w:sz w:val="20"/>
                <w:szCs w:val="20"/>
                <w:color w:val="auto"/>
              </w:rPr>
            </w:pPr>
            <w:r>
              <w:rPr>
                <w:rFonts w:ascii="Arial" w:cs="Arial" w:eastAsia="Arial" w:hAnsi="Arial"/>
                <w:sz w:val="18"/>
                <w:szCs w:val="18"/>
                <w:i w:val="1"/>
                <w:iCs w:val="1"/>
                <w:color w:val="auto"/>
                <w:w w:val="83"/>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10,478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24,909</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 of accumulated depreciation of $18,991 and $18,336, respectively</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$3,024, and $2,779, respectively</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643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31,942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2,129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480"/>
              <w:spacing w:after="0" w:line="201" w:lineRule="exact"/>
              <w:rPr>
                <w:sz w:val="20"/>
                <w:szCs w:val="20"/>
                <w:color w:val="auto"/>
              </w:rPr>
            </w:pPr>
            <w:r>
              <w:rPr>
                <w:rFonts w:ascii="Arial" w:cs="Arial" w:eastAsia="Arial" w:hAnsi="Arial"/>
                <w:sz w:val="18"/>
                <w:szCs w:val="18"/>
                <w:color w:val="auto"/>
                <w:w w:val="95"/>
              </w:rPr>
              <w:t>Common stock, $0.01 par value, 20,000,000 shares authorized; 11,185,331 and 11,170,881</w:t>
            </w:r>
          </w:p>
        </w:tc>
        <w:tc>
          <w:tcPr>
            <w:tcW w:w="22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800"/>
              <w:spacing w:after="0"/>
              <w:rPr>
                <w:sz w:val="20"/>
                <w:szCs w:val="20"/>
                <w:color w:val="auto"/>
              </w:rPr>
            </w:pPr>
            <w:r>
              <w:rPr>
                <w:rFonts w:ascii="Arial" w:cs="Arial" w:eastAsia="Arial" w:hAnsi="Arial"/>
                <w:sz w:val="18"/>
                <w:szCs w:val="18"/>
                <w:color w:val="auto"/>
                <w:w w:val="97"/>
              </w:rPr>
              <w:t>shares issued, respectively; 7,383,364 and 7,782,292 shares outstanding, respectively</w:t>
            </w:r>
          </w:p>
        </w:tc>
        <w:tc>
          <w:tcPr>
            <w:tcW w:w="2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23,390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Treasury stock, at cost, 3,801,967 and 3,388,589 shares, respectively</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(29,423)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31,942</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14,474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43,632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8,559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17,783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1,133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Legal fees associated with lawsuit (Note 7)</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7,498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7,549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2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0"/>
              </w:rPr>
              <w:t>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883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880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Deferred income tax provision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Gain on the sale of fixed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2,899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(1,419)</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w:t>
            </w:r>
          </w:p>
        </w:tc>
        <w:tc>
          <w:tcPr>
            <w:tcW w:w="22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Proceeds from sale of fixed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(446)</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Revolving credit line borrowings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Revolving credit line payments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(1,827)</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(3,242)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on stock options exercised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(5,045)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(2,274)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2,199</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 funded by accounts payable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2015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2015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2016 are not necessarily indicative of the results to be expected for the full year.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52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3,892</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9,439</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recorded in the accrued product warranty liability during the nine months ended September 30, 2016 and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Nine months ended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900" w:type="dxa"/>
            <w:vAlign w:val="bottom"/>
            <w:gridSpan w:val="2"/>
          </w:tcPr>
          <w:p>
            <w:pPr>
              <w:jc w:val="right"/>
              <w:ind w:right="170"/>
              <w:spacing w:after="0"/>
              <w:rPr>
                <w:sz w:val="20"/>
                <w:szCs w:val="20"/>
                <w:color w:val="auto"/>
              </w:rPr>
            </w:pPr>
            <w:r>
              <w:rPr>
                <w:rFonts w:ascii="Arial" w:cs="Arial" w:eastAsia="Arial" w:hAnsi="Arial"/>
                <w:sz w:val="17"/>
                <w:szCs w:val="17"/>
                <w:i w:val="1"/>
                <w:iCs w:val="1"/>
                <w:color w:val="auto"/>
                <w:w w:val="73"/>
              </w:rPr>
              <w:t>thousands)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7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Warranties issued</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160" w:type="dxa"/>
            <w:vAlign w:val="bottom"/>
            <w:tcBorders>
              <w:bottom w:val="single" w:sz="8" w:color="auto"/>
            </w:tcBorders>
          </w:tcPr>
          <w:p>
            <w:pPr>
              <w:jc w:val="right"/>
              <w:ind w:right="10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$180,000 of the accrued product warranty liability is classified as current in Accrued liabilities at September 30, 2016 in the Condensed Consolidated Balance Sheets. The remaining $103,000 of the accrued product warranty liability is classified as long-term in Other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7,498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Add: Dilutive effect of outstanding options as determined by the treasury stock</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method</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7,549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7,848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September 30, 2016 and 2015, there were 833,000 and 700,000, respectively, potentially dilutive shares consisting of stock awards that were excluded from the calculation of earnings per diluted share. For the nine months ended September 30, 2016 and 2015, there were 833,000 and 844,000, respectively, potentially dilutive shares consisting of stock awards that were excluded from the calculation of earnings per diluted share.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nine months ended September 30, 2016 were as follows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from exercise of stock options, net of tax benefit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Reversal of deferred tax asset in connection with stock options forfeited</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Dividends declared and paid on common stock</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common stock for treasury</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2015 incentive bonus for the chief executive officer and chief financial officer in the form of 28,231 deferred stock units. Such deferred stock units were granted in February 2016 and were fully vested at the time of grant.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2016, our Board of Directors declared a quarterly cash dividend of $0.08 per share, totaling $595,000, which was paid in September 2016 to common shareholders of record at the close of business on August 19, 2016. For the three months ended September 30, 2015, dividends declared and paid totaled $620,000, or $0.08 per share. For the nine months ended September 30, 2016 and 2015, dividends declared and paid totaled $1,827,000, or $0.24 per share, and $1,863,000, or $0.24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2016, we purchased 413,378 shares of our common stock for $3,242,000 at an average price per share of $7.84, under a stock repurchase program (the “Stock Repurchase Program”) approved by our Board of Directors on February 25, 2016.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provision for the third quarter of 2016 of $344,000 at an effective tax rate of 28.0%, compared to an income tax provision during the third quarter of 2015 of $541,000 at an effective tax rate of 34.5%. For the nine months ended September 30, 2016, we recorded an income tax provision of $1,010,000 at an effective tax rate of 30.9%, compared to an income tax provision during the nine months ended September 30, 2015 of $1,403,000 at an effective tax rate of 35.4%. Our effective tax rate for the third quarter of 2016 was lower than the third quarter of 2015 because it includes the benefit from the 2016 federal research and development credit (“R&amp;D credit”). In 2015, the R&amp;D credit was not renewed until December 2015, and as such, the benefit was not recorded until the fourth quarter of 2015.</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U.S. federal income tax as well as income tax in certain state and foreign jurisdictions. We have substantially concluded all U.S. federal income tax, state and local, and foreign tax regulatory examination matters through 2012. During 2013, an examination of our 2010 federal tax return was completed. However, our federal tax returns for the years 2013 through 2015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September 30, 2016, we had $99,000 of total gross unrecognized tax benefits that, if recognized, would favorably affect the effective income tax rate in any future periods. During the third quarter of 2016, we recognized $42,000 of previously unrecognized tax benefits as the statute of limitations on the use of the 2012 R&amp;D credits expired during the third quarter of 2016.</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Accounting pronouncements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this ASU may have on our consolidated financial position, results of operations or cash flows.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2014, the FASB issued ASU No. 2014-15, “Disclosure of Uncertainties about an Entity’s Ability to Continue as a Going Concern”. This ASU established specific guidance to an organizations’ management on their responsibility to evaluate whether there is substantial doubt about the organization’s ability to continue as a going concern. The provisions of ASU 2014-15 are effective for interim and annual periods beginning after December 15, 2016. This ASU is not expected to have an impact on the Company’s financial position, results of operation or cash flows.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This ASU is not expected to have a significant impact on our financial statements or disclosures.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This ASU eliminates the requirement to present deferred tax assets and liabilities as current and noncurrent on the balance sheet. Instead, all deferred tax assets and liabilities are now classified as noncurrent. ASU 2015-17 is effective for fiscal years beginning after December 15, 2016 with early adoption permitted. We will prospectively adopt ASU 2015-17 as required in the first reporting period for the year ending December 31, 2017.</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The core principle of this ASU requires that a lessee should recognize the assets and liabilities on the balance sheet and disclose key information about leasing arrangements. The amendments in ASU 2016-02 are effective for fiscal years beginning after December 15, 2018, including interim periods. We are currently evaluating the impact this ASU may have on our consolidated financial position, results of operation or cash flows.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“Compensation-Stock Compensation: Improvements to Employee Share-Based Payment Accounting.” This ASU is intended to simplify several aspects of the accounting for share-based payment transactions, including the income tax consequences, classification of awards as either equity or liabilities, classification on the statement of cash flows and accounting for forfeitures. The provisions of this ASU are effective for years beginning after December 15, 2016. We are currently evaluating the impact this ASU may have on our consolidated financial position, results of operation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food safety, POS automation,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assembly and marketing of software-driven technology and printing solutions including related software maintenance, hardware repair services, consumables and spare parts.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2015. We have reviewed those policies and determined that they remain our critical accounting policies for the nine months ended September 30,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September 30, 2016 compared to three months ended September 30, 2015</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September 30, 2016 and 2015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POS automation and banking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Casino and gaming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Lottery</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Printrex</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TSG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4,370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40"/>
        <w:spacing w:after="0" w:line="308" w:lineRule="auto"/>
        <w:rPr>
          <w:sz w:val="20"/>
          <w:szCs w:val="20"/>
          <w:color w:val="auto"/>
        </w:rPr>
      </w:pPr>
      <w:r>
        <w:rPr>
          <w:rFonts w:ascii="Arial" w:cs="Arial" w:eastAsia="Arial" w:hAnsi="Arial"/>
          <w:sz w:val="17"/>
          <w:szCs w:val="17"/>
          <w:color w:val="auto"/>
        </w:rPr>
        <w:t>*International sales do not include sales of printers and terminals made to domestic distributors or other domestic customers who may in turn ship those printers and terminals to international destinations.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Net sales for the third quarter of 2016 increased $302,000, or 2%, from the same period in 2015. Printer and terminal sales volume increased 28% to approximately 44,000 units driven primarily by a 30% increase in unit volume from the casino and gaming market, a 33% increase in unit volume in the POS automation and banking market and a 27% increase in unit volume in the lottery market. These increases were partially offset by decreases in unit volume of 45% from the Printrex market and 4% from the food safety market. The average selling price of our printers and terminals decreased approximately 8% in the third quarter of 2016 compared to the third quarter of 2015 primarily due to the larger volume of POS automation and banking printers sold during the third quarter of 2016, which carry a lower price than our other products.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sales increased $858,000, or 34%, due primarily to a 93% increase in sales in the international casino and gaming market. The increase in the international casino and gaming market was partially offset by a 94% decrease in sales in the international lottery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food safety market includes sales of food safety terminals which are a combination of hardware and software in a device that includes an operating system, touchscreen and one or two thermal print mechanisms that print easy-to-read food rotation labels and “enjoy by” date labels to help restaurants (including fine dining, casual dining, quick-serve and hospitality establishments) effectively manage food spoilage and automate and manage back-of-the-restaurant operations. A summary of sales of our worldwide food safety products for the three months ended September 30, 2016 and 2015 is as follows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domestic food safety product revenue from the third quarter of 2015 was primarily driven by lower sales of our food safety terminals to our U.S. distributor. In the third quarter of 2015 we had a large initial order of our AccuDate Pro food safety terminals through our U.S. distributor for a large end user that did not repeat in 2016.</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International food safety sales increased due to increased sales to our Latin American and Canadian distributors, largely for McDonald’s Corporation.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from the POS automation and banking market includes sales of thermal and impact printers used primarily by restaurants (including fine dining, casual dining, quick-serve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September 30, 2016 and 2015 is as follows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domestic POS automation and banking product revenue from the third quarter of 2015 was primarily driven by a 45% increase in sales of our Ithaca® 9000 printer in the third quarter of 2016 compared to the third quarter of 2015 due to new initiatives by McDonald’s that started in 2015 and accelerated in 2016. The increase from our Ithaca® 9000 printers was partially offset by a 56% decline in sales of our legacy banking and other POS printers for the third quarter of 2016 compared to the third quarter of 2015 as we continue to deemphasize these products.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International POS automation and banking sales increased due to higher sales of our Ithaca® 9000 printer in the third quarter of 2016 compared to the third quarter of 2015 resulting from McDonald’s new initiatives being made internationally.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which enables casino operators to create promotional coupons and marketing messages and to print them in real-time at the slot machine. A summary of sales of our worldwide casino and gaming products for the three months ended September 30, 2016 and 2015 is as follows (in thousands, except percentages):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sales of our casino and gaming products was due largely to a 7% decline in domestic sales of our thermal casino printers in the third quarter of 2016 compared to the third quarter of 2015 due to continued weakness in the replacement cycle for slot machines. Domestic EPICENTRAL™ software sales for the third quarter 2016 remained consistent from the third quarter of 2015, as we had no new installations in either the third quarter of 2016 or 2015.</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casino and gaming printer sales increased in the third quarter of 2016 compared to the third quarter of 2015 due primarily to a 83% increase in sales of our thermal casino printers and a 79% increase in sales of our off-premises gaming printers, primarily to our European distributor. Sales of our off-premise gaming printers are largely project-oriented and therefore may fluctuate significantly from quarter-to-quarter and year-to-year. Additionally, international EPICENTRAL™ software sales increased as we completed an installation in the third quarter of 2016 in a casino located in Switzerland compared to no international installations completed in the third quarter of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International Game Technology and its subsidiaries (“IGT”) for various lottery applications. A summary of sales of our worldwide lottery printers for the three months ended September 30, 2016 and 2015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Based on our backlog of orders and the customer’s forecast, we expect total lottery printer sales to IGT for 2016 to be consistent with those reported in 2015.</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lottery sales decreased due to a sale of lottery printers to IGT for the Spanish lottery in the third quarter of 2015 and no comparable sale occurring in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desktop and rack mounted and vehicle mounted black/white and color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September 30, 2016 and 2015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sales of Printrex printers in the third quarter of 2016 compared to the third quarter of 2015 resulted from 78% lower domestic and international sales in the oil and gas market due to the continued impact from the decline in worldwide oil prices which we expect will continue to negatively impact our sales during the remainder of 2016. Worldwide medical and mobile printer sales during the third quarter of 2016 remained consistent with sales from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(including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September 30, 2016 and 2015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domestic revenue from TSG for the third quarter of 2016 as compared to the prior year period was due to a (1) 54% decrease in sales of replacement parts due mainly to IGT’s purchase of an unusually high volume of spare parts for the lottery market in the third quarter of 2015 that did not repeat in the third quarter of 2016 and is not likely to repeat in the fourth quarter of 2016, (2) 27% decline in service revenue primarily due to product-oriented testing services that occurred in the third quarter of 2015 that did not repeat to the same extent in the third quarter of 2016, (3) 15% decrease in non-Printrex consumables, largely from the decline of HP inkjet cartridges, as we continue to deemphasize our sales focus on these commoditized consumable products, and (4) 52% decrease of consumables sales for our Printrex color printer due to lower printing usage resulting from reduced drilling activity caused by the decline in worldwide oil prices.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Internationally, TSG revenue increased primarily due to higher sales of replacement parts and accessories in the third quarter of 2016 compared to the third quarter of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5,915</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6,291</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 In the third quarter of 2016, gross profit decreased $376,000, or 6%, and our gross margin declined by 350 basis points compared to the third quarter of 2015 as we experienced a less favorable sales mix in the third quarter of 2016 compared to the third quarter of 2015. During the third quarter of 2016, we experienced higher sales of our Ithaca® 9000 printer to McDonald’s, which carries a lower margin than our other products. Additionally, we had significantly lower sales of our higher margin spare parts.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766</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$367,000, or 48%, due primarily to higher product development costs and the hiring of additional software engineers as we continue to focus and strategically invest in enhancements to our EPICENTRAL™ software and expansion of our line of food safety terminals. We expect engineering, design and product development expenses in full year 2016 to be higher than in 2015 due to the additional staff and higher product development expenses noted above.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2,137</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$329,000, or 15%, in the third quarter of 2016 compared to the third quarter of 2015 primarily due to reductions of certain sales staff, as well as lower sales commissions and lower travel costs in the third quarter of 2016 compared to the third quarter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decreased by $86,000, or 5%, in the third quarter of 2016 due primarily to lower incentive compensation expense in the third quarter of 2016 compared to the third quarter of 2015. Additionally, we recorded lower severance cost as we did not undertake any headcount reductions in the third quarter of 2016 compared to several staff reductions during the third quarter of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1,565</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income decreased by $328,000, or 21%, and our operating margin decreased to 8.5% of net sales primarily due to lower gross margin on a less favorable sales mix.</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$7,000 in both the third quarter of 2016 and the third quarter of 2015. We do not expect significant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interest expense for the remainder of 2016.</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$3,000 in the third quarter of 2016 compared to other income of $11,000 in the third quarter of 2015.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foreign currency transaction exchange losses recorded in 2016 of $3,000 compared to foreign currency transaction exchange gains of $7,000 recorded by our U.K. subsidiary in the third quarter of 2015, and to a lesser extent, a gain of $4,000 recorded on the disposal of a fixed asset in the third quarter of 2015.</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third quarter of 2016 of $344,000 at an effective tax rate of 28.0%,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third quarter of 2015 of $541,000 at an effective tax rate of 34.5.0%. Our effective tax rate for the third quarter of 2016 was lower than the third quarter of 2015 because it includes the benefit from the 2016 federal research and development credit (“R&amp;D credit”). In 2015, the R&amp;D credit was not renewed until December 2015, and as such, the benefit was not recorded until the fourth quarter of 2015. We expect our effective tax rate to be between 31% and 32% for the full year 2016.</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third quarter of 2016 of $883,000, or $0.12 per diluted share, compared to $1,028,000, or $0.13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Nine months ended September 30, 2016 compared to nine months ended September 30, 2015</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nine months ended September 30, 2016 and 2015 were as follows (in thousands, except percentages):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8"/>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Food safety</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POS automation and banking</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Casino and gaming</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Lottery</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8,767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Printrex</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TSG</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11,374</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18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8740" w:type="dxa"/>
            <w:vAlign w:val="bottom"/>
            <w:gridSpan w:val="17"/>
            <w:shd w:val="clear" w:color="auto" w:fill="CCEEFF"/>
          </w:tcPr>
          <w:p>
            <w:pPr>
              <w:jc w:val="center"/>
              <w:ind w:left="470"/>
              <w:spacing w:after="0" w:line="201" w:lineRule="exact"/>
              <w:rPr>
                <w:sz w:val="20"/>
                <w:szCs w:val="20"/>
                <w:color w:val="auto"/>
              </w:rPr>
            </w:pPr>
            <w:r>
              <w:rPr>
                <w:rFonts w:ascii="Arial" w:cs="Arial" w:eastAsia="Arial" w:hAnsi="Arial"/>
                <w:sz w:val="18"/>
                <w:szCs w:val="18"/>
                <w:color w:val="auto"/>
                <w:w w:val="90"/>
              </w:rPr>
              <w:t>*International sales do not include sales of printers and terminals made to domestic distributors or other domestic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7920" w:type="dxa"/>
            <w:vAlign w:val="bottom"/>
            <w:gridSpan w:val="16"/>
            <w:shd w:val="clear" w:color="auto" w:fill="CCEEFF"/>
          </w:tcPr>
          <w:p>
            <w:pPr>
              <w:ind w:left="560"/>
              <w:spacing w:after="0"/>
              <w:rPr>
                <w:sz w:val="20"/>
                <w:szCs w:val="20"/>
                <w:color w:val="auto"/>
              </w:rPr>
            </w:pPr>
            <w:r>
              <w:rPr>
                <w:rFonts w:ascii="Arial" w:cs="Arial" w:eastAsia="Arial" w:hAnsi="Arial"/>
                <w:sz w:val="18"/>
                <w:szCs w:val="18"/>
                <w:color w:val="auto"/>
              </w:rPr>
              <w:t>customers who may in turn ship those printers and terminals to international destinations.</w:t>
            </w: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sales for the first nine months of 2016 decreased $3,928,000, or 8%, from the same period in 2015. Printer sales volume decreased slightly by 1% to approximately 133,000 units driven primarily by a 20% and 9% decrease in unit volume from the lottery market and casino and gaming market, respectively, and to a lesser extent a 61% decrease in the Printrex market. These decreases were partially offset by a 44% and 20% increase in the POS automation and banking market and food safety market, respectively. The average selling price of our printers remained relatively consistent during the first nine months of 2016 compared to the first nine months of 2015. International sales decreased $1,791,000, or 16%, primarily driven by 14% and 77% lower international sales in the casino and gaming market and the lottery market,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food safety products for the nine months ended September 30, 2016 and 2015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domestic food safety terminal sales in the first nine months of 2016 compared to the first nine months of 2015 was primarily driven by an increase in sales of our food safety terminals to McDonald’s and increased sales penetration to a growing number of existing and new end user customers through our U.S. distributor.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food safety terminal sales increased in the first nine months of 2016 compared to the same period in 2015 due to increased sales to our Latin American distributor.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POS automation and banking products for the nine months ended September 30, 2016 and 2015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both domestic and international POS automation and banking printer revenue as compared to the first nine months of 2015 was primarily driven by a 68% increase in sales of our Ithaca® 9000 printer as we continue to supply printers to support new initiatives by McDonald’s that started in 2015 and accelerated in 2016. This increase was partially offset by 42% lower sales of our legacy banking and other POS printers in the first nine months of 2016 compared to the same period in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nine months ended September 30, 2016 and 2015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8,841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87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The increase in domestic sales of our casino and gaming products in the first nine months of 2016 compared to the first nine months of 2015 was due primarily to increased EPICENTRAL™ software sales of 26% as we completed two domestic installations in the first nine months of 2016 compared to one domestic installation completed in the first nine months of 2015. Sales of our thermal casino printers during the first nine months of 2016 was consistent with sales from the first nine months of 2015.</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International casino and gaming printer sales declined in the first nine months of 2016 as compared to the first nine months of 2015 due primarily to a 19% decrease in sales of our thermal casino printer and, to a lesser extent, a 7% decrease in sales of our off-premise gaming printers, primarily to our European distributor. These decreases were partially offset by increased EPICENTRAL™ software sales as we completed one international installation in the first nine months of 2016 compared to no international installations in the first nine months of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lottery printers for the nine months ended September 30, 2016 and 2015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sales to IGT are directly dependent on the timing and number of new and upgraded lottery terminal installations that IGT performs, and as a result, may fluctuate significantly quarter-to-quarter and year-to-year and are not indicative of IGT’s overall business or revenue. Based on our backlog of orders and the customer’s forecast, we expect total lottery printer sales to IGT for full year 2016 to be consistent with those reported in 2015.</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International lottery sales decreased due to sales of lottery printers to IGT for the Spanish lottery in the third quarter of 2015 and no comparable sales occurring in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summary of sales of our worldwide Printrex printers for the nine months ended September 30, 2016 and 2015 is as follows (in thousands, except percentages):</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ind w:left="220"/>
              <w:spacing w:after="0" w:line="199" w:lineRule="exact"/>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7"/>
                <w:szCs w:val="17"/>
                <w:color w:val="auto"/>
              </w:rPr>
            </w:pPr>
          </w:p>
        </w:tc>
        <w:tc>
          <w:tcPr>
            <w:tcW w:w="2360" w:type="dxa"/>
            <w:vAlign w:val="bottom"/>
            <w:gridSpan w:val="4"/>
          </w:tcPr>
          <w:p>
            <w:pPr>
              <w:ind w:left="240"/>
              <w:spacing w:after="0" w:line="199"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tcPr>
          <w:p>
            <w:pPr>
              <w:ind w:left="680"/>
              <w:spacing w:after="0" w:line="199" w:lineRule="exact"/>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Printrex printers was primarily due to a 61% decline in domestic and international sales in the oil and gas market due to the continued impact from the decline in worldwide oil prices. In addition, we experienced a 76% decline in medical and mobile printer sales due largely to the loss of a customer in the medical industry and as we shift our focus towards the food safety terminal business. Due to the low margin on this product, we believe the loss of this customer will not have a material adverse impact on our 2016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2016 and 2015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decrease in domestic revenue from TSG was due to a (1) 43% decrease in sales of replacement parts due mainly to IGT’s purchase of an unusually high volume of spare parts for the lottery market in the first nine months of 2015 that did not repeat in the first nine months of 2016 and is not likely to repeat in full year 2016, (2) 18% decrease in non-Printrex consumables, largely from the decline of HP inkjet cartridges, as we continue to deemphasize the commoditized consumable products, (3) 20% decline in service revenue primarily due to project-oriented testing services that occurred in the first nine months of 2015 that did not recur to the same extent in the first nine months of 2016, and (4) 63% decrease of consumables sales for our Printrex color printer due to lower printing usage resulting from reduced drilling activity caused by the decline in worldwide oil prices.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Internationally, TSG revenue decreased primarily due to 21% and 60% lower sales of replacement parts and accessories and non-Printrex consumables, respectively, in the first nine months of 2016 compared to the first nine months of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17,783</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19,944</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40.8%</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$2,161,000, or 11%, due primarily to a decrease in sales of 8%. Our gross margin in the first nine months of 2016 decreased 110 basis points compared the first nine months of 2015, to 40.8% due to an unfavorable sales mix resulting from the large sales contribution of lower margin Ithaca® 9000 printers as well as lower sales of aftermarket replacement parts which carry higher margins than our printers and terminals.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2,494</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Such expenses increased $964,000, or 39%, due primarily to higher product development costs and the hiring of additional software engineers beginning in early 2016, as we continue to focus and strategically invest in enhancements to our EPICENTRAL™ software and expansion of our line of food safety terminals.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6,060</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Such expenses decreased by $600,000, or 10%, in the first nine months of 2016 compared to the first nine months of 2015 due to lower compensation costs related to headcount reductions made during the first nine months of 2016, lower sales commission due to lower sales experienced in 2016, and a decrease in travel expenses primarily in our Printrex markets as we consciously decided to reduce these expenses in response to the worldwide decline in the oil and gas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5,665</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remained relatively consistent, decreasing by 1%. During the first nine months of 2016, we incurred lower incentive compensation costs compared to the first nine months of 2015, which was largely offset by higher severance cost related to headcount reductions during the first nine months of 2016 compared to the first nine months of 2015.</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Legal Fees and Settlement Expenses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and settlement expense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Percent</w:t>
            </w:r>
          </w:p>
        </w:tc>
        <w:tc>
          <w:tcPr>
            <w:tcW w:w="380" w:type="dxa"/>
            <w:vAlign w:val="bottom"/>
          </w:tcPr>
          <w:p>
            <w:pPr>
              <w:spacing w:after="0"/>
              <w:rPr>
                <w:sz w:val="20"/>
                <w:szCs w:val="20"/>
                <w:color w:val="auto"/>
              </w:rPr>
            </w:pP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1,738</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disclosed in Note 7 to the Condensed Consolidated Financial Statements, in June 2012, AD filed a civil complaint against the Company. In connection with this lawsuit, we incurred legal fees and settlement expenses of $0 and $1,738,000 in the first nine months of 2016 and 2015, respectively. Due to the settlement of the AD lawsuit in March 2015, we do not expect to incur any further expenses related to this lawsuit in the future.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3,987</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income decreased by $711,000, or 18%, primarily due to 8% lower sales in the first nine months of 2016 as compared to the first nine months of 2015. In addition, our operating income in the first nine months of 2015 reflects $1,738,000 of legal fees related to the AD lawsuit that did not recur in 2016.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$18,000 in the first nine months of 2016 compared to $23,000 in the first nine months of 2015.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higher in 2015 due to interest expense incurred from borrowing $2,500,000 to pay the AD lawsuit settlement in the first nine months of 2015. We did not borrow any funds during the first nine months of 2016.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$13,000 in the first nine months of 2016 compared to other expense of $1,000 in the first nine months of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was primarily due to foreign currency transaction exchange gains recorded in the first nine months of 2016 compared to foreign currency transaction exchange losses recorded by our U.K. subsidiary in the first nine months of 2015.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nine months of 2016 of $1,010,000 at an effective tax rate of 30.9%,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first nine months of 2015 of $1,403,000 at an effective tax rate of 35.4%. Our effective tax rate for the first nine months of 2016 was lower than the first nine months of 2015 because it includes the benefit from the 2016 R&amp;D credit. In 2015, the R&amp;D credit was not renewed until December 2015, and as such, the benefit was not recorded until the fourth quarter of 2015.</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2016 of $2,261,000, or $0.29 per diluted share, compared to $2,560,000, or $0.33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nine months of 2015.</w:t>
      </w:r>
    </w:p>
    <w:p>
      <w:pPr>
        <w:spacing w:after="0" w:line="18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three months ended September 30, 2016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However, there can be no assurance that future inflation would not have an adverse impact upon our future operating results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the first nine months of 2016, our cash and cash equivalents balance decreased $2,274,000, or 51%, from December 31, 2015 and we ended the third quarter of 2016 with $2,199,000 in cash and cash equivalents, of which $164,000 was held by our U.K. subsidiary, and no debt outstanding.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$3,234,000 in the first nine months of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$2,655,000 in the first nine months of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2016:</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$2,261,000.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$1,435,000.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increased $3,313,000, or 46%, due to the increase and timing of sales during the third quarter of 2016.</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decreased $1,852,000, or 16%, due to the sell through of inventory on hand during 2016.</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payable increased $2,899,000, or 110%, due primarily to increased inventory purchases towards the end of the third quarter 2016 and timing of payments to vendors.</w:t>
      </w:r>
    </w:p>
    <w:p>
      <w:pPr>
        <w:ind w:left="1140" w:hanging="132"/>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$1,419,000 due primarily to the payment of 2015 annual bonuses in March 2016.</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2015:</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$2,560,000.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$1,454,000.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increased $845,000, or 9%, due to the increase and timing of sales during the third quarter of 2015.</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increased $644,000, or 5%, due to the build-up of inventory in anticipation of higher sales volume in 2015.</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increased $2,957,000 due primarily to increased inventory purchases during the first nine months of 2015 to support a higher level of sales.</w:t>
      </w:r>
    </w:p>
    <w:p>
      <w:pPr>
        <w:ind w:left="1140" w:hanging="132"/>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$4,434,000 due primarily to the payment of the AD lawsuit settlement in April 2015 and the payment of 2014 annual bonuses in March 2015.</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$454,000 and $491,000 in the first nine months of 2016 and 2015, respectively. Expenditures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for computer and networking equipment and to a lesser extent new product tooling equipment and purchases of furniture and fixtures. Expenditures in 2015 included approximately $333,000 of cost incurred for the purchase of a new phone system and other computer equipment and the remaining amount was primarily for the purchase of new product tooling equipment.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2016 are expected to be approximately $800,000 primarily for new product tooling and tooling enhancements for our existing products, as well as for new computer software and equipment purchases.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$5,045,000 of cash from financing activities during the first nine months of 2016 to pay dividends of $1,827,000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and to purchase $3,242,000 of common stock for treasury, partially offset by proceeds and tax benefits from stock option exercises of $24,000. During the first nine months of 2015, we used $2,839,000 of cash from financing activities to pay dividends of $1,863,000 to common shareholders and to purchase $1,020,000 of common stock for treasury partially offset by proceeds and tax benefits from stock options exercises of $44,000. Additionally, during the second quarter of 2015 we borrowed $2,500,000 under the TD Bank Credit Facility to partially fund the $3,600,000 payment related to the AD lawsuit which we fully repaid before June 30,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amendment increased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the fourth quarter of 2014 related to the settlement of the AD lawsuit); and modified the definition of Operating Cash Flow to exclude unfinanced capital expenditures for the quarters ending December 31, 2014, March 31, 2015 and September 30, 2015.</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2016. The following table lists the financial covenants and the performance measurements at September 30,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Financial Covenant</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3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Calculation at September 30, 2016</w:t>
            </w:r>
          </w:p>
        </w:tc>
      </w:tr>
      <w:tr>
        <w:trPr>
          <w:trHeight w:val="216"/>
        </w:trPr>
        <w:tc>
          <w:tcPr>
            <w:tcW w:w="44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Operating cash flow / Total debt service</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Minimum of 1.25 times</w:t>
            </w:r>
          </w:p>
        </w:tc>
        <w:tc>
          <w:tcPr>
            <w:tcW w:w="38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13.1 times</w:t>
            </w:r>
          </w:p>
        </w:tc>
      </w:tr>
      <w:tr>
        <w:trPr>
          <w:trHeight w:val="230"/>
        </w:trPr>
        <w:tc>
          <w:tcPr>
            <w:tcW w:w="4420" w:type="dxa"/>
            <w:vAlign w:val="bottom"/>
          </w:tcPr>
          <w:p>
            <w:pPr>
              <w:jc w:val="center"/>
              <w:ind w:left="70"/>
              <w:spacing w:after="0"/>
              <w:rPr>
                <w:sz w:val="20"/>
                <w:szCs w:val="20"/>
                <w:color w:val="auto"/>
              </w:rPr>
            </w:pPr>
            <w:r>
              <w:rPr>
                <w:rFonts w:ascii="Arial" w:cs="Arial" w:eastAsia="Arial" w:hAnsi="Arial"/>
                <w:sz w:val="18"/>
                <w:szCs w:val="18"/>
                <w:color w:val="auto"/>
                <w:w w:val="94"/>
              </w:rPr>
              <w:t>Funded Debt / EBITDA</w:t>
            </w: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Maximum of 3.0 times</w:t>
            </w:r>
          </w:p>
        </w:tc>
        <w:tc>
          <w:tcPr>
            <w:tcW w:w="3880" w:type="dxa"/>
            <w:vAlign w:val="bottom"/>
          </w:tcPr>
          <w:p>
            <w:pPr>
              <w:jc w:val="center"/>
              <w:ind w:right="30"/>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borrowings available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For the three months ended September 30, 2016, our Board of Directors declared a quarterly cash dividend of $0.08 per share, totaling approximately $595,000, which was paid in September 2016 to common shareholders of record at the close of business on August 19, 2016. For the nine months ended September 30, 2016, dividends declared and paid totaled $1,827,000, or $0.24 per share. We expect to pay approximately $2,400,000 in cash dividends to our common shareholders during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nine months ended September 30, 2016, we purchased 413,378 shares of our common stock for $3,242,000 at an average price per share of $7.84.</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we repurchased 166,553 shares of our common stock for approximately $1,020,000 at an average price per share of $6.12 under a prior stock repurchase program that expired on July 31, 2015. Under the expired repurchase program, we were authorized to repurchase up to $7,500,000 of our outstanding shares of common stock from time to time in the open market, depending on market conditions, share price and other factors.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2015.</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2016 we signed Amendment No. 2 to the lease agreement for our facility in Ithaca, New York with Bomax Properties, LLC to extend our lease in Ithaca to May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2015. We have no material off-balance sheet arrangements as defined in Item 303(a)(4)(ii)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2015. There has been no material change in our exposure to market risk during the nine months ended September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2016,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2016 that has materially affected, or is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previously reported legal proceedings refer to Part I, Item 3 of our Annual Report on Form 10-K for the year ended December 31, 2015. There have been no material changes from the legal proceedings previously disclosed in that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2015.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25, 2016, our Board of Directors approved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During the nine months ended September 30, 2016, we purchased 413,378 shares of our common stock for $3,242,000 at an average price per share of $7.84. As of September 30, 2016, $1,758,000 remains authorized for future repurchase under the Stock Repurchase Program. The following table summarizes the repurchase of our common stock in the three months ended September 30,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 Number of Shares</w:t>
            </w: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90"/>
              </w:rPr>
              <w:t>Value of 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Purchased as Part of</w:t>
            </w:r>
          </w:p>
        </w:tc>
        <w:tc>
          <w:tcPr>
            <w:tcW w:w="190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Yet Be 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 Number of Shares</w:t>
            </w:r>
          </w:p>
        </w:tc>
        <w:tc>
          <w:tcPr>
            <w:tcW w:w="8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Average Price Paid per</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Publicly Announced</w:t>
            </w:r>
          </w:p>
        </w:tc>
        <w:tc>
          <w:tcPr>
            <w:tcW w:w="1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the Stock Repurchase</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20"/>
                <w:szCs w:val="20"/>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Share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Plans or Programs</w:t>
            </w:r>
          </w:p>
        </w:tc>
        <w:tc>
          <w:tcPr>
            <w:tcW w:w="1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July 1, 2016 – July 31, 2016</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August 1, 2016 – August 31, 2016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25,645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25,645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5"/>
              </w:rPr>
              <w:t>September 1, 2016 – September 30, 2016</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125,587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7.71</w:t>
            </w:r>
          </w:p>
        </w:tc>
        <w:tc>
          <w:tcPr>
            <w:tcW w:w="20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125,587</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Exhibit 31.1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31.2</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08"/>
        </w:trPr>
        <w:tc>
          <w:tcPr>
            <w:tcW w:w="12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22</w:t>
            </w:r>
          </w:p>
        </w:tc>
      </w:tr>
      <w:tr>
        <w:trPr>
          <w:trHeight w:val="118"/>
        </w:trPr>
        <w:tc>
          <w:tcPr>
            <w:tcW w:w="126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November 8, 2016</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8,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September 30, 2016,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2019-12-29T08:54:53Z</dcterms:created>
  <dcterms:modified xsi:type="dcterms:W3CDTF">2019-12-29T08:54:53Z</dcterms:modified>
</cp:coreProperties>
</file>