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4"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212" w:lineRule="exact"/>
        <w:rPr>
          <w:sz w:val="24"/>
          <w:szCs w:val="24"/>
          <w:color w:val="auto"/>
        </w:rPr>
      </w:pPr>
    </w:p>
    <w:p>
      <w:pPr>
        <w:ind w:left="820"/>
        <w:spacing w:after="0"/>
        <w:tabs>
          <w:tab w:leader="none" w:pos="4060" w:val="left"/>
          <w:tab w:leader="none" w:pos="51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0-21121</w:t>
      </w:r>
    </w:p>
    <w:p>
      <w:pPr>
        <w:spacing w:after="0" w:line="2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-3175</wp:posOffset>
            </wp:positionV>
            <wp:extent cx="324993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4993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0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06-1456680</w:t>
            </w:r>
          </w:p>
        </w:tc>
      </w:tr>
      <w:tr>
        <w:trPr>
          <w:trHeight w:val="234"/>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80"/>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One Hamden Center, 2319 Whitney Avenue, Suite 3B, Hamden, CT</w:t>
            </w:r>
          </w:p>
        </w:tc>
        <w:tc>
          <w:tcPr>
            <w:tcW w:w="5600" w:type="dxa"/>
            <w:vAlign w:val="bottom"/>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06518</w:t>
            </w:r>
          </w:p>
        </w:tc>
      </w:tr>
      <w:tr>
        <w:trPr>
          <w:trHeight w:val="234"/>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17" w:lineRule="exact"/>
        <w:rPr>
          <w:sz w:val="24"/>
          <w:szCs w:val="24"/>
          <w:color w:val="auto"/>
        </w:rPr>
      </w:pPr>
    </w:p>
    <w:p>
      <w:pPr>
        <w:ind w:right="38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78" w:right="239" w:bottom="1440" w:gutter="0" w:footer="0" w:header="0"/>
        </w:sectPr>
      </w:pPr>
    </w:p>
    <w:p>
      <w:pPr>
        <w:spacing w:after="0" w:line="191" w:lineRule="exact"/>
        <w:tabs>
          <w:tab w:leader="none" w:pos="65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203" w:lineRule="exact"/>
        <w:tabs>
          <w:tab w:leader="none" w:pos="650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1" w:lineRule="exact"/>
        <w:rPr>
          <w:sz w:val="24"/>
          <w:szCs w:val="24"/>
          <w:color w:val="auto"/>
        </w:rPr>
      </w:pPr>
    </w:p>
    <w:p>
      <w:pPr>
        <w:ind w:left="65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8480" w:space="100"/>
            <w:col w:w="2840"/>
          </w:cols>
          <w:pgMar w:left="240" w:top="178" w:right="239" w:bottom="1440" w:gutter="0" w:footer="0" w:header="0"/>
          <w:type w:val="continuous"/>
        </w:sectPr>
      </w:pPr>
    </w:p>
    <w:p>
      <w:pPr>
        <w:ind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right="198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2017, the number of shares outstanding of the Company's common stock, $0.01 par value, was 7,347,959.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11"/>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780" w:type="dxa"/>
            <w:vAlign w:val="bottom"/>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gridSpan w:val="4"/>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292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419"/>
        </w:trPr>
        <w:tc>
          <w:tcPr>
            <w:tcW w:w="5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560" w:type="dxa"/>
            <w:vAlign w:val="bottom"/>
            <w:tcBorders>
              <w:top w:val="single" w:sz="8" w:color="auto"/>
            </w:tcBorders>
          </w:tcPr>
          <w:p>
            <w:pPr>
              <w:spacing w:after="0"/>
              <w:rPr>
                <w:sz w:val="24"/>
                <w:szCs w:val="24"/>
                <w:color w:val="auto"/>
              </w:rPr>
            </w:pPr>
          </w:p>
        </w:tc>
        <w:tc>
          <w:tcPr>
            <w:tcW w:w="4640" w:type="dxa"/>
            <w:vAlign w:val="bottom"/>
            <w:gridSpan w:val="7"/>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Page</w:t>
            </w:r>
          </w:p>
        </w:tc>
      </w:tr>
      <w:tr>
        <w:trPr>
          <w:trHeight w:val="419"/>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March 31, 2017 and December 31, 2016</w:t>
              </w:r>
            </w:hyperlink>
          </w:p>
        </w:tc>
        <w:tc>
          <w:tcPr>
            <w:tcW w:w="330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for the three months ended March 31, 2017 and 2016</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 months ended March 31, 2017 and 2016</w:t>
              </w:r>
            </w:hyperlink>
          </w:p>
        </w:tc>
        <w:tc>
          <w:tcPr>
            <w:tcW w:w="1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three months ended March 31, 2017 and 2016</w:t>
              </w:r>
            </w:hyperlink>
          </w:p>
        </w:tc>
        <w:tc>
          <w:tcPr>
            <w:tcW w:w="198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558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14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Controls and Procedures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26"/>
        </w:trPr>
        <w:tc>
          <w:tcPr>
            <w:tcW w:w="10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Legal Proceedings</w:t>
              </w:r>
            </w:hyperlink>
          </w:p>
        </w:tc>
        <w:tc>
          <w:tcPr>
            <w:tcW w:w="824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Unregistered Sales of Equity Securities and Use of Proceeds</w:t>
              </w:r>
            </w:hyperlink>
          </w:p>
        </w:tc>
        <w:tc>
          <w:tcPr>
            <w:tcW w:w="52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2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Default Upon Senior Securities</w:t>
              </w:r>
            </w:hyperlink>
          </w:p>
        </w:tc>
        <w:tc>
          <w:tcPr>
            <w:tcW w:w="73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Mine Safety Disclosures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Other Information</w:t>
              </w:r>
            </w:hyperlink>
          </w:p>
        </w:tc>
        <w:tc>
          <w:tcPr>
            <w:tcW w:w="82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9"/>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Exhibits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98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SIGNATURES</w:t>
              </w:r>
            </w:hyperlink>
          </w:p>
        </w:tc>
        <w:tc>
          <w:tcPr>
            <w:tcW w:w="936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37"/>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2"/>
          </w:tcPr>
          <w:p>
            <w:pPr>
              <w:jc w:val="center"/>
              <w:ind w:left="4271"/>
              <w:spacing w:after="0"/>
              <w:rPr>
                <w:sz w:val="20"/>
                <w:szCs w:val="20"/>
                <w:color w:val="auto"/>
              </w:rPr>
            </w:pPr>
            <w:r>
              <w:rPr>
                <w:rFonts w:ascii="Times New Roman" w:cs="Times New Roman" w:eastAsia="Times New Roman" w:hAnsi="Times New Roman"/>
                <w:sz w:val="14"/>
                <w:szCs w:val="14"/>
                <w:color w:val="auto"/>
                <w:w w:val="85"/>
              </w:rPr>
              <w:t>2</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4"/>
        </w:trPr>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tcPr>
          <w:p>
            <w:pPr>
              <w:jc w:val="center"/>
              <w:ind w:left="17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184"/>
        </w:trPr>
        <w:tc>
          <w:tcPr>
            <w:tcW w:w="760" w:type="dxa"/>
            <w:vAlign w:val="bottom"/>
            <w:gridSpan w:val="2"/>
            <w:vMerge w:val="continue"/>
          </w:tcPr>
          <w:p>
            <w:pPr>
              <w:spacing w:after="0"/>
              <w:rPr>
                <w:sz w:val="16"/>
                <w:szCs w:val="16"/>
                <w:color w:val="auto"/>
              </w:rPr>
            </w:pPr>
          </w:p>
        </w:tc>
        <w:tc>
          <w:tcPr>
            <w:tcW w:w="8060" w:type="dxa"/>
            <w:vAlign w:val="bottom"/>
          </w:tcPr>
          <w:p>
            <w:pPr>
              <w:spacing w:after="0"/>
              <w:rPr>
                <w:sz w:val="16"/>
                <w:szCs w:val="16"/>
                <w:color w:val="auto"/>
              </w:rPr>
            </w:pPr>
          </w:p>
        </w:tc>
        <w:tc>
          <w:tcPr>
            <w:tcW w:w="2600" w:type="dxa"/>
            <w:vAlign w:val="bottom"/>
            <w:gridSpan w:val="5"/>
          </w:tcPr>
          <w:p>
            <w:pPr>
              <w:jc w:val="right"/>
              <w:ind w:right="70"/>
              <w:spacing w:after="0" w:line="184" w:lineRule="exact"/>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0" w:type="dxa"/>
            <w:vAlign w:val="bottom"/>
          </w:tcPr>
          <w:p>
            <w:pPr>
              <w:spacing w:after="0"/>
              <w:rPr>
                <w:sz w:val="1"/>
                <w:szCs w:val="1"/>
                <w:color w:val="auto"/>
              </w:rPr>
            </w:pPr>
          </w:p>
        </w:tc>
      </w:tr>
      <w:tr>
        <w:trPr>
          <w:trHeight w:val="221"/>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2,429</w:t>
            </w:r>
          </w:p>
        </w:tc>
        <w:tc>
          <w:tcPr>
            <w:tcW w:w="360" w:type="dxa"/>
            <w:vAlign w:val="bottom"/>
            <w:gridSpan w:val="2"/>
            <w:shd w:val="clear" w:color="auto" w:fill="CCEEFF"/>
          </w:tcPr>
          <w:p>
            <w:pPr>
              <w:jc w:val="right"/>
              <w:ind w:right="7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9,304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9,962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22,236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23,167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Fixed assets, net of accumulated depreciation of $19,449 and $19,215, respectively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Intangible assets, net of accumulated amortization of $3,203, and $3,122, respectively</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8,760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8,875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32,042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3,556</w:t>
            </w:r>
          </w:p>
        </w:tc>
        <w:tc>
          <w:tcPr>
            <w:tcW w:w="360" w:type="dxa"/>
            <w:vAlign w:val="bottom"/>
            <w:gridSpan w:val="2"/>
            <w:shd w:val="clear" w:color="auto" w:fill="CCEEFF"/>
          </w:tcPr>
          <w:p>
            <w:pPr>
              <w:jc w:val="right"/>
              <w:ind w:right="7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5,994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Deferred rent, net of current portion</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6,500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$0.01 par value, 20,000,000 shares authorized; 11,198,426 and 11,185,331 shares issued,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respectively; 7,346,459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and 7,333,364 shares outstanding, respectively</w:t>
            </w:r>
          </w:p>
        </w:tc>
        <w:tc>
          <w:tcPr>
            <w:tcW w:w="1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29,761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24,482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Treasury stock, at cost, 3,851,967 shares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(29,752)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24,496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30,996</w:t>
            </w:r>
          </w:p>
        </w:tc>
        <w:tc>
          <w:tcPr>
            <w:tcW w:w="360" w:type="dxa"/>
            <w:vAlign w:val="bottom"/>
            <w:gridSpan w:val="2"/>
          </w:tcPr>
          <w:p>
            <w:pPr>
              <w:jc w:val="right"/>
              <w:ind w:right="7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32,042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i w:val="1"/>
                <w:iCs w:val="1"/>
                <w:color w:val="auto"/>
                <w:w w:val="98"/>
              </w:rPr>
              <w:t>(In thousands,</w:t>
            </w:r>
          </w:p>
        </w:tc>
        <w:tc>
          <w:tcPr>
            <w:tcW w:w="1360" w:type="dxa"/>
            <w:vAlign w:val="bottom"/>
            <w:gridSpan w:val="3"/>
          </w:tcPr>
          <w:p>
            <w:pPr>
              <w:jc w:val="right"/>
              <w:ind w:right="130"/>
              <w:spacing w:after="0" w:line="182" w:lineRule="exact"/>
              <w:rPr>
                <w:sz w:val="20"/>
                <w:szCs w:val="20"/>
                <w:color w:val="auto"/>
              </w:rPr>
            </w:pPr>
            <w:r>
              <w:rPr>
                <w:rFonts w:ascii="Times New Roman" w:cs="Times New Roman" w:eastAsia="Times New Roman" w:hAnsi="Times New Roman"/>
                <w:sz w:val="18"/>
                <w:szCs w:val="18"/>
                <w:i w:val="1"/>
                <w:iCs w:val="1"/>
                <w:color w:val="auto"/>
                <w:w w:val="94"/>
              </w:rPr>
              <w:t>except per share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data)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5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58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13,997</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7,904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6,093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Engineering, design and product development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Selling and marketing</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4,677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and other income (expense):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Interest, net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943</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
        </w:trPr>
        <w:tc>
          <w:tcPr>
            <w:tcW w:w="8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per common share: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5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Shares used in per-share calculation: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7,396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and paid per common share: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32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TRANSACT TECHNOLOGIES INCORPORATED CONDENSED CONSOLIDATED STATEMENTS OF COMPREHENSIVE INCOME (unaudited)</w:t>
      </w:r>
    </w:p>
    <w:p>
      <w:pPr>
        <w:spacing w:after="0" w:line="36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355"/>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EEFF"/>
          </w:tcPr>
          <w:p>
            <w:pPr>
              <w:jc w:val="right"/>
              <w:ind w:right="612"/>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15"/>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left="45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36"/>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0" w:type="dxa"/>
            <w:vAlign w:val="bottom"/>
          </w:tcPr>
          <w:p>
            <w:pPr>
              <w:spacing w:after="0"/>
              <w:rPr>
                <w:sz w:val="1"/>
                <w:szCs w:val="1"/>
                <w:color w:val="auto"/>
              </w:rPr>
            </w:pPr>
          </w:p>
        </w:tc>
      </w:tr>
      <w:tr>
        <w:trPr>
          <w:trHeight w:val="169"/>
        </w:trPr>
        <w:tc>
          <w:tcPr>
            <w:tcW w:w="78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943</w:t>
            </w:r>
          </w:p>
        </w:tc>
        <w:tc>
          <w:tcPr>
            <w:tcW w:w="460" w:type="dxa"/>
            <w:vAlign w:val="bottom"/>
            <w:gridSpan w:val="2"/>
            <w:shd w:val="clear" w:color="auto" w:fill="CCEEFF"/>
          </w:tcPr>
          <w:p>
            <w:pPr>
              <w:jc w:val="right"/>
              <w:ind w:right="175"/>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Deferred income tax provision</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Times New Roman" w:cs="Times New Roman" w:eastAsia="Times New Roman" w:hAnsi="Times New Roman"/>
                <w:sz w:val="18"/>
                <w:szCs w:val="18"/>
                <w:color w:val="auto"/>
              </w:rPr>
              <w:t>Foreign currency transaction (gains) losses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Times New Roman" w:cs="Times New Roman" w:eastAsia="Times New Roman" w:hAnsi="Times New Roman"/>
                <w:sz w:val="18"/>
                <w:szCs w:val="18"/>
                <w:color w:val="auto"/>
              </w:rPr>
              <w:t>Other current and long term assets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800"/>
              <w:spacing w:after="0" w:line="202" w:lineRule="exact"/>
              <w:rPr>
                <w:sz w:val="20"/>
                <w:szCs w:val="20"/>
                <w:color w:val="auto"/>
              </w:rPr>
            </w:pPr>
            <w:r>
              <w:rPr>
                <w:rFonts w:ascii="Times New Roman" w:cs="Times New Roman" w:eastAsia="Times New Roman" w:hAnsi="Times New Roman"/>
                <w:sz w:val="18"/>
                <w:szCs w:val="18"/>
                <w:color w:val="auto"/>
              </w:rPr>
              <w:t>Accrued liabilities and other liabilities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Payment of dividends on common stock</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Purchases of common stock for treasury</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Withholding taxes paid on stock issuances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480"/>
              <w:spacing w:after="0" w:line="20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Supplemental schedule of non-cash investing activities: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 funded by accounts payable</w:t>
            </w:r>
          </w:p>
        </w:tc>
        <w:tc>
          <w:tcPr>
            <w:tcW w:w="12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TRANSACT TECHNOLOGIES INCORPORATED NOTES TO CONDENSED CONSOLIDATED FINANCIAL STATEMENTS </w:t>
      </w:r>
      <w:r>
        <w:rPr>
          <w:rFonts w:ascii="Times New Roman" w:cs="Times New Roman" w:eastAsia="Times New Roman" w:hAnsi="Times New Roman"/>
          <w:sz w:val="18"/>
          <w:szCs w:val="18"/>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accompanying unaudited financial statements of TransAct Technologies Incorporated ("the Company")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2016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2016 included in our Annual Report on Form 10-K.</w:t>
      </w:r>
    </w:p>
    <w:p>
      <w:pPr>
        <w:spacing w:after="0" w:line="3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(expenses) in the Condensed Consolidated Statements of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three months ended March 31, 2017 are not necessarily indicative of the results to be expected for the full year.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Inventories,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inventories 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Raw materials and purchased component parts</w:t>
            </w:r>
          </w:p>
        </w:tc>
        <w:tc>
          <w:tcPr>
            <w:tcW w:w="2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7,342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17"/>
                <w:szCs w:val="17"/>
                <w:color w:val="auto"/>
              </w:rPr>
            </w:pPr>
          </w:p>
        </w:tc>
        <w:tc>
          <w:tcPr>
            <w:tcW w:w="8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product warranty liability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accrued product warranty liability during the three months ended March 31, 2017 and 2016:</w:t>
      </w:r>
    </w:p>
    <w:p>
      <w:pPr>
        <w:spacing w:after="0" w:line="19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w w:val="85"/>
              </w:rPr>
              <w:t>(In</w:t>
            </w:r>
          </w:p>
        </w:tc>
        <w:tc>
          <w:tcPr>
            <w:tcW w:w="10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i w:val="1"/>
                <w:iCs w:val="1"/>
                <w:color w:val="auto"/>
                <w:w w:val="75"/>
              </w:rPr>
              <w:t>thousands)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gridSpan w:val="2"/>
            <w:shd w:val="clear" w:color="auto" w:fill="CCEEFF"/>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5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Warranties issued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Warranty settlements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Pr>
          <w:p>
            <w:pPr>
              <w:spacing w:after="0"/>
              <w:rPr>
                <w:sz w:val="17"/>
                <w:szCs w:val="17"/>
                <w:color w:val="auto"/>
              </w:rPr>
            </w:pPr>
          </w:p>
        </w:tc>
        <w:tc>
          <w:tcPr>
            <w:tcW w:w="700" w:type="dxa"/>
            <w:vAlign w:val="bottom"/>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7"/>
                <w:szCs w:val="17"/>
                <w:color w:val="auto"/>
              </w:rPr>
            </w:pPr>
          </w:p>
        </w:tc>
        <w:tc>
          <w:tcPr>
            <w:tcW w:w="900" w:type="dxa"/>
            <w:vAlign w:val="bottom"/>
            <w:gridSpan w:val="2"/>
          </w:tcPr>
          <w:p>
            <w:pPr>
              <w:jc w:val="center"/>
              <w:ind w:right="5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$167,000 of the accrued product warranty liability is classified as current in Accrued liabilities at March 31, 2017 in the Condensed Consolidated Balance Sheets. The remaining $90,000 of the accrued product warranty liability is classified as long-term in Other liabilities.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reconciliation of basic weighted average shares outstanding and diluted weighted average shares outstanding:</w:t>
      </w:r>
    </w:p>
    <w:p>
      <w:pPr>
        <w:spacing w:after="0" w:line="19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i w:val="1"/>
                <w:iCs w:val="1"/>
                <w:color w:val="auto"/>
                <w:w w:val="98"/>
              </w:rPr>
              <w:t>(In thousands,</w:t>
            </w:r>
          </w:p>
        </w:tc>
        <w:tc>
          <w:tcPr>
            <w:tcW w:w="1360" w:type="dxa"/>
            <w:vAlign w:val="bottom"/>
            <w:gridSpan w:val="3"/>
          </w:tcPr>
          <w:p>
            <w:pPr>
              <w:jc w:val="right"/>
              <w:ind w:right="130"/>
              <w:spacing w:after="0" w:line="182" w:lineRule="exact"/>
              <w:rPr>
                <w:sz w:val="20"/>
                <w:szCs w:val="20"/>
                <w:color w:val="auto"/>
              </w:rPr>
            </w:pPr>
            <w:r>
              <w:rPr>
                <w:rFonts w:ascii="Times New Roman" w:cs="Times New Roman" w:eastAsia="Times New Roman" w:hAnsi="Times New Roman"/>
                <w:sz w:val="18"/>
                <w:szCs w:val="18"/>
                <w:i w:val="1"/>
                <w:iCs w:val="1"/>
                <w:color w:val="auto"/>
                <w:w w:val="94"/>
              </w:rPr>
              <w:t>except per share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data)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8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943</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7,396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Add: Dilutive effect of outstanding options and restricted stock units as determined by the treasury stock method</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Diluted: Weighted average common and common equivalent shares outstanding</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7,445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1"/>
        </w:trPr>
        <w:tc>
          <w:tcPr>
            <w:tcW w:w="8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March 31, 2017 and 2016, there were 846,000 and 878,000, respectively, potentially dilutive shares consisting of stock awards that were excluded from the calculation of earnings per diluted share.</w:t>
      </w:r>
    </w:p>
    <w:p>
      <w:pPr>
        <w:sectPr>
          <w:pgSz w:w="11900" w:h="16838" w:orient="portrait"/>
          <w:cols w:equalWidth="0" w:num="1">
            <w:col w:w="11420"/>
          </w:cols>
          <w:pgMar w:left="240" w:top="117" w:right="23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shareholders' equity for the three months ended March 31, 2017 were as follows (in thousands):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18"/>
          <w:szCs w:val="18"/>
          <w:color w:val="auto"/>
        </w:rPr>
        <w:t>Share-based compensation expense</w:t>
      </w:r>
    </w:p>
    <w:p>
      <w:pPr>
        <w:spacing w:after="0" w:line="235"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8"/>
          <w:szCs w:val="18"/>
          <w:color w:val="auto"/>
        </w:rPr>
        <w:t>Relinquishment of fully vested deferred stock units</w:t>
      </w:r>
    </w:p>
    <w:p>
      <w:pPr>
        <w:spacing w:after="0" w:line="235" w:lineRule="auto"/>
        <w:rPr>
          <w:sz w:val="20"/>
          <w:szCs w:val="20"/>
          <w:color w:val="auto"/>
        </w:rPr>
      </w:pPr>
      <w:r>
        <w:rPr>
          <w:rFonts w:ascii="Times New Roman" w:cs="Times New Roman" w:eastAsia="Times New Roman" w:hAnsi="Times New Roman"/>
          <w:sz w:val="18"/>
          <w:szCs w:val="18"/>
          <w:color w:val="auto"/>
        </w:rPr>
        <w:t>Reversal of deferred tax asset in connection with stock options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Dividends declared and paid on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3" w:hanging="643"/>
        <w:spacing w:after="0"/>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24,109</w:t>
      </w:r>
    </w:p>
    <w:p>
      <w:pPr>
        <w:spacing w:after="0" w:line="15" w:lineRule="exact"/>
        <w:rPr>
          <w:rFonts w:ascii="Times New Roman" w:cs="Times New Roman" w:eastAsia="Times New Roman" w:hAnsi="Times New Roman"/>
          <w:sz w:val="18"/>
          <w:szCs w:val="18"/>
          <w:color w:val="auto"/>
        </w:rPr>
      </w:pPr>
    </w:p>
    <w:p>
      <w:pPr>
        <w:ind w:left="863"/>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943</w:t>
      </w:r>
    </w:p>
    <w:p>
      <w:pPr>
        <w:ind w:left="863"/>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w:t>
      </w:r>
    </w:p>
    <w:p>
      <w:pPr>
        <w:ind w:left="1043"/>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ind w:left="903"/>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ind w:left="903"/>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(587)</w:t>
      </w:r>
    </w:p>
    <w:p>
      <w:pPr>
        <w:spacing w:after="0" w:line="7" w:lineRule="exact"/>
        <w:rPr>
          <w:sz w:val="20"/>
          <w:szCs w:val="20"/>
          <w:color w:val="auto"/>
        </w:rPr>
      </w:pPr>
    </w:p>
    <w:p>
      <w:pPr>
        <w:ind w:left="643" w:hanging="643"/>
        <w:spacing w:after="0"/>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86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88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57" w:space="720"/>
            <w:col w:w="1243"/>
          </w:cols>
          <w:pgMar w:left="240" w:top="117" w:right="239" w:bottom="1440" w:gutter="0" w:footer="0" w:header="0"/>
          <w:type w:val="continuous"/>
        </w:sectPr>
      </w:pPr>
    </w:p>
    <w:p>
      <w:pPr>
        <w:spacing w:after="0" w:line="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2017, our Board of Directors declared a quarterly cash dividend of $0.08 per share, totaling $587,000, which was paid in March 2017 to common shareholders of record at the close of business on February 20, 2017. For the three months ended March 31, 2016, dividends declared and paid totaled $623,000, or $0.08 per share.</w:t>
      </w:r>
    </w:p>
    <w:p>
      <w:pPr>
        <w:spacing w:after="0" w:line="16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April 28, 2017, our Board of Directors declared an increase to the quarterly cash dividend from $0.08 per share to $0.09 per share payable on June 15, 2017 to shareholders of record at the close of business on May 19, 2017.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recorded an income tax provision for the first quarter of 2017 of $459,000 at an effective tax rate of 32.7%, compared to an income tax provision during the first quarter of 2016 of $311,000 at an effective tax rate of 33.2%.</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subject to U.S. federal income tax, as well as income tax in certain state and foreign jurisdictions. We have substantially concluded all U.S. federal income tax, state and local, and foreign tax regulatory examination matters through 2012. During 2013, an examination of our 2010 federal tax return was completed. However, our federal tax returns for the years 2013 through 2015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March 31, 2017, we had $111,000 of total gross unrecognized tax benefits that, if recognized, would favorably affect the effective income tax rate in any future periods. We expect $31,000 of the $111,000 of unrecognized tax benefits will reverse in 2017 upon the expiration of the statute of limitations.</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income tax provision. As of March 31, 2017, we have $$21,000 of accrued interest and penalties related to uncertain tax positions.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7. Accounting pronouncements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pronouncements will be adopted in future reporting periods:</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applying the amended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The amended guidance applies to all contracts with customers except those that are within the scope of other topics in the FASB Accounting Standards Codification. The provisions of this ASU are effective for interim and annual periods beginning after December 15, 2017. We are currently evaluating the impact this ASU may have on our consolidated financial position, results of operations or cash flows and during the first quarter of 2017 we have engaged a national accounting firm to assist management in implementing the new standard. Entities have the option of using either a full retrospective or modified retrospective approach to adopt the amended guidance. The Company currently anticipates adopting the amended guidance using the modified retrospective transition approach, with any cumulative effect of initially adopting this standard recognized through retained earnings at the date of adoption. We will adopt the amended guidance on January 1, 2018 at which time it becomes effective for the Company.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noted above, we have engaged a national accounting firm to assist the Company in implementing the new standard. We are in the initial phases of our project and during 2017, we will further evaluate the impact of the standard, and if needed, establish policies, identify system impacts, integrate the standard into the financial reporting processes and systems, and develop an understanding of the financial impact of this statement on the Company's consolidated financial statements.</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2016, the FASB issued ASU 2016-02, "Leases." The core principle of this ASU requires that a lessee should recognize the leased assets and related liabilities on its balance sheet and disclose key information about leasing arrangements. ASU 2016-02 is effective for fiscal years beginning after December 15, 2018, including interim periods within those fiscal years. We are currently evaluating the impact this ASU may have on our consolidated financial position, results of operation or cash flows.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pronouncements were adopted during the first quarter of 2017:</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are effective for years beginning after December 15, 2016. The Company adopted this guidance in the first quarter of 2017 and the adoption has not resulted in a change to the value of inventory.</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March 2016, the FASB issued ASU 2016-09, "Compensation-Stock Compensation: Improvements to Employee Share-Based Payment Accounting." This ASU is intended to simplify several aspects of the accounting for share based payment transactions. The amended guidance requires that all tax effects related to share-based payments are recorded at settlement (or expiration) through the income statement, rather than through equity. Cash flows related to excess tax benefits will no longer be separately classified as a financing activity apart from other income tax cash flows. The amended guidance also allows for an employer to repurchase additional employee shares for tax withholding purposes without requiring liability accounting and clarifies that all cash payments made to tax authorities on an employee's behalf for withheld shares should be presented as a financing activity on the Consolidated Statements of Cash Flows. This ASU is effective for years beginning after December 15, 2016, and interim periods within those fiscal years, beginning after December 15, 2016.</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adopted this guidance in the first quarter of 2017. This adoption required the Company to reflect any adjustments as of January 1, 2017, the beginning of the annual period that includes the interim period of adoption. There was no impact during the first quarter of 2017 upon adopting the standard as we had no stock options exercised and did not recognize any excess tax benefits in the provision for income taxes. In the first quarter of 2016, there were no options exercised that required excess tax benefits to be recorded in additional paid-in-capital, as was required pursuant to the prior accounting guidance.</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adoption of ASU 2016-09, in the first quarter of 2017, the Company made an accounting policy election to no longer estimate forfeitures expected to occur to determine the amount of compensation cost to be recognized in each period. This election required the cumulative effect of the change to be recorded to retained earnings. As of January 1, 2017, we recorded $31,000 to decrease retained earnings and increase additional paid-in capital for the difference between the amount of compensation cost previously recorded and the amount that would have been recorded without assuming forfeitures.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presentation requirements for cash flows related to excess tax benefits and employee taxes paid for withheld shares were applied retrospectively to all periods presented. This resulted in an increase in both net cash provided by operating activities and net cash used by financing activities of $18,000 for the first three months of 2017,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TransAct Technologies Incorporated ("TransAct") is a global leader in developing and selling software-driven technology and printing solutions for high growth markets including restaurant solutions, POS automation and banking, casino and gaming, lottery, mobile and oil and gas. Our world-class products are designed from the ground up based on market and customer requirements and are sold under the AccuDate™, Epic, EPICENTRAL™,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Times New Roman" w:cs="Times New Roman" w:eastAsia="Times New Roman" w:hAnsi="Times New Roman"/>
          <w:sz w:val="18"/>
          <w:szCs w:val="18"/>
          <w:u w:val="single" w:color="auto"/>
          <w:color w:val="auto"/>
        </w:rPr>
        <w:t>www.transactsupplies.com</w:t>
      </w:r>
      <w:r>
        <w:rPr>
          <w:rFonts w:ascii="Times New Roman" w:cs="Times New Roman" w:eastAsia="Times New Roman" w:hAnsi="Times New Roman"/>
          <w:sz w:val="18"/>
          <w:szCs w:val="18"/>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 and Estimates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the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2016. We have reviewed those policies and determined that they remain our critical accounting policies for the three months ended March 31, 2017.</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March 31, 2017 compared to three months ended March 31, 2016</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three months ended March 31, 2017 and 2016 were as follows (in thousands, except percentages):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Times New Roman" w:cs="Times New Roman" w:eastAsia="Times New Roman" w:hAnsi="Times New Roman"/>
                <w:sz w:val="18"/>
                <w:szCs w:val="18"/>
                <w:b w:val="1"/>
                <w:bCs w:val="1"/>
                <w:color w:val="auto"/>
              </w:rPr>
              <w:t>March 31, 2017</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Restaurant Solutions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42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POS automation and banking</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2,315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Casino and gaming</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5,117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5,438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Lottery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2,981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2,935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Printrex</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TSG</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2,736</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2,692</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13,997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14,357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2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International *</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24.9%</w:t>
            </w:r>
          </w:p>
        </w:tc>
        <w:tc>
          <w:tcPr>
            <w:tcW w:w="3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2,531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17.6%</w:t>
            </w:r>
          </w:p>
        </w:tc>
        <w:tc>
          <w:tcPr>
            <w:tcW w:w="42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2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sales for the first quarter of 2017 decreased $360,000, or 3%, from the same period in 2016. Printer and terminal sales volume increased 2% to approximately 43,000 units driven primarily by a 7% increase in unit volume from the casino and gaming market and an 8% increase in unit volume in the POS automation and banking market. These increases were partially offset by decreases in unit volume of 4% from the lottery market and 40% from the restaurant solutions market. The average selling price of our printers and terminals remained consistent in the first quarter of 2017 compared to the first quarter of 2016.</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International sales increased $955,000, or 38%, due to an increase in sales in the international lottery market. The increase in the international lottery market was partially offset by decreases in the international casino and gaming, POS automation and banking and restaurant solutions markets of 5%, 67% and 41%,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Solutions: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Revenue from the restaurant solutions market includes sales of terminals that combine hardware and software in a device that includes an operating system, touchscreen and one or two thermal print mechanisms that print easy-to-read food rotation labels, grab-and-go labels for prepared foods, and "enjoy by" date labels to help food service establishments and restaurants (including fine dining, casual dining, quick-serve and hospitality establishments) effectively manage food spoilage and automate and manage back-of-the-restaurant operations. A summary of sales of our worldwide restaurant solutions products for the three months ended March 31,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rPr>
              <w:t>March 31, 2017</w:t>
            </w:r>
          </w:p>
        </w:tc>
        <w:tc>
          <w:tcPr>
            <w:tcW w:w="4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rPr>
              <w:t>March 31, 2016</w:t>
            </w: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89.8%</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88.9%</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(35.3%)</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(40.7%)</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(35.9%)</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decrease in domestic restaurant solutions product revenue from the first quarter of 2016 was primarily driven by lower sales of our AccuDate 9700 terminal to our U.S. distributor. This decrease was partially offset by increased sales of our AccuDate Pro terminal. We expect sales of our restaurant solutions terminals to increase in 2017 compared to 2016, specifically in the second half of 2017, as we benefit from the strategic selling and marketing investments we began in the first quarter of 2017.</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POS automation and banking:</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Revenue from the POS automation and banking market includes sales of thermal and impact printers used primarily by restaurants (including fine dining, casual dining, quick-serve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March 31,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2017</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2,416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98.3%</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2,187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94.5%</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(67.2%)</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2,315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increase in domestic POS automation and banking product revenue from the first quarter of 2016 was primarily driven by a 12% increase in domestic sales of our Ithaca® 9000 printer to McDonald's in the first quarter of 2017 compared to the first quarter of 2016. Despite this increase, we expect sales to McDonald's to decrease for the full year 2017 compared to the full year 2016 as McDonald's nears the completion of the implementation of the initiatives started in 2015. The increase from our Ithaca® 9000 printers was partially offset by a 5% decline in domestic sales of our legacy banking and other POS printers for the first quarter of 2017 compared to the first quarter of 2016 as we continue to deemphasize these products. We expect sales of these legacy products to continue to decline during 2017 as we shift sales focus to our newer products.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POS automation and banking sales decreased due to 66% lower international sales of our Ithaca® 9000 printer in the first quarter of 2017 compared to the first quarter of 2016 resulting from completion of a Canadian kiosk initiative for McDonald's that started in 2015.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Casino and gaming:</w:t>
      </w:r>
    </w:p>
    <w:p>
      <w:pPr>
        <w:spacing w:after="0" w:line="2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Revenue from the casino and gaming market includes sales of thermal ticket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print system, that enables casino operators to create promotional coupons and marketing messages and to print them in real-time at the slot machine. A summary of sales of our worldwide casino and gaming products for the three months ended March 31, 2017 and 2016 is as follows (in thousands, except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2017</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60.3%</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60.7%</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2,135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5,117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5,438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decrease in domestic sales of our casino and gaming products was due largely to an 88% decline in domestic EPICENTRAL™ software sales in the first quarter of 2017 compared to the first quarter of 2016 as no new installations were completed in the 2017 period compared to two installations completed in the first quarter of 2016. Sales of Epicentral</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are project based and as a result, may fluctuate significantly quarter-to-quarter and year-to-year. This decrease was partially offset by a 19% increase in domestic sales of our thermal casino printers in the first quarter of 2017 compared to the first quarter of 2016, driven primarily by a new casino opening.</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International casino and gaming product sales decreased in the first quarter of 2017 compared to the first quarter of 2016 due to a 38% decline in international sales of our thermal casino printers in Europe, Asia and Australia. This decrease was partially offset by an 89% increase in sales of our off-premises gaming printers, primarily to our European distributor for the sports betting market in Europe. Sales of our off-premise gaming printers are largely project-oriented and therefore may fluctuate significantly from quarter-to-quarter and year-to-year.</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Lottery</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Revenue from the lottery market includes sales of thermal on-line and other lottery printers to International Game Technology and its subsidiaries ("IGT") for various lottery applications. A summary of sales of our worldwide lottery printers for the three months ended March 31, 2017 and 2016 is as follows (in thousands, except percentages):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2017</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1,814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60.9%</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(38.2%)</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1,167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International lottery sales increased due to a sale of lottery printers to IGT for the Canadian lottery in the first quarter of 2017 and no comparable sale occurring in the first quarter of 2016.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Printrex:</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Printrex branded printers include wide format, desktop and rack mounted and vehicle mounted black/white and color thermal printers and are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three months ended March 31,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rPr>
              <w:t>March 31, 2017</w:t>
            </w:r>
          </w:p>
        </w:tc>
        <w:tc>
          <w:tcPr>
            <w:tcW w:w="4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rPr>
              <w:t>March 31, 2016</w:t>
            </w: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75.3%</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87.7%</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131.6%</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sales of Printrex printers in the first quarter of 2017 compared to the first quarter of 2016 resulted largely from 26% higher domestic and international sales in the oil and gas market. Though we began to see improvement in demand from our oil and gas customers in the first quarter of 2017, the industry continues to be impacted by low worldwide oil prices which we expect will continue to negatively impact our sales during the remainder of 2017.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TSG:</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Revenue from TSG includes sales of consumable products (including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March 31, 2017 and 2016 is as follows (in thousands, except percentages):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2017</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2,589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94.6%</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94.1%</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2,736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increase in domestic revenue from TSG for the first quarter of 2017 as compared to the prior year period was due to increased replacement part sales and service revenue of 15% and 13%, respectively. These increases were partially offset by a 17% decrease in non-Printrex consumables, largely from the decline of HP inkjet cartridge and legacy POS paper sales, as we continue to deemphasize our sales focus on these commoditized consumable products. We expect TSG sales to increase for the full year 2017 compared to 2016 due to increased orders from IGT for replacement parts for the lottery market.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revenue from TSG declined slightly in the first quarter of 2017 compared to the first quarter of 2016 due to lower international maintenance and repair services.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is summarized below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12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2017</w:t>
            </w: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2080" w:type="dxa"/>
            <w:vAlign w:val="bottom"/>
            <w:tcBorders>
              <w:bottom w:val="single" w:sz="8" w:color="auto"/>
            </w:tcBorders>
          </w:tcPr>
          <w:p>
            <w:pPr>
              <w:ind w:left="74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20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Total Sales – 2017</w:t>
            </w:r>
          </w:p>
        </w:tc>
        <w:tc>
          <w:tcPr>
            <w:tcW w:w="42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- 2016</w:t>
            </w:r>
          </w:p>
        </w:tc>
        <w:tc>
          <w:tcPr>
            <w:tcW w:w="240" w:type="dxa"/>
            <w:vAlign w:val="bottom"/>
          </w:tcPr>
          <w:p>
            <w:pPr>
              <w:spacing w:after="0"/>
              <w:rPr>
                <w:sz w:val="18"/>
                <w:szCs w:val="18"/>
                <w:color w:val="auto"/>
              </w:rPr>
            </w:pPr>
          </w:p>
        </w:tc>
      </w:tr>
      <w:tr>
        <w:trPr>
          <w:trHeight w:val="203"/>
        </w:trPr>
        <w:tc>
          <w:tcPr>
            <w:tcW w:w="1280" w:type="dxa"/>
            <w:vAlign w:val="bottom"/>
            <w:shd w:val="clear" w:color="auto" w:fill="CCEEFF"/>
          </w:tcPr>
          <w:p>
            <w:pPr>
              <w:jc w:val="right"/>
              <w:ind w:right="9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6,093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5,885</w:t>
            </w:r>
          </w:p>
        </w:tc>
        <w:tc>
          <w:tcPr>
            <w:tcW w:w="18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248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43.5%</w:t>
            </w:r>
          </w:p>
        </w:tc>
        <w:tc>
          <w:tcPr>
            <w:tcW w:w="21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41.0%</w:t>
            </w:r>
          </w:p>
        </w:tc>
      </w:tr>
    </w:tbl>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EPICENTRALTM print system. In the first quarter of 2017, gross profit increased $208,000, or 4%, and our gross margin increased by 250 basis points compared to the first quarter of 2016 as we experienced favorable overhead absorption in the first quarter of 2017 compared to unfavorable overhead absorption in the first quarter of 2016.</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Engineering, Design and Product Development. </w:t>
      </w:r>
      <w:r>
        <w:rPr>
          <w:rFonts w:ascii="Times New Roman" w:cs="Times New Roman" w:eastAsia="Times New Roman" w:hAnsi="Times New Roman"/>
          <w:sz w:val="18"/>
          <w:szCs w:val="18"/>
          <w:color w:val="auto"/>
        </w:rPr>
        <w:t>Engineering, design and product development expenses and related information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summarized below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12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2017</w:t>
            </w: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2060" w:type="dxa"/>
            <w:vAlign w:val="bottom"/>
            <w:tcBorders>
              <w:bottom w:val="single" w:sz="8" w:color="auto"/>
            </w:tcBorders>
          </w:tcPr>
          <w:p>
            <w:pPr>
              <w:ind w:left="72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20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Total Sales – 2017</w:t>
            </w:r>
          </w:p>
        </w:tc>
        <w:tc>
          <w:tcPr>
            <w:tcW w:w="40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- 2016</w:t>
            </w:r>
          </w:p>
        </w:tc>
        <w:tc>
          <w:tcPr>
            <w:tcW w:w="240" w:type="dxa"/>
            <w:vAlign w:val="bottom"/>
          </w:tcPr>
          <w:p>
            <w:pPr>
              <w:spacing w:after="0"/>
              <w:rPr>
                <w:sz w:val="18"/>
                <w:szCs w:val="18"/>
                <w:color w:val="auto"/>
              </w:rPr>
            </w:pPr>
          </w:p>
        </w:tc>
      </w:tr>
      <w:tr>
        <w:trPr>
          <w:trHeight w:val="203"/>
        </w:trPr>
        <w:tc>
          <w:tcPr>
            <w:tcW w:w="1280" w:type="dxa"/>
            <w:vAlign w:val="bottom"/>
            <w:shd w:val="clear" w:color="auto" w:fill="CCEEFF"/>
          </w:tcPr>
          <w:p>
            <w:pPr>
              <w:jc w:val="right"/>
              <w:ind w:right="9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1,236</w:t>
            </w:r>
          </w:p>
        </w:tc>
        <w:tc>
          <w:tcPr>
            <w:tcW w:w="1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(19.7%)</w:t>
            </w:r>
          </w:p>
        </w:tc>
        <w:tc>
          <w:tcPr>
            <w:tcW w:w="246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7.1%</w:t>
            </w:r>
          </w:p>
        </w:tc>
        <w:tc>
          <w:tcPr>
            <w:tcW w:w="21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design and product development expenses primarily include salary and payroll related expenses for our hardware and software engineering staff,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design expenses (including prototype printer expenses, outside design and testing services, and supplies). Such expenses decreased</w:t>
      </w:r>
    </w:p>
    <w:p>
      <w:pPr>
        <w:spacing w:after="0" w:line="234" w:lineRule="auto"/>
        <w:rPr>
          <w:sz w:val="20"/>
          <w:szCs w:val="20"/>
          <w:color w:val="auto"/>
        </w:rPr>
      </w:pPr>
      <w:r>
        <w:rPr>
          <w:rFonts w:ascii="Times New Roman" w:cs="Times New Roman" w:eastAsia="Times New Roman" w:hAnsi="Times New Roman"/>
          <w:sz w:val="18"/>
          <w:szCs w:val="18"/>
          <w:color w:val="auto"/>
        </w:rPr>
        <w:t>$243,000, or 20%, due primarily to higher product development costs in the first quarter of 2016 related to the completion of software development projects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EPICENTRAL™ software and restaurant solutions terminals compared to the first quarter of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Selling and Marketing. </w:t>
      </w:r>
      <w:r>
        <w:rPr>
          <w:rFonts w:ascii="Times New Roman" w:cs="Times New Roman" w:eastAsia="Times New Roman" w:hAnsi="Times New Roman"/>
          <w:sz w:val="18"/>
          <w:szCs w:val="18"/>
          <w:color w:val="auto"/>
        </w:rPr>
        <w:t>Selling and marketing information is summarized below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12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2017</w:t>
            </w: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2060" w:type="dxa"/>
            <w:vAlign w:val="bottom"/>
            <w:tcBorders>
              <w:bottom w:val="single" w:sz="8" w:color="auto"/>
            </w:tcBorders>
          </w:tcPr>
          <w:p>
            <w:pPr>
              <w:ind w:left="72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20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Total Sales – 2017</w:t>
            </w:r>
          </w:p>
        </w:tc>
        <w:tc>
          <w:tcPr>
            <w:tcW w:w="40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- 2016</w:t>
            </w:r>
          </w:p>
        </w:tc>
        <w:tc>
          <w:tcPr>
            <w:tcW w:w="240" w:type="dxa"/>
            <w:vAlign w:val="bottom"/>
          </w:tcPr>
          <w:p>
            <w:pPr>
              <w:spacing w:after="0"/>
              <w:rPr>
                <w:sz w:val="18"/>
                <w:szCs w:val="18"/>
                <w:color w:val="auto"/>
              </w:rPr>
            </w:pPr>
          </w:p>
        </w:tc>
      </w:tr>
      <w:tr>
        <w:trPr>
          <w:trHeight w:val="203"/>
        </w:trPr>
        <w:tc>
          <w:tcPr>
            <w:tcW w:w="1280" w:type="dxa"/>
            <w:vAlign w:val="bottom"/>
            <w:shd w:val="clear" w:color="auto" w:fill="CCEEFF"/>
          </w:tcPr>
          <w:p>
            <w:pPr>
              <w:jc w:val="right"/>
              <w:ind w:right="9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1,672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1,793</w:t>
            </w:r>
          </w:p>
        </w:tc>
        <w:tc>
          <w:tcPr>
            <w:tcW w:w="1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(6.7%)</w:t>
            </w:r>
          </w:p>
        </w:tc>
        <w:tc>
          <w:tcPr>
            <w:tcW w:w="246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11.9%</w:t>
            </w:r>
          </w:p>
        </w:tc>
        <w:tc>
          <w:tcPr>
            <w:tcW w:w="21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12.5%</w:t>
            </w:r>
          </w:p>
        </w:tc>
      </w:tr>
    </w:tbl>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$121,000, or 7%, in the first quarter of 2017 compared to the first quarter of 2016 primarily due to reductions of certain sales staff made in the second quarter of 2016, as well as lower sales commissions and lower travel costs in the first quarter of 2017. We expect selling and marketing expenses to be higher in 2017 compared to 2016 as we commit more resources and invest in our internal infrastructure dedicated to the restaurant solutions market in 2017 to build a world-class sales force and implement direct market campaigns to address the significant market opportunities.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 General and Administrative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information is summarized below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12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2017</w:t>
            </w: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2080" w:type="dxa"/>
            <w:vAlign w:val="bottom"/>
            <w:tcBorders>
              <w:bottom w:val="single" w:sz="8" w:color="auto"/>
            </w:tcBorders>
          </w:tcPr>
          <w:p>
            <w:pPr>
              <w:ind w:left="74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20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- 2017</w:t>
            </w:r>
          </w:p>
        </w:tc>
        <w:tc>
          <w:tcPr>
            <w:tcW w:w="42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- 2016</w:t>
            </w:r>
          </w:p>
        </w:tc>
        <w:tc>
          <w:tcPr>
            <w:tcW w:w="240" w:type="dxa"/>
            <w:vAlign w:val="bottom"/>
          </w:tcPr>
          <w:p>
            <w:pPr>
              <w:spacing w:after="0"/>
              <w:rPr>
                <w:sz w:val="18"/>
                <w:szCs w:val="18"/>
                <w:color w:val="auto"/>
              </w:rPr>
            </w:pPr>
          </w:p>
        </w:tc>
      </w:tr>
      <w:tr>
        <w:trPr>
          <w:trHeight w:val="203"/>
        </w:trPr>
        <w:tc>
          <w:tcPr>
            <w:tcW w:w="1280" w:type="dxa"/>
            <w:vAlign w:val="bottom"/>
            <w:shd w:val="clear" w:color="auto" w:fill="CCEEFF"/>
          </w:tcPr>
          <w:p>
            <w:pPr>
              <w:jc w:val="right"/>
              <w:ind w:right="9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2,012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1,917</w:t>
            </w:r>
          </w:p>
        </w:tc>
        <w:tc>
          <w:tcPr>
            <w:tcW w:w="18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248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21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13.4%</w:t>
            </w:r>
          </w:p>
        </w:tc>
      </w:tr>
    </w:tbl>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increased $95,000, or 5%, in first quarter of 2017 due primarily to higher recruiting expenses related to the planned expansion of sales staff for our restaurant solutions market and higher legal fees compared to the first quarter of 2016. We expect general and administrative expenses in 2017 to be higher than 2016 due to the recruiting expenses for restaurant solutions market explained above.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w:t>
      </w:r>
      <w:r>
        <w:rPr>
          <w:rFonts w:ascii="Times New Roman" w:cs="Times New Roman" w:eastAsia="Times New Roman" w:hAnsi="Times New Roman"/>
          <w:sz w:val="18"/>
          <w:szCs w:val="18"/>
          <w:color w:val="auto"/>
        </w:rPr>
        <w:t>Operating income information is summarized below (in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0"/>
        </w:trPr>
        <w:tc>
          <w:tcPr>
            <w:tcW w:w="12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2017</w:t>
            </w: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2080" w:type="dxa"/>
            <w:vAlign w:val="bottom"/>
            <w:tcBorders>
              <w:bottom w:val="single" w:sz="8" w:color="auto"/>
            </w:tcBorders>
          </w:tcPr>
          <w:p>
            <w:pPr>
              <w:ind w:left="740"/>
              <w:spacing w:after="0" w:line="202" w:lineRule="exact"/>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20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- 2017</w:t>
            </w:r>
          </w:p>
        </w:tc>
        <w:tc>
          <w:tcPr>
            <w:tcW w:w="42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Sales – 2016</w:t>
            </w:r>
          </w:p>
        </w:tc>
        <w:tc>
          <w:tcPr>
            <w:tcW w:w="240" w:type="dxa"/>
            <w:vAlign w:val="bottom"/>
          </w:tcPr>
          <w:p>
            <w:pPr>
              <w:spacing w:after="0"/>
              <w:rPr>
                <w:sz w:val="18"/>
                <w:szCs w:val="18"/>
                <w:color w:val="auto"/>
              </w:rPr>
            </w:pPr>
          </w:p>
        </w:tc>
      </w:tr>
      <w:tr>
        <w:trPr>
          <w:trHeight w:val="203"/>
        </w:trPr>
        <w:tc>
          <w:tcPr>
            <w:tcW w:w="1280" w:type="dxa"/>
            <w:vAlign w:val="bottom"/>
            <w:shd w:val="clear" w:color="auto" w:fill="CCEEFF"/>
          </w:tcPr>
          <w:p>
            <w:pPr>
              <w:jc w:val="right"/>
              <w:ind w:right="9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1,416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50.8%</w:t>
            </w:r>
          </w:p>
        </w:tc>
        <w:tc>
          <w:tcPr>
            <w:tcW w:w="248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21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6.5%</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income increased $477,000, or 51%, and our operating margin increased to 10% of net sales primarily due to improved gross margin and lower operating expenses in the first quarter of 2017 compared to the first quarter of 2016.</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We recorded net interest expense of $8,000 in the first quarter of 2017 compared to $4,000 in the first quarter of 2016. We do not expect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net interest expense for the remainder of 2017.</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We recorded other expense of $6,000 in the first quarter of 2017 compared to other income of $1,000 in the first quarter of 2016. The change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foreign currency transaction exchange losses recorded in 2017 of $8,000 compared to foreign currency transaction exchange gains of $1,000 recorded by our U.K. subsidiary in the first quarter 2016.</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provision for the first quarter of 2017 of $459,000 at an effective tax rate of 32.7%, compared to an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 during the first quarter of 2016 of $311,000 at an effective tax rate of 33.2%. We expect our effective tax rate to be between 32% and 33% for the full year 2017.</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reported net income for the first quarter of 2017 of $943,000, or $0.13 per diluted share, compared to $625,000, or $0.08 per diluted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first quarter of 2016.</w:t>
      </w:r>
    </w:p>
    <w:p>
      <w:pPr>
        <w:spacing w:after="0" w:line="14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Impact of Inflation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inflation has not had a material impact on our results of operations for the three months ended March 31, 2017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However, there can be no assurance that future inflation would not have an adverse impact upon our future operating results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In the first three months of 2017, our cash and cash equivalents balance decreased $74,000, or 3%, from December 31, 2016 and we ended the first quarter of 2017 with $2,429,000 in cash and cash equivalents, of which $149,000 was held by our U.K. subsidiary, and no debt outstanding.</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following significant factors affected our cash provided by operating activities of $771,000 in the first three months of 2017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our cash used in operating activities of $221,000 in the first three months of 2016: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first three months of 2017:</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net income of $943,000.</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amortization, and share-based compensation expense of $459,000.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$1,282,000, or 12%, due to the collection of receivables for sales made late in the fourth quarter of 2016.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$254,000, or 3%, due largely to the purchase of AccuDate inventory to support expected restaurant solutions sales in 2017.</w:t>
      </w:r>
    </w:p>
    <w:p>
      <w:pPr>
        <w:spacing w:after="0" w:line="9"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and long-term assets increased $169,000, or 45%, due largely to advance payments made in the first quarter of 2017 for annual ERP software maintenance expense.</w:t>
      </w:r>
    </w:p>
    <w:p>
      <w:pPr>
        <w:ind w:left="980" w:right="1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$1,324,000, or 27%, due primarily to increased inventory purchases towards the end of the fourth quarter of 2016 and subsequently paid in the first quarter of 2017.</w:t>
      </w:r>
    </w:p>
    <w:p>
      <w:pPr>
        <w:ind w:left="980" w:right="10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$195,000 due primarily to the payment of 2016 annual bonuses in March 2017. This decrease was partially offset by increased income taxes payable.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2016:</w:t>
      </w:r>
    </w:p>
    <w:p>
      <w:pPr>
        <w:spacing w:after="0" w:line="1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net income of $625,000.</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amortization, and share-based compensation expense of $469,000.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$2,179,000, or 30%, due to the increase and timing of sales during the first quarter of 2016.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$1,375,000, or 12%, due to the sell through of inventory on hand during the first quarter of 2016.</w:t>
      </w:r>
    </w:p>
    <w:p>
      <w:pPr>
        <w:spacing w:after="0" w:line="9"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and long-term assets increased, $252,000, or 54%, due largely to advance payments made in the first quarter 2016 for annual ERP software maintenance expenses.</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$1,305,000, or 49%, due to increased inventory purchases towards the end of the first quarter 2016.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$1,677,000 due primarily to the payment of 2015 annual bonuses in March 2016.</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capital expenditures were $234,000 and $221,000 in the first three months of 2017 and 2016, respectively. Expenditures in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primarily for new product tooling equipment and computer and networking equipment and to a lesser extent leasehold improvements for our Ithaca facility. Expenditures in 2016 were primarily for computer and networking equipment and to a lesser extent new tooling equipment and purchases of furniture and fixtures.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2017 are expected to be approximately $1,000,000 primarily for new product tooling and tooling enhancements for our existing products, as well as for new computer software and equipment purchases and leasehold improvements at our Ithaca facility.</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We used $605,000 of cash from financing activities during the first three months of 2017 to pay dividends of $587,000 to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and $18,000 related to the relinquishment of shares to pay for withholding taxes on stock issued from our stock compensation plan. During the first three months of 2016, we used $1,133,000 of cash from financing activities to pay dividends of $623,000 to common shareholders and to purchase $510,000 of common stock for treasury.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and Borrowings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We may use up to $10,000,000 of revolving credit loans to fund future cash dividend payments or treasury share buybacks.</w:t>
      </w:r>
    </w:p>
    <w:p>
      <w:pPr>
        <w:spacing w:after="0" w:line="17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March 31, 2017. The following table lists the financial covenants and the performance measurements at March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Financial Covenant</w:t>
            </w: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Requirement/Restriction</w:t>
            </w:r>
          </w:p>
        </w:tc>
        <w:tc>
          <w:tcPr>
            <w:tcW w:w="3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Calculation at March 31, 2017</w:t>
            </w:r>
          </w:p>
        </w:tc>
      </w:tr>
      <w:tr>
        <w:trPr>
          <w:trHeight w:val="184"/>
        </w:trPr>
        <w:tc>
          <w:tcPr>
            <w:tcW w:w="4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Operating cash flow / Total debt service</w:t>
            </w:r>
          </w:p>
        </w:tc>
        <w:tc>
          <w:tcPr>
            <w:tcW w:w="3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Minimum of 1.25 times</w:t>
            </w:r>
          </w:p>
        </w:tc>
        <w:tc>
          <w:tcPr>
            <w:tcW w:w="382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rPr>
              <w:t>88.3</w:t>
            </w:r>
          </w:p>
        </w:tc>
      </w:tr>
      <w:tr>
        <w:trPr>
          <w:trHeight w:val="234"/>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Funded Debt / EBITDA</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of 3.0 times</w:t>
            </w:r>
          </w:p>
        </w:tc>
        <w:tc>
          <w:tcPr>
            <w:tcW w:w="3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0 times</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borrowings available under the TD Bank Credit facility were $20,000,000.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Dividend Payments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2012, our Board of Directors initiated a quarterly cash dividend program which is subject to the Board's approval each quarter. For the three months ended March 31, 2017, our Board of Directors declared a quarterly cash dividend of $0.08 per share, totaling approximately $587,000, which was paid in March 2017 to common shareholders of record at the close of business on February 20, 2017. On April 28, 2017 our Board of Directors declared an increase to the quarterly dividend from $0.08 per share to $0.09 per share. We expect to pay approximately $2,600,000 in cash dividends to our common shareholders during 2017.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the three months ended March 31, 2017, we purchased no shares of our common stock. During the three months ended March 31, 2016, we repurchased 63,070 shares of our common stock for approximately $510,000 at an average price per share of $8.09.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 Sufficiency</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 Off-Balance Sheet Arrangements</w:t>
      </w:r>
    </w:p>
    <w:p>
      <w:pPr>
        <w:spacing w:after="0" w:line="2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2016.</w:t>
      </w:r>
    </w:p>
    <w:p>
      <w:pPr>
        <w:spacing w:after="0" w:line="1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January 3, 2017 we signed the First Amendment to the lease agreement for our facility in Hamden, CT with 2319 Hamden Center I, L.L.C. to extend our lease in Hamden to April 30, 2027.</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than the item mentioned above, there have been no other material changes in our contractual obligations outside the ordinary course of business since December 31, 2016. We have no material off-balance sheet arrangements as defined in Item 303(a)(4)(ii) of Regulation S-K.</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6" w:name="page17"/>
    <w:bookmarkEnd w:id="1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disclosure of our exposure to market risk is set forth under the heading "Quantitative and Qualitative Disclosures about Market Risk" in our Annual Report on Form 10-K for the fiscal year ended December 31, 2016. There has been no material change in our exposure to market risk during the three months ended March 31, 2017.</w:t>
      </w:r>
    </w:p>
    <w:p>
      <w:pPr>
        <w:spacing w:after="0" w:line="1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2017,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March 31, 2017 that has materially affected, or is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previously reported legal proceedings refer to Part I, Item 3 of our Annual Report on Form 10-K for the year ended December 31, 2016. There have been no material changes from the legal proceedings previously disclosed in that Annual Report on Form 10-K.</w:t>
      </w:r>
    </w:p>
    <w:p>
      <w:pPr>
        <w:spacing w:after="0" w:line="1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Information regarding risk factors appears in Item 1A of our Annual Report on Form 10-K for the year ended December 31, 2016.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1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25, 2016, our Board of Directors approved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During the three months ended March 31, 2017, we purchased no shares of our common. As of March 31, 2017, $1,429,000 remains authorized for future repurchase under the Stock Repurchase Program. The following table summarizes the repurchase of our common stock in the three months ended March 31,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Approximate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of Shares</w:t>
            </w:r>
          </w:p>
        </w:tc>
        <w:tc>
          <w:tcPr>
            <w:tcW w:w="120" w:type="dxa"/>
            <w:vAlign w:val="bottom"/>
          </w:tcPr>
          <w:p>
            <w:pPr>
              <w:spacing w:after="0"/>
              <w:rPr>
                <w:sz w:val="17"/>
                <w:szCs w:val="17"/>
                <w:color w:val="auto"/>
              </w:rPr>
            </w:pPr>
          </w:p>
        </w:tc>
        <w:tc>
          <w:tcPr>
            <w:tcW w:w="12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Purchased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rPr>
              <w:t>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Part of Publicly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7"/>
              </w:rPr>
              <w:t>May Yet Be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Announced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9"/>
              </w:rPr>
              <w:t>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Total Number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9"/>
              </w:rPr>
              <w:t>Plans or</w:t>
            </w:r>
          </w:p>
        </w:tc>
        <w:tc>
          <w:tcPr>
            <w:tcW w:w="120" w:type="dxa"/>
            <w:vAlign w:val="bottom"/>
          </w:tcPr>
          <w:p>
            <w:pPr>
              <w:spacing w:after="0"/>
              <w:rPr>
                <w:sz w:val="17"/>
                <w:szCs w:val="17"/>
                <w:color w:val="auto"/>
              </w:rPr>
            </w:pPr>
          </w:p>
        </w:tc>
        <w:tc>
          <w:tcPr>
            <w:tcW w:w="12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under the Stock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Average Price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Programs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Repurchase</w:t>
            </w:r>
          </w:p>
        </w:tc>
        <w:tc>
          <w:tcPr>
            <w:tcW w:w="0" w:type="dxa"/>
            <w:vAlign w:val="bottom"/>
          </w:tcPr>
          <w:p>
            <w:pPr>
              <w:spacing w:after="0"/>
              <w:rPr>
                <w:sz w:val="1"/>
                <w:szCs w:val="1"/>
                <w:color w:val="auto"/>
              </w:rPr>
            </w:pPr>
          </w:p>
        </w:tc>
      </w:tr>
      <w:tr>
        <w:trPr>
          <w:trHeight w:val="22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8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Paid per Share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January 1, 2017 – January 31, 2017</w:t>
            </w:r>
          </w:p>
        </w:tc>
        <w:tc>
          <w:tcPr>
            <w:tcW w:w="18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1,429,000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February 1, 2017 – February 28, 2017</w:t>
            </w: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1,429,000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March 1, 2017 – March 31, 2017</w:t>
            </w:r>
          </w:p>
        </w:tc>
        <w:tc>
          <w:tcPr>
            <w:tcW w:w="18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1,429,000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right"/>
              <w:ind w:right="912"/>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17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7" w:name="page18"/>
    <w:bookmarkEnd w:id="1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500"/>
          </w:cols>
          <w:pgMar w:left="240" w:top="117" w:right="115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580" w:space="720"/>
            <w:col w:w="9200"/>
          </w:cols>
          <w:pgMar w:left="240" w:top="117" w:right="115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500"/>
          </w:cols>
          <w:pgMar w:left="240" w:top="117" w:right="115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ectPr>
          <w:pgSz w:w="11900" w:h="16838" w:orient="portrait"/>
          <w:cols w:equalWidth="0" w:num="2">
            <w:col w:w="540" w:space="660"/>
            <w:col w:w="9300"/>
          </w:cols>
          <w:pgMar w:left="240" w:top="117" w:right="11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234" w:lineRule="auto"/>
        <w:rPr>
          <w:sz w:val="20"/>
          <w:szCs w:val="20"/>
          <w:color w:val="auto"/>
        </w:rPr>
      </w:pPr>
      <w:r>
        <w:rPr>
          <w:rFonts w:ascii="Times New Roman" w:cs="Times New Roman" w:eastAsia="Times New Roman" w:hAnsi="Times New Roman"/>
          <w:sz w:val="18"/>
          <w:szCs w:val="18"/>
          <w:color w:val="auto"/>
        </w:rPr>
        <w:t>Exhibit 31.2</w:t>
      </w:r>
    </w:p>
    <w:p>
      <w:pPr>
        <w:spacing w:after="0" w:line="235" w:lineRule="auto"/>
        <w:rPr>
          <w:sz w:val="20"/>
          <w:szCs w:val="20"/>
          <w:color w:val="auto"/>
        </w:rPr>
      </w:pPr>
      <w:r>
        <w:rPr>
          <w:rFonts w:ascii="Times New Roman" w:cs="Times New Roman" w:eastAsia="Times New Roman" w:hAnsi="Times New Roman"/>
          <w:sz w:val="18"/>
          <w:szCs w:val="18"/>
          <w:color w:val="auto"/>
        </w:rPr>
        <w:t>Exhibit 32.1</w:t>
      </w:r>
    </w:p>
    <w:p>
      <w:pPr>
        <w:spacing w:after="0" w:line="235" w:lineRule="auto"/>
        <w:rPr>
          <w:sz w:val="20"/>
          <w:szCs w:val="20"/>
          <w:color w:val="auto"/>
        </w:rPr>
      </w:pPr>
      <w:r>
        <w:rPr>
          <w:rFonts w:ascii="Times New Roman" w:cs="Times New Roman" w:eastAsia="Times New Roman" w:hAnsi="Times New Roman"/>
          <w:sz w:val="18"/>
          <w:szCs w:val="18"/>
          <w:color w:val="auto"/>
        </w:rPr>
        <w:t>101.INS</w:t>
      </w:r>
    </w:p>
    <w:p>
      <w:pPr>
        <w:spacing w:after="0" w:line="235" w:lineRule="auto"/>
        <w:rPr>
          <w:sz w:val="20"/>
          <w:szCs w:val="20"/>
          <w:color w:val="auto"/>
        </w:rPr>
      </w:pPr>
      <w:r>
        <w:rPr>
          <w:rFonts w:ascii="Times New Roman" w:cs="Times New Roman" w:eastAsia="Times New Roman" w:hAnsi="Times New Roman"/>
          <w:sz w:val="18"/>
          <w:szCs w:val="18"/>
          <w:color w:val="auto"/>
        </w:rPr>
        <w:t>101.SCH</w:t>
      </w:r>
    </w:p>
    <w:p>
      <w:pPr>
        <w:spacing w:after="0" w:line="235" w:lineRule="auto"/>
        <w:rPr>
          <w:sz w:val="20"/>
          <w:szCs w:val="20"/>
          <w:color w:val="auto"/>
        </w:rPr>
      </w:pPr>
      <w:r>
        <w:rPr>
          <w:rFonts w:ascii="Times New Roman" w:cs="Times New Roman" w:eastAsia="Times New Roman" w:hAnsi="Times New Roman"/>
          <w:sz w:val="18"/>
          <w:szCs w:val="18"/>
          <w:color w:val="auto"/>
        </w:rPr>
        <w:t>101.CAL</w:t>
      </w:r>
    </w:p>
    <w:p>
      <w:pPr>
        <w:spacing w:after="0" w:line="235" w:lineRule="auto"/>
        <w:rPr>
          <w:sz w:val="20"/>
          <w:szCs w:val="20"/>
          <w:color w:val="auto"/>
        </w:rPr>
      </w:pPr>
      <w:r>
        <w:rPr>
          <w:rFonts w:ascii="Times New Roman" w:cs="Times New Roman" w:eastAsia="Times New Roman" w:hAnsi="Times New Roman"/>
          <w:sz w:val="18"/>
          <w:szCs w:val="18"/>
          <w:color w:val="auto"/>
        </w:rPr>
        <w:t>101.DEF</w:t>
      </w:r>
    </w:p>
    <w:p>
      <w:pPr>
        <w:spacing w:after="0" w:line="235" w:lineRule="auto"/>
        <w:rPr>
          <w:sz w:val="20"/>
          <w:szCs w:val="20"/>
          <w:color w:val="auto"/>
        </w:rPr>
      </w:pPr>
      <w:r>
        <w:rPr>
          <w:rFonts w:ascii="Times New Roman" w:cs="Times New Roman" w:eastAsia="Times New Roman" w:hAnsi="Times New Roman"/>
          <w:sz w:val="18"/>
          <w:szCs w:val="18"/>
          <w:color w:val="auto"/>
        </w:rPr>
        <w:t>101.LAB</w:t>
      </w: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Amendment to Lease by and between 2319 Hamden Center I, L.L.C. and TransAct dated January 3, 2017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p>
      <w:pPr>
        <w:spacing w:after="0" w:line="234" w:lineRule="auto"/>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p>
      <w:pPr>
        <w:spacing w:after="0" w:line="235"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235" w:lineRule="auto"/>
        <w:rPr>
          <w:sz w:val="20"/>
          <w:szCs w:val="20"/>
          <w:color w:val="auto"/>
        </w:rPr>
      </w:pPr>
      <w:r>
        <w:rPr>
          <w:rFonts w:ascii="Times New Roman" w:cs="Times New Roman" w:eastAsia="Times New Roman" w:hAnsi="Times New Roman"/>
          <w:sz w:val="18"/>
          <w:szCs w:val="18"/>
          <w:color w:val="auto"/>
        </w:rPr>
        <w:t>XBRL Instance Document.</w:t>
      </w:r>
    </w:p>
    <w:p>
      <w:pPr>
        <w:spacing w:after="0" w:line="235" w:lineRule="auto"/>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35" w:lineRule="auto"/>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35" w:lineRule="auto"/>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35" w:lineRule="auto"/>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178" w:lineRule="exact"/>
        <w:rPr>
          <w:sz w:val="20"/>
          <w:szCs w:val="20"/>
          <w:color w:val="auto"/>
        </w:rPr>
      </w:pPr>
    </w:p>
    <w:p>
      <w:pPr>
        <w:sectPr>
          <w:pgSz w:w="11900" w:h="16838" w:orient="portrait"/>
          <w:cols w:equalWidth="0" w:num="2">
            <w:col w:w="900" w:space="480"/>
            <w:col w:w="9120"/>
          </w:cols>
          <w:pgMar w:left="240" w:top="117"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 This exhibit which was previously filed with the Company's Annual Report on Form 10-K filed March 16, 2017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240" w:top="117" w:right="115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TRANSACT TECHNOLOGIES INCORPORATED</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38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May 10, 2017</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DeMartino</w:t>
            </w:r>
          </w:p>
        </w:tc>
        <w:tc>
          <w:tcPr>
            <w:tcW w:w="0" w:type="dxa"/>
            <w:vAlign w:val="bottom"/>
          </w:tcPr>
          <w:p>
            <w:pPr>
              <w:spacing w:after="0"/>
              <w:rPr>
                <w:sz w:val="1"/>
                <w:szCs w:val="1"/>
                <w:color w:val="auto"/>
              </w:rPr>
            </w:pPr>
          </w:p>
        </w:tc>
      </w:tr>
      <w:tr>
        <w:trPr>
          <w:trHeight w:val="184"/>
        </w:trPr>
        <w:tc>
          <w:tcPr>
            <w:tcW w:w="5720" w:type="dxa"/>
            <w:vAlign w:val="bottom"/>
            <w:vMerge w:val="continue"/>
          </w:tcPr>
          <w:p>
            <w:pPr>
              <w:spacing w:after="0"/>
              <w:rPr>
                <w:sz w:val="16"/>
                <w:szCs w:val="16"/>
                <w:color w:val="auto"/>
              </w:rPr>
            </w:pPr>
          </w:p>
        </w:tc>
        <w:tc>
          <w:tcPr>
            <w:tcW w:w="57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Steven A. DeMartino</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President, Chief Financial Officer, Treasurer and Secretary</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spacing w:after="0" w:line="196" w:lineRule="auto"/>
        <w:framePr w:w="8320" w:h="160" w:wrap="auto" w:vAnchor="page" w:hAnchor="page" w:x="1380" w:y="116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Amendment to Lease by and between 2319 Hamden Center I, L.L.C. and TransAct dated January 3, 2017 (1)</w:t>
      </w:r>
    </w:p>
    <w:p>
      <w:pPr>
        <w:ind w:left="5140"/>
        <w:spacing w:after="0"/>
        <w:rPr>
          <w:sz w:val="20"/>
          <w:szCs w:val="20"/>
          <w:color w:val="auto"/>
        </w:rPr>
      </w:pPr>
      <w:r>
        <w:rPr>
          <w:rFonts w:ascii="Times New Roman" w:cs="Times New Roman" w:eastAsia="Times New Roman" w:hAnsi="Times New Roman"/>
          <w:sz w:val="18"/>
          <w:szCs w:val="18"/>
          <w:color w:val="auto"/>
        </w:rPr>
        <w:t>EXHIBIT LIST</w:t>
      </w:r>
    </w:p>
    <w:p>
      <w:pPr>
        <w:spacing w:after="0" w:line="19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198" w:lineRule="exact"/>
        <w:rPr>
          <w:rFonts w:ascii="Times New Roman" w:cs="Times New Roman" w:eastAsia="Times New Roman" w:hAnsi="Times New Roman"/>
          <w:sz w:val="17"/>
          <w:szCs w:val="17"/>
          <w:color w:val="auto"/>
        </w:rPr>
      </w:pPr>
    </w:p>
    <w:p>
      <w:pPr>
        <w:ind w:right="9960"/>
        <w:spacing w:after="0" w:line="298" w:lineRule="auto"/>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261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110" cy="17145"/>
                    </a:xfrm>
                    <a:prstGeom prst="rect">
                      <a:avLst/>
                    </a:prstGeom>
                    <a:noFill/>
                  </pic:spPr>
                </pic:pic>
              </a:graphicData>
            </a:graphic>
          </wp:anchor>
        </w:drawing>
      </w:r>
    </w:p>
    <w:p>
      <w:pPr>
        <w:spacing w:after="0" w:line="101"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7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(1) This exhibit which was previously filed with the Company's Annual Report on Form 10-K filed March 16, 2017 is incorporated by reference.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9" w:lineRule="exact"/>
        <w:rPr>
          <w:rFonts w:ascii="Times New Roman" w:cs="Times New Roman" w:eastAsia="Times New Roman" w:hAnsi="Times New Roman"/>
          <w:sz w:val="17"/>
          <w:szCs w:val="17"/>
          <w:color w:val="auto"/>
        </w:rPr>
      </w:pPr>
    </w:p>
    <w:p>
      <w:pPr>
        <w:ind w:left="56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500"/>
          </w:cols>
          <w:pgMar w:left="240" w:top="121" w:right="1159" w:bottom="1440" w:gutter="0" w:footer="0" w:header="0"/>
        </w:sectPr>
      </w:pPr>
    </w:p>
    <w:bookmarkStart w:id="20" w:name="page21"/>
    <w:bookmarkEnd w:id="20"/>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 PURSUANT TO SECTION 302 OF THE</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TransAct Technologies Incorporated;</w:t>
      </w:r>
    </w:p>
    <w:p>
      <w:pPr>
        <w:spacing w:after="0" w:line="211"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3"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2017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340"/>
          </w:cols>
          <w:pgMar w:left="240" w:top="117" w:right="31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 PURSUANT TO SECTION 302 OF THE</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SARBANES-OXLEY ACT OF 2002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TransAct Technologies Incorporated;</w:t>
      </w:r>
    </w:p>
    <w:p>
      <w:pPr>
        <w:spacing w:after="0" w:line="211"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3"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531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Chief Financial Officer, Treasurer and Secretary</w:t>
      </w:r>
    </w:p>
    <w:p>
      <w:pPr>
        <w:sectPr>
          <w:pgSz w:w="11900" w:h="16838" w:orient="portrait"/>
          <w:cols w:equalWidth="0" w:num="1">
            <w:col w:w="11340"/>
          </w:cols>
          <w:pgMar w:left="240" w:top="117" w:right="319" w:bottom="1440" w:gutter="0" w:footer="0" w:header="0"/>
        </w:sectPr>
      </w:pPr>
    </w:p>
    <w:bookmarkStart w:id="22" w:name="page23"/>
    <w:bookmarkEnd w:id="2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139"/>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TransAct Technologies Incorporated (the "Company") on Form 10-Q for the period ending March 31, 2017,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63"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36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36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sectPr>
      <w:pgSz w:w="11900" w:h="16838" w:orient="portrait"/>
      <w:cols w:equalWidth="0" w:num="1">
        <w:col w:w="11300"/>
      </w:cols>
      <w:pgMar w:left="24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2019-12-29T06:19:25Z</dcterms:created>
  <dcterms:modified xsi:type="dcterms:W3CDTF">2019-12-29T06:19:25Z</dcterms:modified>
</cp:coreProperties>
</file>