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294005</wp:posOffset>
            </wp:positionV>
            <wp:extent cx="3120390"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039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99"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0-21121</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06-1456680</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960" w:space="720"/>
            <w:col w:w="2660" w:space="720"/>
            <w:col w:w="3180"/>
          </w:cols>
          <w:pgMar w:left="320" w:top="799" w:right="339" w:bottom="1440" w:gutter="0" w:footer="0" w:header="0"/>
          <w:type w:val="continuous"/>
        </w:sectPr>
      </w:pPr>
    </w:p>
    <w:p>
      <w:pPr>
        <w:spacing w:after="0" w:line="1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One Hamden Center</w:t>
      </w:r>
    </w:p>
    <w:p>
      <w:pPr>
        <w:spacing w:after="0" w:line="3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2319 Whitney Ave, Suite 3B, Hamden, CT</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06518</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9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859-6800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TACT</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of Form 8-K. Such information,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12, 2026, TransAct Technologies Incorporated (the “Company”) issued a press release announcing its financial results for the quarter ended March 31, 2026. A copy of the press release is attached to this report as Exhibit 99.1.</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CFO Retirement – Steven A. DeMartino to Retire Effective June 30, 2026; Separation Agreement; Advisory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8, 2026, the Company announced the retirement of Steven A. DeMartino, its President, Chief Financial Officer, Secretary and Treasurer, effective June 30, 2026 (the “Retirement Time”).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Mr. DeMartino’s retirement, he and the Company entered into a Separation Agreement and General Release (the “Separation Agreement”) and an Advisory Agreement (the “Advisory Agreement”) on May 7, 2026. Pursuant to the Separation Agreement, Mr. DeMartino will continue employment through the Retirement Time and will be entitled to receive (i) a pro-rated 2026 bonus of $101,989.50, payable in 2027 at such time as bonuses are paid to the Company’s executives, (ii) Company-paid COBRA premiums for up to 18 months following the earlier of the Retirement Time and Mr. DeMartino’s last day of employment with the Company, (iii) a $100,000 transition-related payment for additional, specified services rendered, and</w:t>
      </w:r>
    </w:p>
    <w:p>
      <w:pPr>
        <w:spacing w:after="0" w:line="3" w:lineRule="exact"/>
        <w:rPr>
          <w:sz w:val="20"/>
          <w:szCs w:val="20"/>
          <w:color w:val="auto"/>
        </w:rPr>
      </w:pPr>
    </w:p>
    <w:p>
      <w:pPr>
        <w:jc w:val="both"/>
        <w:ind w:firstLine="8"/>
        <w:spacing w:after="0" w:line="252"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41,747 performance share units. The Separation Agreement also provides for continued indemnification and D&amp;O insurance coverage, payment of accrued but unused vacation, and includes a general release of claims and other terms and conditions. The Advisory Agreement provides that from July 1, 2026 through December 31, 2026, Mr. DeMartino will provide financial consulting advisory services for up to 20 hours per month as an independent contractor in exchange for a monthly retainer of $33,996.50, subject to the terms and conditions of the Advisory Agreement. Except as provided in Section 8 of the Separation Agreement, the Separation Agreement reaffirms certain of Mr. DeMartino’s obligations under his employment agreement with the Company, dated September 4, 2024, including provisions related to exclusivity, confidentiality, and non-disparagement.</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and the Advisory Agreement is a summary and is qualified in its entirety by the text of the Separation Agreement and the Advisory Agreement, copies of which are filed as exhibits to this report.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DeMartino’s retirement is not the result of any disagreement with the Company on any matter relating to the Company’s operations, policies or practices,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CFO Succession – Robert Campbell to Succeed Mr. DeMartino as CFO Effective June 30, 2026</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7, 2026, the Board of Directors of the Company (the “Board”) appointed Robert Campbell to succeed Mr. DeMartino as Chief Financial Officer, Secretary and Treasurer of the Company, effective upon Mr. DeMartino’s June 30, 2026 retirement (the “Transition Time”). Mr. Campbell, 50, has more than 25 years of financial leadership experience across publicly traded and privately held global manufacturing organizations and has served as the Company’s Controller since June 2022. Prior to joining the Company, Mr. Campbell held senior finance leadership roles at Lydall, Inc., including Director of Global Treasury from 2017 to 2022 and Director of Corporate Accounting from 2013 to 2016, where he was responsible for global treasury operations, SEC reporting, financial consolidations, and capital structure management. Earlier in his career, Mr. Campbell was the Director of Finance and Accounting of Fischer Technology Inc. from 2010 to 2013 and held finance and accounting leadership positions with Axsys Technologies, Inc., Gerber Scientific, Inc., and other organizations. Mr. Campbell began his career in public accounting and holds a B.S. in Accounting from Central Connecticut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of President Title Effective June 30, 2026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7, 2026, the Board determined that John Dillon, the Company’s Chief Executive Officer, will assume the title of President of the Company at the Transition Time. Information regarding Mr. Dillon’s business experience is incorporated herein by reference to Mr. Dillon’s biography contained under the heading “Proposal 1: Election of Directors – Information Concerning Our Director Nominees” in the Company’s Definitive Proxy Statement for its 2026 Annual Meeting of Stockholders, which was filed with the Securities and Exchange Commission on April 13,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arrangement or understanding between Mr. Dillon and any other persons pursuant to which Mr. Dillon was selected as an officer within the meaning of Item 401(b) of Regulation S-K under the U.S. Securities Act of 1933, as amended (“Regulation S-K”), nor are there any family relationships between Mr. Dillon and any director, executive officer or person nominated or chosen by the Company to become a director or executive officer of the Company within the meaning of Item 401(d) of Regulation S-K. Since the beginning of the Company’s last fiscal year, the Company has not engaged in any transaction in which Mr. Dillon had a direct or indirect material interest within the meaning of Item 404(a) of Regulation 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 Transition Effective May 8, 2026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announced that William J. DeFrances, the Company’s Principal Accounting Officer, will retire effective June 30, 2026. As part of a planned succession ahead of Mr. DeFrances’ retirement, on May 7, 2026, the Board appointed Mr. Campbell to serve as Principal Accounting Officer of the Company, effective May 8,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DeFrances’ retirement is not the result of any disagreement with the Company on any matter relating to the Company’s operations, policies or practices,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CFO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Mr. Campbell’s service as the Company’s Chief Financial Officer, Secretary, and Treasurer, effective as of the Transition Time, Mr. Campbell’s compensation will consist of an annual base salary of $250,000 and an annual target bonus of $87,500. Upon assuming the role of Chief Financial Officer, Secretary and Treasurer, Mr. Campbell will receive a grant of 15,000 restricted stock units under the Company’s 2014 Equity Incentive Plan, which will vest in four equal annual installments, subject to his continued employment and other terms and conditions set forth in the 2014 Equity Incentive Plan. Mr. Campbell’s employment is at-will.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arrangement or understanding between Mr. Campbell and any other persons pursuant to which Mr. Campbell was selected as an officer within the meaning of Item 401(b) of Regulation S-K, nor are there any family relationships between Mr. Campbell and any director, executive officer or person nominated or chosen by the Company to become a director or executive officer of the Company within the meaning of Item 401(d) of Regulation S-K. Since the beginning of the Company’s last fiscal year, the Company has not engaged in any transaction in which Mr. Campbell had a direct or indirect material interest within the meaning of Item 404(a) of Regulation 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8, 2026, the Company issued a press release announcing Mr. DeMartino’s retirement, the transition of the Chief Financial Officer and Principal Accounting Officer roles to Mr. Campbell, and related matters. A copy of the press release is attached to this report as Exhibit 99.2.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12, 2026, the Company issued a press release announcing the Company authorized a share repurchase program (the “Repurchase Plan”) pursuant to which the Company may repurchase up to $3.0 million of its outstanding common stock over a 12-month period commencing on May 12, 2026 (the “Initial Purchase Date”). The Repurchase Plan provides that repurchases may be effected from time to time through open-market purchases, privately negotiated transactions or other means, subject to market conditions, applicable legal requirements and other relevant factors. Repurchases are expected to be conducted in accordance with the requirements of Rule 10b-18 under the Securities Exchange Act of 1934, as amended, including applicable volume, timing, price and broker-dealer limitations. A copy of the press release is attached to this report as 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 Important factors and uncertainties that could cause actual results to differ materially from those expressed or implied by the forward-looking statements include, but are not limited to, the following: the adverse effects of current economic conditions on our business, operations, financial condition, results of operations and capital resources; our ability to achieve the anticipated benefits of our acquisition of a licensed copy of the source code for the BOHA! software and risks to our reputation and business relating to the source code transition; our ability to successfully transition the BOHA! source code to our platform and systems and, until such transition is complete, our continued reliance on third parties to host and support our food service technology offerings; difficulties or delays in manufacturing or delivery of inventory or other supply chain disruptions; our dependence on a single contract manufacturer for the assembly of a large portion of our products in Asia; the imposition of additional duties, tariffs, quotas, taxes, trade barriers, capital flow restrictions and other charges on imports and exports by the United States or the governments of the countries in which we or our manufacturers and suppliers operate; the Russia/Ukraine and Middle East conflicts; inadequate manufacturing capacity or a shortfall or excess of inventory as a result of difficulty in predicting manufacturing requirements due to volatile economic conditions; price increases, decreased availability of third-party component parts or raw materials at reasonable prices, price wars or significant pricing pressures affecting the Company’s products in the United States or abroad; increased product costs or reduced customer demand for our products in the United States or abroad, including as a result of trade wars, tariffs or other trade actions; our ability to successfully develop new products that garner customer acceptance and generate sales, both domestically and internationally, in the face of substantial competition; any system outages, interruptions or other disruptions to our software applications, including as a result of unexpected errors or mistakes in connection with over-the-air updates; our ability to successfully grow our business in the food service technology market; renewal rates for our subscription-based products; risks associated with the pursuit of strategic initiatives and business growth; our dependence on significant suppliers; our ability to recruit and retain quality employees; our dependence on third parties for sales outside the United States; marketplace acceptance of new products; risks associated with foreign operations; political and policy uncertainties and any adverse economic impacts resulting from such uncertainties; our ability to protect intellectual property; exchange rate fluctuations; the availability of needed financing on acceptable terms or at all; volatility of, and decreases in, trading prices of our common stock; and other risk factors identified and discussed in the Company’s Annual Report on Form 10-K for the year ended December 31, 2025, and other reports filed with the Securities and Exchange Commission. We caution readers not to place undue reliance on forward-looking statements, which speak only as of the date of this release. We undertake no obligation to publicly or otherwise revise any forward-looking statements, whether as a result of new information, future events or other factors, except where we are expressly required to do so by applicable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738"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57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19685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right="1480"/>
        <w:spacing w:after="0" w:line="266" w:lineRule="auto"/>
        <w:rPr>
          <w:sz w:val="20"/>
          <w:szCs w:val="20"/>
          <w:color w:val="auto"/>
        </w:rPr>
      </w:pPr>
      <w:r>
        <w:rPr>
          <w:rFonts w:ascii="Times New Roman" w:cs="Times New Roman" w:eastAsia="Times New Roman" w:hAnsi="Times New Roman"/>
          <w:sz w:val="18"/>
          <w:szCs w:val="18"/>
          <w:u w:val="single" w:color="auto"/>
          <w:color w:val="0000EE"/>
        </w:rPr>
        <w:t>Separation Agreement and General Release, dated May 7, 2026, between the Company and Steven A. DeMartino Advisory Agreement, dated May 7, 2026, between the Company and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-144780</wp:posOffset>
            </wp:positionV>
            <wp:extent cx="61290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Press Release of TransAct Technologies Incorporated Announcing First Quarter 2026 Earnings, 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1290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0000EE"/>
        </w:rPr>
        <w:t>Press Release of TransAct Technologies Incorporated Announcing the Appointment of Robert Campbell as Chief Financial Officer, Secretary, and Treasurer and Related Matters, dated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1780"/>
        <w:spacing w:after="0" w:line="292" w:lineRule="auto"/>
        <w:rPr>
          <w:sz w:val="20"/>
          <w:szCs w:val="20"/>
          <w:color w:val="auto"/>
        </w:rPr>
      </w:pPr>
      <w:r>
        <w:rPr>
          <w:rFonts w:ascii="Times New Roman" w:cs="Times New Roman" w:eastAsia="Times New Roman" w:hAnsi="Times New Roman"/>
          <w:sz w:val="18"/>
          <w:szCs w:val="18"/>
          <w:u w:val="single" w:color="auto"/>
          <w:color w:val="0000EE"/>
        </w:rPr>
        <w:t xml:space="preserve">Press Release of TransAct Technologies Incorporated Announcing the Repurchase Plan, dated May 12, 2026, </w:t>
      </w:r>
      <w:r>
        <w:rPr>
          <w:rFonts w:ascii="Times New Roman" w:cs="Times New Roman" w:eastAsia="Times New Roman" w:hAnsi="Times New Roman"/>
          <w:sz w:val="18"/>
          <w:szCs w:val="18"/>
          <w:color w:val="000000"/>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61290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331470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920" w:space="660"/>
            <w:col w:w="9660"/>
          </w:cols>
          <w:pgMar w:left="320" w:top="738"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229"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John M.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John M. Dillon</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SEPARATION AGREEMENT AND GENERAL RELEASE</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Separation Agreement and General Release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confirms the following understandings and agreements between TransAct Technologies Incorporated, a Delaware corporation with a mailing address of One Hamden Center, 2319 Whitney Avenue, Suite 3B, Hamden, CT 06518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Steven A. DeMartino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(the Company and Executive are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2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RECITALS</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 </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mutual agreement, Executive’s employment with the Company, whether pursuant to the Executive Employment Agreement</w:t>
            </w:r>
          </w:p>
        </w:tc>
      </w:tr>
    </w:tbl>
    <w:p>
      <w:pPr>
        <w:jc w:val="both"/>
        <w:spacing w:after="0" w:line="253" w:lineRule="auto"/>
        <w:rPr>
          <w:sz w:val="20"/>
          <w:szCs w:val="20"/>
          <w:color w:val="auto"/>
        </w:rPr>
      </w:pPr>
      <w:r>
        <w:rPr>
          <w:rFonts w:ascii="Times New Roman" w:cs="Times New Roman" w:eastAsia="Times New Roman" w:hAnsi="Times New Roman"/>
          <w:sz w:val="18"/>
          <w:szCs w:val="18"/>
          <w:color w:val="auto"/>
        </w:rPr>
        <w:t>between the Company and Executive dated September 4, 2024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or otherwise, is ending. Provided that Executive signs this Agreement on or within 21 days of receiving it (the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does not revoke his execution, and complies with its terms, Executive’s employment with the Company will continue through and end on June 30, 2026, unless earlier terminated by Executive or by the Company for Cause (as defined in the Employment Agreement). Executive’s last day of employment with the Company, whether June 30, 2026, or earlier, will be referred to as the “</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From the date of this Agreement through the Separation Date (the “</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Executive agrees to continue to perform his duties and responsibilities in good faith, transition his duties, responsibilities and knowledge as directed by the Company, and perform other reasonable services as requested by the Company, including but not limited to onboarding a successor Chief Financial Officer. In addition, Executive agrees that during the Transition Period, Executive will devote his full skill and ability to promote the Company’s interests, work with other employees of the Company and its affiliates in a competent and professional manner and generally promote the interests of the Company. Executive will be paid at his regular annual salary rate of $407,958 through the Separation Date.</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On the Separation Date, Executive will be deemed to have resigned from any officer positions he may hold with the Company and any other positions or roles he may hold with respect to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Executive agrees to execute such other documents as the Company or the Board shall reasonably determine to be necessary to effectuate this paragraph.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Executive’s regular coverage under the Company’s group health plan will terminate on the last day of the Separation Date’s month. Thereafter, Executive will be provided an opportunity to continue health coverage for himself and qualifying dependents under the Company’s group health plan in accordance with the Consolidated Omnibus Budget Reconciliation Act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  Notwithstanding any other provision of this Agreement, Executive will retain any rights that Executive has to vested benefits under the Company’s 401(k) Plan, subject to the terms and conditions of such plan. In addition, except as set forth below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notwithstanding any other provision of this Agreement, the treatment of any outstanding options, restricted stock units and performance share units, whether vested or unvested, shall be subject to the terms and conditions of the applicable award and plan documents, including the Company’s Equity Incentive Plan, and Executive’s separation from the Company shall be deemed to be a termination without Cause with respect to such award and plan documents. For the avoidance of doubt, except as set forth below in Section 2, all unvested options, restricted stock units and performance share units will be forfeited as of the Separation Date.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Except as otherwise specifically set forth in this Agreement, after the Separation Date, Executive shall no longer be entitled to any further compensation or any monies from the Company or any of its affiliates or to receive any of the benefits made available to Executive during Executive’s employment at the Company. Executive acknowledges and agrees that the Company has paid to Executive all of his wages as of his execution (and re-execution as applicable) of this Agreement and that the Company owes Executive no wages, commissions, bonuses, vacation pay, employee benefits, or other compensation or payments of any kind or nature, other than as provided in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After the Separation Date, Executive will continue to be covered by the Company’s D&amp;O insurance policy within the terms of that policy, and the Company will continue to indemnify Executive with respect to all actions taken by Executive within the scope of Executive’s employment with the Company.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Notwithstanding any other provision of this Agreement, Executive will be paid a lump sum for any earned by unused vacation time as of the Separation Date, at Executive’s regular salary rate, less any applicable withholdings and deductions, consistent with the Company’s policy.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Provided Executive (i) signs and returns this Agreement to the Company by the Deadline and does not revoke his execution, (ii) complies with its terms, (iii) does not resign his employment and is not terminated for Cause on or before June 30, 2026, and (iv) re-executes this Agreement and does not revoke his execution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the Company agrees to the following:</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Company will pay the Executive $101,989.50, less applicable withholdings and deductions, which represents a pro-rated bonus for 2026 based on an annual bonus target of $203,979.00 (50% of annual base salary). Such payment will be paid to Executive in 2027, at the same time as 2026 bonuses are paid to Company executives, but in no event later than March 15, 2027. For the avoidance of doubt, this payment is in lieu of any bonus for which Executive may be eligible with respect to the Company’s bonus plan; and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If Executive timely elects to continue his group health insurance, including for his qualifying dependents, pursuant to COBRA, the Company will directly pay for such health insurance COBRA premiums for eighteen (18) months; provided, however, that the Company’s obligation under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shall cease on the date Executive becomes eligible for coverage under another employer’s group health plan. Executive agrees to notify the Company if he becomes eligible for another employer’s group health plan within 18 months following the Separation Date; and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7" w:name="page8"/>
    <w:bookmarkEnd w:id="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If during the Transition Period, Executive transitions to and collaborates with the Company’s accounting department to assist in beginning to simplify the preparation of the Vertical Market P&amp;L report (in substantially the same form as the one included on page 156 of the Board of Directors’ package for the February 25, 2026 meeting) on a quarterly basis, Executive will receive a payment in the amount of $100,000, less applicable withholdings and deductions. Such amount will be paid to Executive in the second payroll period following the Company’s receipt of Executive’s re-executed Agreement; and</w:t>
      </w:r>
    </w:p>
    <w:p>
      <w:pPr>
        <w:sectPr>
          <w:pgSz w:w="11900" w:h="16838" w:orient="portrait"/>
          <w:cols w:equalWidth="0" w:num="1">
            <w:col w:w="11240"/>
          </w:cols>
          <w:pgMar w:left="320" w:top="742" w:right="339" w:bottom="1440" w:gutter="0" w:footer="0" w:header="0"/>
        </w:sectPr>
      </w:pP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Executive will enter into the Advisory Agreement attached as Appendix 1; and</w:t>
      </w:r>
    </w:p>
    <w:p>
      <w:pPr>
        <w:spacing w:after="0" w:line="200" w:lineRule="exact"/>
        <w:rPr>
          <w:sz w:val="20"/>
          <w:szCs w:val="20"/>
          <w:color w:val="auto"/>
        </w:rPr>
      </w:pPr>
    </w:p>
    <w:p>
      <w:pPr>
        <w:sectPr>
          <w:pgSz w:w="11900" w:h="16838" w:orient="portrait"/>
          <w:cols w:equalWidth="0" w:num="2">
            <w:col w:w="1560" w:space="300"/>
            <w:col w:w="9380"/>
          </w:cols>
          <w:pgMar w:left="320" w:top="742" w:right="339" w:bottom="1440" w:gutter="0" w:footer="0" w:header="0"/>
          <w:type w:val="continuous"/>
        </w:sectPr>
      </w:pPr>
    </w:p>
    <w:p>
      <w:pPr>
        <w:spacing w:after="0" w:line="21"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18"/>
          <w:szCs w:val="18"/>
          <w:color w:val="auto"/>
        </w:rPr>
        <w:t>(e) </w:t>
      </w:r>
      <w:r>
        <w:rPr>
          <w:sz w:val="20"/>
          <w:szCs w:val="20"/>
          <w:color w:val="auto"/>
        </w:rPr>
        <w:tab/>
      </w:r>
      <w:r>
        <w:rPr>
          <w:rFonts w:ascii="Times New Roman" w:cs="Times New Roman" w:eastAsia="Times New Roman" w:hAnsi="Times New Roman"/>
          <w:sz w:val="18"/>
          <w:szCs w:val="18"/>
          <w:color w:val="auto"/>
        </w:rPr>
        <w:t>As of the execution of this Agreement, Executive has the following unvested Performance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(i) 20,873</w:t>
      </w:r>
    </w:p>
    <w:p>
      <w:pPr>
        <w:sectPr>
          <w:pgSz w:w="11900" w:h="16838" w:orient="portrait"/>
          <w:cols w:equalWidth="0" w:num="1">
            <w:col w:w="11240"/>
          </w:cols>
          <w:pgMar w:left="320" w:top="742" w:right="339" w:bottom="1440" w:gutter="0" w:footer="0" w:header="0"/>
          <w:type w:val="continuous"/>
        </w:sectPr>
      </w:pP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unvested PSUs pursuant to a May 1, 2025 grant; and (ii) an additional 20,874 unvested PSUs pursuant to a May 1, 2025 grant (collectively, the “</w:t>
      </w:r>
      <w:r>
        <w:rPr>
          <w:rFonts w:ascii="Times New Roman" w:cs="Times New Roman" w:eastAsia="Times New Roman" w:hAnsi="Times New Roman"/>
          <w:sz w:val="18"/>
          <w:szCs w:val="18"/>
          <w:u w:val="single" w:color="auto"/>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Subject to Board approval, not to be unreasonably withheld, the Unvested PSUs will vest on the Separation Date and will otherwise be subject to the terms and conditions of the applicable grant agreement(s) and 2014 equity incentive plan; and</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Subject to Board approval, not to be unreasonably withheld, all unexpired stock options granted to Executive and vested as of the Separation Date may be exercised by Executive until the earlier of their expiration date or three years following the Separation Date, after which time any such vested, unexercised stock options will expire.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Executive will be permitted to retain his Company-issued mobile phone and the telephone number associated with the mobile phone. The Company will work with Executive in good faith, on a timely basis, and using commercially reasonable measures in order to transfer the service for Executive’s mobile number to a mobile carrier of Executive’s choice, and Executive agrees to pay for all expenses related to such plan beginning on the day following the Separation Date.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The Company shall prepare, pay for, and file (after Executive’s review and approval) any SEC filings required to be filed by Executive as a result of his equity holdings in the Company, including without limitation any Form 4 or 13G filings, for up to one year following the re-execution date of this Agreement.</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(i)  The Company and Executive will collaborate in good faith concerning any press release and SEC filing concerning the execution of this Agreement and/or Executive’s separation. The Company will not release any press release nor file any filing without the consent of Executive, which shall not be unreasonably withheld.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 </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used in</w:t>
            </w:r>
          </w:p>
        </w:tc>
        <w:tc>
          <w:tcPr>
            <w:tcW w:w="8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this Agreement, the term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shall include all claims, covenants, warranties, promises, undertakings, actions,</w:t>
            </w:r>
          </w:p>
        </w:tc>
      </w:tr>
      <w:tr>
        <w:trPr>
          <w:trHeight w:val="216"/>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suits, causes of action, obligations,</w:t>
            </w:r>
          </w:p>
        </w:tc>
        <w:tc>
          <w:tcPr>
            <w:tcW w:w="8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debts, attorneys' fees, accounts, judgments, losses and liabilities, of whatsoever kind or nature, in law, equity or</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otherwise.</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60" w:type="dxa"/>
            <w:vAlign w:val="bottom"/>
          </w:tcPr>
          <w:p>
            <w:pPr>
              <w:spacing w:after="0"/>
              <w:rPr>
                <w:sz w:val="20"/>
                <w:szCs w:val="20"/>
                <w:color w:val="auto"/>
              </w:rPr>
            </w:pPr>
          </w:p>
        </w:tc>
      </w:tr>
      <w:tr>
        <w:trPr>
          <w:trHeight w:val="574"/>
        </w:trPr>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742" w:right="339" w:bottom="1440" w:gutter="0" w:footer="0" w:header="0"/>
          <w:type w:val="continuous"/>
        </w:sectPr>
      </w:pPr>
    </w:p>
    <w:bookmarkStart w:id="8" w:name="page9"/>
    <w:bookmarkEnd w:id="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For and in consideration of the payments and benefits set forth above, and other good and valuable consideration, Executive, for and on behalf of himself and his heirs, administrators, executors, and assigns, effective the Effective Date, does fully and forever release, remise and discharge the Company and its direct and indirect parents, subsidiaries and affiliates, together with their respective officers, directors, partners, shareholders, employees and agents (collectively,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from any and all claims that Executive had, may have had, or now have against the Company or any other member of the Group, for or by reason of any matter, cause or thing whatsoever, including any Claim arising out of or attributable to Executive’s employment or the termination of Executive’s employment with the Company, including but not limited to Claims of breach of contract, wrongful termination, unjust dismissal, defamation, libel or slander, or under any federal, state or local law regarding discrimination based on age, race, sex, national origin, religion, disability, sexual orientation or any other protected category. This release of Claims includes, but is not limited to, all Claims arising under the Age Discrimination in Employment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Title VII of the Civil Rights Act, the Fair Labor Standards Act, the Americans with Disabilities Act, the Civil Rights Act of 1991, the Family Medical Leave Act, the Equal Pay Act, the Employee Retirement Income Security Act, the Securities Exchange Act of 1934, the Sarbanes-Oxley Act, the Connecticut Family and Medical Leave Act, the Connecticut Fair Employment Practices Act, the Connecticut Whistleblower Law, the Connecticut Free Speech Law, the Connecticut Minimum Wage and Wage Payment laws, all other federal, state and local labor, anti-discrimination and other laws and regulations and the common law. Notwithstanding the foregoing, the release in this Agreement does not extend to those rights that cannot be waived as a matter of law nor does it extend to Executive’s vested rights under any Company benefit plan.</w:t>
      </w:r>
    </w:p>
    <w:p>
      <w:pPr>
        <w:spacing w:after="0" w:line="19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(c)  Executive specifically releases all claims against the Group under the Age Discrimination in Employment Act (the “</w:t>
      </w:r>
      <w:r>
        <w:rPr>
          <w:rFonts w:ascii="Times New Roman" w:cs="Times New Roman" w:eastAsia="Times New Roman" w:hAnsi="Times New Roman"/>
          <w:sz w:val="18"/>
          <w:szCs w:val="18"/>
          <w:b w:val="1"/>
          <w:bCs w:val="1"/>
          <w:color w:val="auto"/>
        </w:rPr>
        <w:t>ADEA</w:t>
      </w:r>
      <w:r>
        <w:rPr>
          <w:rFonts w:ascii="Times New Roman" w:cs="Times New Roman" w:eastAsia="Times New Roman" w:hAnsi="Times New Roman"/>
          <w:sz w:val="18"/>
          <w:szCs w:val="18"/>
          <w:color w:val="auto"/>
        </w:rPr>
        <w:t>”) relating to Executive’s employment with the Company through his execution (and re-execution, as applicable) of this Agreement and its termination.</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Executive represents that he has not filed or permitted to be filed against the Group, individually or collectively, any charges, complaints or lawsuits, and Executive covenants and agrees that Executive will not file or permit to be filed any lawsuits at any time hereafter with respect to the Claims released pursuant to this Agreement (including, without limitation, any Claims relating to the termination of Executive’s employment), except to challenge the validity of the release of Executive’s rights under the ADEA. Nothing in this Agreement shall be construed to prohibit Executive from filing a charge with or participating in any investigation or proceeding conducted by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Equal Employment Opportunity Commission (“</w:t>
      </w:r>
      <w:r>
        <w:rPr>
          <w:rFonts w:ascii="Times New Roman" w:cs="Times New Roman" w:eastAsia="Times New Roman" w:hAnsi="Times New Roman"/>
          <w:sz w:val="18"/>
          <w:szCs w:val="18"/>
          <w:b w:val="1"/>
          <w:bCs w:val="1"/>
          <w:color w:val="auto"/>
        </w:rPr>
        <w:t>EEOC</w:t>
      </w:r>
      <w:r>
        <w:rPr>
          <w:rFonts w:ascii="Times New Roman" w:cs="Times New Roman" w:eastAsia="Times New Roman" w:hAnsi="Times New Roman"/>
          <w:sz w:val="18"/>
          <w:szCs w:val="18"/>
          <w:color w:val="auto"/>
        </w:rPr>
        <w:t>”) or any other government agency. Notwithstanding the foregoing, Executive agrees to waive his right to recover monetary damages in any charge, complaint, or lawsuit filed by Executive or by anyone else on Executive’s behalf based on Claims released in this Agreement; provided, however, that this Agreement does not limit Executive’s ability to obtain financial awards in connection with providing information to government agencies. Except as otherwise provided in this paragraph, Executive will not voluntarily participate in any judicial proceeding of any nature or description against any member of the Group that in any way involves the allegations and facts that Executive could have raised against any member of the Group.</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  Executive is specifically agreeing to the terms of this release because the Company has agreed to pay Executive money to which Executive was not otherwise entitled and has provided such other good and valuable consideration as specified herein. The Company has agreed to provide this money because of Executive’s agreement to accept it in full settlement of all possible claims Executive might have or ever had against any of the Group, as of his execution of this Agreement (and re-execution, as applicable), and because of Executive’s execution of this Agreement.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On the Separation Date, or earlier upon Company request, Executive agrees to delete, destroy or return to the Company all Company property, including without limitation, mailing lists, reports, files, memoranda, records, computer hardware and software, phones (excluding Executive’s mobile phone), credit cards, door and file keys, computer passwords, and other property that Executive received or prepared or helped prepare in connection with Executive’s employment with the Company, and that Executive will not retain any copies, duplicates, reproductions or excerpts thereof. The Company agrees to work with Executive to return any of Executive’s personal data that is stored on Company hardware.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  Subject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 this Agreement does not amend, modify, waive or affect in any way the Company’s rights or Executive’s duties, obligations or restrictions under Sections 3 (including Exhibit A), 8, 9, 10, 11 (as modified by 12 and 13), 14, 15, and 22 of the Employment Agreement (the “</w:t>
      </w:r>
      <w:r>
        <w:rPr>
          <w:rFonts w:ascii="Times New Roman" w:cs="Times New Roman" w:eastAsia="Times New Roman" w:hAnsi="Times New Roman"/>
          <w:sz w:val="18"/>
          <w:szCs w:val="18"/>
          <w:b w:val="1"/>
          <w:bCs w:val="1"/>
          <w:color w:val="auto"/>
        </w:rPr>
        <w:t>Continuing Obligations</w:t>
      </w:r>
      <w:r>
        <w:rPr>
          <w:rFonts w:ascii="Times New Roman" w:cs="Times New Roman" w:eastAsia="Times New Roman" w:hAnsi="Times New Roman"/>
          <w:sz w:val="18"/>
          <w:szCs w:val="18"/>
          <w:color w:val="auto"/>
        </w:rPr>
        <w:t>”). In further consideration of this Agreement, such sections of the Employment Agreement are hereby incorporated by reference and Executive reaffirms his continuing obligation to abide by the Continuing Obligations.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  Subject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 Executive agrees that he will not encourage or cooperate or otherwise participate or confer with any current or former employee of the Company or any other member of the Group, individually or collectively, or any potential plaintiff, to commence any legal action or make any claim against the Company or any other member of the Group with respect to such person’s employment with the Company or its affiliates. Executive will reasonably cooperate with the Company and its counsel in connection with any investigation, administrative proceeding or litigation relating to any matter in which Executive was involved or of which Executive has knowledge as a result of Executive’s employment with the Company. The Company agrees to reimburse Executive for any reasonable costs incurred by Executive related to such cooperation.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  Notwithstanding anything to the contrary, nothing in this Agreement or the Continuing Obligations shall prohibit Executive from making truthful statements or disclosures (i) to the SEC, the EEOC, a state division of human rights, a local commission on human rights, any other government or regulatory agency, law enforcement, an attorney retained by Executive, or a court of competent jurisdiction, (ii) as required by subpoena or other lawful process, (iii) as may be necessary for the prosecution of claims relating to the performance or enforcement of this Agreement, or (iv) as otherwise required or protected by applicable law. In addition, for the avoidance of doubt, nothing in this Agreement shall have the purpose or effect of requiring Executive to conceal details relating to a claim of discrimination, retaliation or harassment. Notwithstanding any restrictions set forth in this Agreement, Executive understands that Executive is not required to obtain authorization from the Company prior to disclosing information to, or communicating with, a government agency, nor is Executive obligated to advise the Company as to any such disclosures or communications. In making any such disclosures or communications, however, Executive agrees to take all reasonable precautions to prevent any unauthorized use or disclosure of any information that may constitute Company confidential information to any parties other than the relevant government agencies. Employee further understands that disclosures permitted by this paragraph do not include the disclosure of any Company attorney-client privileged communications, and that any such disclosure without the Company’s written consent shall constitute a material breach of this Agreement.</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  The Company shall be entitled to have the provisions of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of this Agreement specifically enforced through injunctive relief, without having to prove the adequacy of the available remedies at law, and without being required to post bond or security, it being acknowledged and agreed that such breach will cause irreparable injury to the Company and that money damages will not provide an adequate remedy to the Company. In the event of any dispute concerning an alleged breach of this Agreement, the prevailing party shall be entitled to recover its actual damages, attorney’s fees, and costs from the non-prevailing party.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  Executive acknowledges that Executive has read this Agreement in its entirety, fully understands its meaning and is executing this Agreement voluntarily and of Executive’s own free will with full knowledge of its significance. Executive acknowledges and warrants that he has had the opportunity to consider for twenty-one (21) days the terms and provisions of this Agreement and that Executive has been advised by the Company to consult with an attorney prior to executing this Agreement. Executive agrees that any changes to the Agreement from the time it was offered to Executive, whether material or immaterial, do not restart the running of the 21-day period. Executive may execute this Agreement prior to the conclusion of the 21-day period, and if he elects to do so, Executive acknowledge that he has done so voluntarily.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  Executive shall have the right to revoke this Agreement for a period of seven (7) days following his execution of this Agreement, by giving written notice of such revocation to the Chairperson of the Compensation Committee of the Board. This Agreement shall not become effective until the eighth day following the Company’s receipt of Executive’s executed Agreement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If Executive does not execute this Agreement as set forth above, or if Executive revokes it in accordance with this paragraph, this Agreement (including any obligations of the Company to provide the consideration referred to above) shall be deemed null and void.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In order to be entitled to the payments and benefits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Executive must re-execute this Agreement on or within twenty-one (21) days after the Separation Date. Executive will have the opportunity to consider for 21 days following the Separation Date whether to re-execute this Agreement and will have the right to revoke his re-execution for a period of seven (7) days following his re-execution of this Agreement. If this Agreement is not re-executed in accordance with this paragraph, or Executive revokes his re-execution, the Company shall have no further obligations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This in no way affects Executive’s prior release of claims under this Agreement. By Executive’s re-execution of this Agreement, Executive’s acknowledgments and agreements in </w:t>
      </w:r>
      <w:r>
        <w:rPr>
          <w:rFonts w:ascii="Times New Roman" w:cs="Times New Roman" w:eastAsia="Times New Roman" w:hAnsi="Times New Roman"/>
          <w:sz w:val="18"/>
          <w:szCs w:val="18"/>
          <w:u w:val="single" w:color="auto"/>
          <w:color w:val="auto"/>
        </w:rPr>
        <w:t>Sections 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shall be deemed to cover any claims that Executive has, may have had, or thereafter may have existing or occurring at any time on or before the date that Executive re-executes this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In the event that any one or more of the provisions of this Agreement is held to be invalid, illegal or unenforceable, the validity, legality and enforceability of the remaining provisions will not in any way be affected or impaired thereby. Moreover, if any one or more of the provisions contained in this Agreement is held to be excessively broad as to duration, scope, activity or subject, such provisions will be construed by limiting and reducing them so as to be enforceable to the maximum extent compatible with applicable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Nothing herein shall be deemed to constitute an admission of wrongdoing by the Company or any other member of the Group. Neither this Agreement nor any of its terms shall be used as an admission or introduced as evidence as to any issue of law or fact in any proceeding, suit or action, other than an action to enforce this Agreement.</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1" w:name="page12"/>
    <w:bookmarkEnd w:id="11"/>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15.  This Agreement may be executed in counterparts, each of which shall be deemed an original, but all of which together shall constitute one and the same instrument. Photographic and electronic copies of such signed counterparts may be used in lieu of the originals of this Agreement for any purpose.</w:t>
      </w:r>
    </w:p>
    <w:p>
      <w:pPr>
        <w:spacing w:after="0" w:line="3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16.  The terms of this Agreement and all rights and obligations of the Parties, including its enforcement, shall be interpreted and governed by the laws of the State of Connecticut. Any dispute arising from or related to this Agreement or the interpretation or operation of this Agreement shall be resolved solely in state or federal courts located in the State of Connecticut. The Parties hereby consent to, elect, and waive any objection to the laying of jurisdiction and venue in such courts in the event of litigation under or relating to this Agreement. The Parties further waive their rights to a jury trial and understand any dispute will be tried by a judge.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17.  Except as set forth above, the terms contained in this Agreement constitute the entire agreement between the Parties with respect to the subject matter hereof and supersede all prior negotiations, representations or agreements relating thereto whether written or oral, with the exception of any agreements concerning confidentiality, trade secrets, nonsolicitation, nonservicing, noncompetition or other post-employment restrictions, all of which agreements shall remain in full force and effect, and are hereby confirmed and ratified. Executive represents that in executing this Agreement, he has not relied upon any representation or statement not set forth herein. No amendment or modification of this Agreement shall be valid or binding upon the Parties unless in writing and signed by both Parties.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signature page to follow ***</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 Technologies Incorporated</w:t>
      </w:r>
    </w:p>
    <w:p>
      <w:pPr>
        <w:sectPr>
          <w:pgSz w:w="11900" w:h="16838" w:orient="portrait"/>
          <w:cols w:equalWidth="0" w:num="1">
            <w:col w:w="10139"/>
          </w:cols>
          <w:pgMar w:left="320" w:top="742"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M.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431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431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431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431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140"/>
            <w:col w:w="9119"/>
          </w:cols>
          <w:pgMar w:left="320" w:top="742" w:right="1440" w:bottom="1440" w:gutter="0" w:footer="0" w:header="0"/>
          <w:type w:val="continuous"/>
        </w:sectPr>
      </w:pPr>
    </w:p>
    <w:p>
      <w:pPr>
        <w:spacing w:after="0" w:line="250"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Signed:</w:t>
            </w: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A. DeMartino</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A. DeMartino</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3, 2026</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RE-EXECUTED BY:</w:t>
      </w:r>
    </w:p>
    <w:p>
      <w:pPr>
        <w:spacing w:after="0" w:line="200" w:lineRule="exact"/>
        <w:rPr>
          <w:sz w:val="20"/>
          <w:szCs w:val="20"/>
          <w:color w:val="auto"/>
        </w:rPr>
      </w:pPr>
    </w:p>
    <w:p>
      <w:pPr>
        <w:spacing w:after="0" w:line="266" w:lineRule="exact"/>
        <w:rPr>
          <w:sz w:val="20"/>
          <w:szCs w:val="20"/>
          <w:color w:val="auto"/>
        </w:rPr>
      </w:pPr>
    </w:p>
    <w:p>
      <w:pPr>
        <w:ind w:left="4500"/>
        <w:spacing w:after="0"/>
        <w:tabs>
          <w:tab w:leader="none" w:pos="6240" w:val="left"/>
        </w:tabs>
        <w:rPr>
          <w:sz w:val="20"/>
          <w:szCs w:val="20"/>
          <w:color w:val="auto"/>
        </w:rPr>
      </w:pPr>
      <w:r>
        <w:rPr>
          <w:rFonts w:ascii="Times New Roman" w:cs="Times New Roman" w:eastAsia="Times New Roman" w:hAnsi="Times New Roman"/>
          <w:sz w:val="18"/>
          <w:szCs w:val="18"/>
          <w:color w:val="auto"/>
        </w:rPr>
        <w:t>Steven A. DeMartino</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20745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Appendix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ADVISORY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Advisory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by and between TransAct Technologies Incorporated, a Delaware corporation with a mailing address of One Hamden Center, 2319 Whitney Avenue, Suite 3B, Hamden, CT 06518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Steven A. DeMartino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“Contractor” or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will be effective as of July 1, 2026, and will continue until December 31, 2026, unless terminated by you or terminated by the Company for Cause as defined in your Employment Agreement..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  (a)  During the Term, the Company will engage you to provide financial consulting advisory services, of up to 20 hours per month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For the avoidance of doubt, Services will consist solely of answering questions from Company personnel and providing financial advice and guidance. The Company further acknowledges that Contractor will act in an advisory role only and, as such, will not perform, prepare, be a signatory to, or have any responsibility for SEC reporting, financial statements, forecasts and projections of any type, financial analysis, Information Technology projects, 401K or benefit plan administration, investor communication or presentations, insurance policy applications, Board of Director or Committee materials, or any similar items.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You will have the right to establish the days and hours for your work, provided that you will make yourself available from time to time as reasonably required, including virtual attendance at meetings to be scheduled at the parties’ mutual convenience. You will furnish the necessary tools, equipment, materials and the like to fulfill your assignments under this Agreement, and you will be responsible for all costs associated with your employees, if 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(a)  The Company will pay you $33,996.50 per month for the Services as a non-refundable retainer (pro-rated for any partial months in the Term). You will submit an invoice to the Company on or before the 3rd of each month for all services rendered for the prior month, with details of the Services performed. The Company will pay your undisputed invoices within 30 days of its receipt.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You will generally be responsible for your own expenses and out-of-pocket expenses directly incurred in performing the Services will only be reimbursed if pre-approved by the Company in writing.</w:t>
      </w:r>
    </w:p>
    <w:p>
      <w:pPr>
        <w:spacing w:after="0" w:line="162" w:lineRule="exact"/>
        <w:rPr>
          <w:sz w:val="20"/>
          <w:szCs w:val="20"/>
          <w:color w:val="auto"/>
        </w:rPr>
      </w:pPr>
    </w:p>
    <w:p>
      <w:pPr>
        <w:ind w:left="660"/>
        <w:spacing w:after="0"/>
        <w:tabs>
          <w:tab w:leader="none" w:pos="1280" w:val="left"/>
          <w:tab w:leader="none" w:pos="1820" w:val="left"/>
        </w:tabs>
        <w:rPr>
          <w:sz w:val="20"/>
          <w:szCs w:val="20"/>
          <w:color w:val="auto"/>
        </w:rPr>
      </w:pPr>
      <w:r>
        <w:rPr>
          <w:rFonts w:ascii="Times New Roman" w:cs="Times New Roman" w:eastAsia="Times New Roman" w:hAnsi="Times New Roman"/>
          <w:sz w:val="18"/>
          <w:szCs w:val="18"/>
          <w:color w:val="auto"/>
        </w:rPr>
        <w:t>4. </w:t>
      </w:r>
      <w:r>
        <w:rPr>
          <w:sz w:val="20"/>
          <w:szCs w:val="20"/>
          <w:color w:val="auto"/>
        </w:rPr>
        <w:tab/>
      </w: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Your engagement hereunder is as an independent contractor and will not constitute you , or any of your employees or agents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Contractor Personnel</w:t>
      </w:r>
      <w:r>
        <w:rPr>
          <w:rFonts w:ascii="Times New Roman" w:cs="Times New Roman" w:eastAsia="Times New Roman" w:hAnsi="Times New Roman"/>
          <w:sz w:val="18"/>
          <w:szCs w:val="18"/>
          <w:color w:val="auto"/>
        </w:rPr>
        <w:t>”), as employees of the Company for any purpose whatsoever. You agree that neither you nor they will be entitled to participate in or to receive the benefit of any employee plans or programs, including insurance, of the Company, except as otherwise provided in the Separation Agreement.</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You represent and warrant that you will be solely responsible for the withholding and payment of all federal, state and local income taxes, Social Security taxes, unemployment taxes, disability insurance or similar items associated with the fees you receive hereunder, and that you will hold the Company harmless against any liability or costs incurred by you, or any of the Contractor Personnel, with respect to such taxes. The Company will provide you with notice and a reasonable opportunity to cure before incurring any costs or paying any taxes or penalties for which it may seek indemnification.</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4" w:name="page15"/>
    <w:bookmarkEnd w:id="1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You represent and warrant that the Contractor Personnel and you will not act in any manner to discriminate against any employee of the Company because of the employee’s race, color, age, sex, national origin, ancestry, religion, sexual orientation, disability, or any other characteristic protected by applicable law.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You represent and warrant that the Services performed hereunder will not violate the rights, including, without limitation, the intellectual property rights, of any third parties, or any applicable federal, state or local laws, rules or regulations.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You shall indemnify and hold harmless the Company from and against any and all costs (including reasonable attorneys' fees incurred in defense) or liabilities (including payroll taxes, penalties or interest) arising out of (i) any breach of this Agreement by you (including but not limited to any breach of the above representations and warranties), (ii) your gross negligence or intentional misconduct, or (iii) any assertion that any of the Contractor Personnel or you are not an independent contractor with respect to the Company. The Company will provide you with notice and a reasonable opportunity to cure before incurring any costs or paying any taxes or penalties for which it may seek indemnification.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You agree that the Contractor Personnel and you will not, at any time (whether during the Term or after termination of this Agreement), disclose any confidential information or trade secrets of the Company, or any client of the Company, or utilize such confidential information or trade secret for their own benefit, or for the benefit of third parties. You agree that the Contractor Personnel and you will not use the name, marks or indicia of the Company or any of its clients for any purpose without the prior written consent of the applicable party in each instance. Your obligations under this paragraph shall survive the termination of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  (a)  The parties agree that your engagement hereunder will not restrict you or any of the Contractor Personnel from contemporaneously rendering your or their services to other businesses, as long as such other services do not create a conflict of interest with your or their work for the Company.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You further agree that during the Term and for the one-year period thereafter, the Contractor Personnel and you shall not, directly or indirectly, employ as an employee or retain as a consultant any person who is then or at any time during the preceding twelve months was an employee of or exclusive consultant to the Company, or persuade or attempt to persuade any employee of or exclusive consultant to the Company to leave the employ of the Company or to become employed as an employee or retained as a consultant by anyone other than the Company.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  On or before the end of the Term, or anytime upon the request of the Company, you agree to return, delete or destroy all memoranda, notes, records, files, other documents and property of any kind compiled by you or the Contractor Personnel or made available to you or the Contractor Personnel during the Term concerning the business of, or belonging to, the Company and/or any client of the Company.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8.  All rights, title and interest in and to all work and materials of any kind conceived or produced or otherwise provided for the Company or its clients by you (including, without limitation, all copyrights, patents, trademarks and other intellectual property rights therein) shall belong to the Company, and you agree that all such work and materials will be works made for hire exclusively for the Company or its clients under and as that term is defined in the copyright laws of the United States. In the event that any such work shall not be deemed a work made for hire under said copyright laws, and/or as otherwise necessary to ensure the Company’s complete ownership of all right, title and interest in all work or materials provided hereunder, you hereby assigns to the Company all rights, title and interest in such work and agree to execute whatever assignment of copyright or other rights and ancillary and confirmatory documents as may be required or appropriate to transfer exclusive title, ownership and rights therein to the Company. You agree that the Company will have the exclusive right to use and exploit such work and materials, free from any claims by you or other parties for compensation other than as expressly provided in Section 3, above. You agree that you will not challenge, through the courts, administrative governmental bodies, private organizations, or otherwise, the rights granted to the Company under this Agreement. The Company is and will remain the sole and exclusive owner of all intellectual property supplied by the Company to you in connection with this Agreement, or any intellectual property produced, derived or resulting from such property, in whatever stage of completion. Should you retain any Contractor Personnel to perform services or provide materials hereunder, you will secure “work for hire” agreements with each such individual or entity, providing for the Company’s ownership of all results and proceeds of their services, consistent with the terms of this Agreement.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  This Agreement does not grant the Contractor Personnel or you any right or authority to, and you shall not, make any statements, representations, or commitments on behalf of the Company unless specifically authorized to do so in writing.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  The Company may assign its rights and delegate its duties under this Agreement to an affiliated company, except the Company shall remain responsible for paying you for the Services as described above. You shall not assign any of your rights under this Agreement or delegate the performance of any of your duties hereunder, without the prior written consent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  If any provision of this Agreement, or any part thereof, is found to be invalid or unenforceable, the same shall not affect the remaining provisions, which shall be given full effect, without regard to the invalid portions. Moreover, if any one or more of the provisions contained in this Agreement shall be held to be excessively broad as to duration, scope, activity or subject, such provisions shall be construed by limiting and reducing them so as to be enforceable to the maximum extent with applicable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  You acknowledge that any breach of your obligations hereunder would cause the Company irreparable injury. In the event of any breach by you, the Company shall be entitled to equitable relief. Your sole remedy under this Agreement shall be an action at law for direct damages; you shall not be entitled to equitable relief or to any incidental, consequential, special, exemplary, punitive damages or any loss of profits, whether based on contract, tort, or otherwise, regardless of whether the Company has been informed of the possibility of such damages.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13.  The terms of this Agreement and all rights and obligations of the parties, including its enforcement, shall be interpreted and governed by the laws of the State of Connecticut. Any dispute arising from or related to this Agreement or the interpretation or operation of this Agreement shall be resolved solely in state or federal courts located in the State of Connecticut. The Company and you hereby consent to, elect, and waive any objection to the laying of jurisdiction and venue in such courts in the event of litigation under or relating to this Agreement. The Company and you further waive their rights to a jury trial and understand any dispute will be tried by a judge.</w:t>
      </w:r>
    </w:p>
    <w:p>
      <w:pPr>
        <w:spacing w:after="0" w:line="18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14.  This Agreement may be executed in counterparts, each of which shall be deemed an original, but all of which together shall constitute one and the same instrument. Electronic, PDF and fax copies of such signed counterparts may be used in lieu of the originals of this Agreement for any purpose.</w:t>
      </w:r>
    </w:p>
    <w:p>
      <w:pPr>
        <w:spacing w:after="0" w:line="3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15.  The respective rights and obligations of the parties hereunder shall survive the termination of the Term to the extent necessary to the intended preservation of such rights and obligations.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16.  The terms contained in this Agreement constitute the entire agreement between the parties with respect to the subject matter hereof and supersede all prior negotiations, representations or agreements relating thereto whether written or oral; provided, however, that for the avoidance of doubt, this Agreement does not amend or supersede the Separation Agreement and General Release by and between the Company and you. You represent that in executing this Agreement, you have not relied upon any representation or statement not set forth herein. No amendment or modification of this Agreement shall be valid or binding upon the parties unless in writing and signed by both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signature page to follow ***</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1431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1431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1431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1431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1431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1431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1431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ADVISORY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Advisory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by and between TransAct Technologies Incorporated, a Delaware corporation with a mailing address of One Hamden Center, 2319 Whitney Avenue, Suite 3B, Hamden, CT 06518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Steven A. DeMartino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“Contractor” or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656"/>
        <w:spacing w:after="0" w:line="286" w:lineRule="auto"/>
        <w:tabs>
          <w:tab w:leader="none" w:pos="11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will be effective as of July 1, 2026, and will continue until December 31, 2026, unless terminated by you or terminated by the Company for Cause as defined in your Employment Agreement..</w:t>
      </w:r>
    </w:p>
    <w:p>
      <w:pPr>
        <w:spacing w:after="0" w:line="158" w:lineRule="exact"/>
        <w:rPr>
          <w:rFonts w:ascii="Times New Roman" w:cs="Times New Roman" w:eastAsia="Times New Roman" w:hAnsi="Times New Roman"/>
          <w:sz w:val="18"/>
          <w:szCs w:val="18"/>
          <w:color w:val="auto"/>
        </w:rPr>
      </w:pPr>
    </w:p>
    <w:p>
      <w:pPr>
        <w:jc w:val="both"/>
        <w:ind w:firstLine="656"/>
        <w:spacing w:after="0" w:line="256" w:lineRule="auto"/>
        <w:tabs>
          <w:tab w:leader="none" w:pos="11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During the Term, the Company will engage you to provide financial consulting advisory services, of up to 20 hours per month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For the avoidance of doubt, Services will consist solely of answering questions from Company personnel and providing financial advice and guidance. The Company further acknowledges that Contractor will act in an advisory role only and, as such, will not perform, prepare, be a signatory to, or have any responsibility for SEC reporting, financial statements, forecasts and projections of any type, financial analysis, Information Technology projects, 401K or benefit plan administration, investor communication or presentations, insurance policy applications, Board of Director or Committee materials, or any similar items.</w:t>
      </w:r>
    </w:p>
    <w:p>
      <w:pPr>
        <w:spacing w:after="0" w:line="187" w:lineRule="exact"/>
        <w:rPr>
          <w:rFonts w:ascii="Times New Roman" w:cs="Times New Roman" w:eastAsia="Times New Roman" w:hAnsi="Times New Roman"/>
          <w:sz w:val="18"/>
          <w:szCs w:val="18"/>
          <w:color w:val="auto"/>
        </w:rPr>
      </w:pPr>
    </w:p>
    <w:p>
      <w:pPr>
        <w:jc w:val="both"/>
        <w:ind w:firstLine="1052"/>
        <w:spacing w:after="0" w:line="261" w:lineRule="auto"/>
        <w:tabs>
          <w:tab w:leader="none" w:pos="163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have the right to establish the days and hours for your work, provided that you will make yourself available from time to time as reasonably required, including virtual attendance at meetings to be scheduled at the parties’ mutual convenience. You will furnish the necessary tools, equipment, materials and the like to fulfill your assignments under this Agreement, and you will be responsible for all costs associated with your employees, if any.</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1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pay you $33,996.50 per month for the Services as a non-refundable retainer (pro-rated for any partial months in the Term). You will submit an invoice to the Company on or before the 3rd of each month for all services rendered for the prior month, with details of the Services performed. The Company will pay your undisputed invoices within 30 days of its receipt.</w:t>
      </w:r>
    </w:p>
    <w:p>
      <w:pPr>
        <w:spacing w:after="0" w:line="175" w:lineRule="exact"/>
        <w:rPr>
          <w:rFonts w:ascii="Times New Roman" w:cs="Times New Roman" w:eastAsia="Times New Roman" w:hAnsi="Times New Roman"/>
          <w:sz w:val="18"/>
          <w:szCs w:val="18"/>
          <w:color w:val="auto"/>
        </w:rPr>
      </w:pPr>
    </w:p>
    <w:p>
      <w:pPr>
        <w:ind w:firstLine="1052"/>
        <w:spacing w:after="0" w:line="282" w:lineRule="auto"/>
        <w:tabs>
          <w:tab w:leader="none" w:pos="156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generally be responsible for your own expenses and out-of-pocket expenses directly incurred in performing the Services will only be reimbursed if pre-approved by the Company in writing.</w:t>
      </w:r>
    </w:p>
    <w:p>
      <w:pPr>
        <w:spacing w:after="0" w:line="162" w:lineRule="exact"/>
        <w:rPr>
          <w:sz w:val="20"/>
          <w:szCs w:val="20"/>
          <w:color w:val="auto"/>
        </w:rPr>
      </w:pPr>
    </w:p>
    <w:p>
      <w:pPr>
        <w:jc w:val="both"/>
        <w:ind w:firstLine="656"/>
        <w:spacing w:after="0" w:line="261" w:lineRule="auto"/>
        <w:tabs>
          <w:tab w:leader="none" w:pos="12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Your engagement hereunder is as an independent contractor and will not constitute you , or any of your employees or agents (collectively, the “</w:t>
      </w:r>
      <w:r>
        <w:rPr>
          <w:rFonts w:ascii="Times New Roman" w:cs="Times New Roman" w:eastAsia="Times New Roman" w:hAnsi="Times New Roman"/>
          <w:sz w:val="18"/>
          <w:szCs w:val="18"/>
          <w:b w:val="1"/>
          <w:bCs w:val="1"/>
          <w:color w:val="auto"/>
        </w:rPr>
        <w:t>Contractor Personnel</w:t>
      </w:r>
      <w:r>
        <w:rPr>
          <w:rFonts w:ascii="Times New Roman" w:cs="Times New Roman" w:eastAsia="Times New Roman" w:hAnsi="Times New Roman"/>
          <w:sz w:val="18"/>
          <w:szCs w:val="18"/>
          <w:color w:val="auto"/>
        </w:rPr>
        <w:t>”), as employees of the Company for any purpose whatsoever. You agree that neither you nor they will be entitled to participate in or to receive the benefit of any employee plans or programs, including insurance, of the Company, except as otherwise provided in the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jc w:val="both"/>
        <w:ind w:left="-20" w:firstLine="1052"/>
        <w:spacing w:after="0" w:line="258" w:lineRule="auto"/>
        <w:tabs>
          <w:tab w:leader="none" w:pos="159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and warrant that you will be solely responsible for the withholding and payment of all federal, state and local income taxes, Social Security taxes, unemployment taxes, disability insurance or similar items associated with the fees you receive hereunder, and that you will hold the Company harmless against any liability or costs incurred by you, or any of the Contractor Personnel, with respect to such taxes. The Company will provide you with notice and a reasonable opportunity to cure before incurring any costs or paying any taxes or penalties for which it may seek indemnification.</w:t>
      </w:r>
    </w:p>
    <w:p>
      <w:pPr>
        <w:spacing w:after="0" w:line="183" w:lineRule="exact"/>
        <w:rPr>
          <w:rFonts w:ascii="Times New Roman" w:cs="Times New Roman" w:eastAsia="Times New Roman" w:hAnsi="Times New Roman"/>
          <w:sz w:val="18"/>
          <w:szCs w:val="18"/>
          <w:color w:val="auto"/>
        </w:rPr>
      </w:pPr>
    </w:p>
    <w:p>
      <w:pPr>
        <w:jc w:val="both"/>
        <w:ind w:left="-20" w:firstLine="1052"/>
        <w:spacing w:after="0" w:line="266" w:lineRule="auto"/>
        <w:tabs>
          <w:tab w:leader="none" w:pos="15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and warrant that the Contractor Personnel and you will not act in any manner to discriminate against any employee of the Company because of the employee’s race, color, age, sex, national origin, ancestry, religion, sexual orientation, disability, or any other characteristic protected by applicable law.</w:t>
      </w:r>
    </w:p>
    <w:p>
      <w:pPr>
        <w:spacing w:after="0" w:line="175" w:lineRule="exact"/>
        <w:rPr>
          <w:rFonts w:ascii="Times New Roman" w:cs="Times New Roman" w:eastAsia="Times New Roman" w:hAnsi="Times New Roman"/>
          <w:sz w:val="18"/>
          <w:szCs w:val="18"/>
          <w:color w:val="auto"/>
        </w:rPr>
      </w:pPr>
    </w:p>
    <w:p>
      <w:pPr>
        <w:ind w:left="-20" w:firstLine="1052"/>
        <w:spacing w:after="0" w:line="282" w:lineRule="auto"/>
        <w:tabs>
          <w:tab w:leader="none" w:pos="17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and warrant that the Services performed hereunder will not violate the rights, including, without limitation, the intellectual property rights, of any third parties, or any applicable federal, state or local laws, rules or regulations.</w:t>
      </w:r>
    </w:p>
    <w:p>
      <w:pPr>
        <w:spacing w:after="0" w:line="161" w:lineRule="exact"/>
        <w:rPr>
          <w:rFonts w:ascii="Times New Roman" w:cs="Times New Roman" w:eastAsia="Times New Roman" w:hAnsi="Times New Roman"/>
          <w:sz w:val="18"/>
          <w:szCs w:val="18"/>
          <w:color w:val="auto"/>
        </w:rPr>
      </w:pPr>
    </w:p>
    <w:p>
      <w:pPr>
        <w:jc w:val="both"/>
        <w:ind w:left="-20" w:firstLine="1052"/>
        <w:spacing w:after="0" w:line="258" w:lineRule="auto"/>
        <w:tabs>
          <w:tab w:leader="none" w:pos="154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indemnify and hold harmless the Company from and against any and all costs (including reasonable attorneys' fees incurred in defense) or liabilities (including payroll taxes, penalties or interest) arising out of (i) any breach of this Agreement by you (including but not limited to any breach of the above representations and warranties), (ii) your gross negligence or intentional misconduct, or (iii) any assertion that any of the Contractor Personnel or you are not an independent contractor with respect to the Company. The Company will provide you with notice and a reasonable opportunity to cure before incurring any costs or paying any taxes or penalties for which it may seek indemnification.</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1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Contractor Personnel and you will not, at any time (whether during the Term or after termination of this Agreement), disclose any confidential information or trade secrets of the Company, or any client of the Company, or utilize such confidential information or trade secret for their own benefit, or for the benefit of third parties. You agree that the Contractor Personnel and you will not use the name, marks or indicia of the Company or any of its clients for any purpose without the prior written consent of the applicable party in each instance. Your obligations under this paragraph shall survive the termination of this Agreement.</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1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parties agree that your engagement hereunder will not restrict you or any of the Contractor Personnel from contemporaneously rendering your or their services to other businesses, as long as such other services do not create a conflict of interest with your or their work for the Company.</w:t>
      </w:r>
    </w:p>
    <w:p>
      <w:pPr>
        <w:spacing w:after="0" w:line="175" w:lineRule="exact"/>
        <w:rPr>
          <w:rFonts w:ascii="Times New Roman" w:cs="Times New Roman" w:eastAsia="Times New Roman" w:hAnsi="Times New Roman"/>
          <w:sz w:val="18"/>
          <w:szCs w:val="18"/>
          <w:color w:val="auto"/>
        </w:rPr>
      </w:pPr>
    </w:p>
    <w:p>
      <w:pPr>
        <w:jc w:val="both"/>
        <w:ind w:left="-20" w:firstLine="1052"/>
        <w:spacing w:after="0" w:line="261" w:lineRule="auto"/>
        <w:tabs>
          <w:tab w:leader="none" w:pos="158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further agree that during the Term and for the one-year period thereafter, the Contractor Personnel and you shall not, directly or indirectly, employ as an employee or retain as a consultant any person who is then or at any time during the preceding twelve months was an employee of or exclusive consultant to the Company, or persuade or attempt to persuade any employee of or exclusive consultant to the Company to leave the employ of the Company or to become employed as an employee or retained as a consultant by anyone other than the Company.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42" w:right="339" w:bottom="1440" w:gutter="0" w:footer="0" w:header="0"/>
        </w:sectPr>
      </w:pPr>
    </w:p>
    <w:bookmarkStart w:id="20" w:name="page21"/>
    <w:bookmarkEnd w:id="20"/>
    <w:p>
      <w:pPr>
        <w:jc w:val="both"/>
        <w:ind w:left="-20" w:firstLine="656"/>
        <w:spacing w:after="0" w:line="266" w:lineRule="auto"/>
        <w:tabs>
          <w:tab w:leader="none" w:pos="10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end of the Term, or anytime upon the request of the Company, you agree to return, delete or destroy all memoranda, notes, records, files, other documents and property of any kind compiled by you or the Contractor Personnel or made available to you or the Contractor Personnel during the Term concerning the business of, or belonging to, the Company and/or any client of the Company.</w:t>
      </w:r>
    </w:p>
    <w:p>
      <w:pPr>
        <w:spacing w:after="0" w:line="175" w:lineRule="exact"/>
        <w:rPr>
          <w:rFonts w:ascii="Times New Roman" w:cs="Times New Roman" w:eastAsia="Times New Roman" w:hAnsi="Times New Roman"/>
          <w:sz w:val="18"/>
          <w:szCs w:val="18"/>
          <w:color w:val="auto"/>
        </w:rPr>
      </w:pPr>
    </w:p>
    <w:p>
      <w:pPr>
        <w:ind w:left="-20" w:firstLine="1070"/>
        <w:spacing w:after="0" w:line="252" w:lineRule="auto"/>
        <w:tabs>
          <w:tab w:leader="none" w:pos="148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title and interest in and to all work and materials of any kind conceived or produced or otherwise provided for the Company or its clients by you (including, without limitation, all copyrights, patents, trademarks and other intellectual property rights therein) shall belong to the Company, and you agree that all such work and materials will be works made for hire exclusively for the Company or its clients under and as that term is defined in the copyright laws of the United States. In the event that any such work shall not be deemed a work made for hire under said copyright laws, and/or as otherwise necessary to ensure the Company’s complete ownership of all right, title and interest in all work or materials provided hereunder, you hereby assigns to the Company all rights, title and interest in such work and agree to execute whatever assignment of copyright or other rights and ancillary and confirmatory documents as may be required or appropriate to transfer exclusive title, ownership and rights therein to the Company. You agree that the Company will have the exclusive right to use and exploit such work and materials, free from any claims by you or other parties for compensation other than as expressly provided in Section 3, above. You agree that you will not challenge, through the courts, administrative governmental bodies, private organizations, or otherwise, the rights granted to the Company under this Agreement. The Company is and will remain the sole and exclusive owner of all intellectual property supplied by the Company to you in connection with this Agreement, or any intellectual property produced, derived or resulting from such property, in whatever stage of completion. Should you retain any Contractor Personnel to perform services or provide materials hereunder, you will secure “work for hire” agreements with each such individual or entity, providing for the Company’s ownership of all results and proceeds of their services, consistent with the terms of this Agreement.</w:t>
      </w:r>
    </w:p>
    <w:p>
      <w:pPr>
        <w:spacing w:after="0" w:line="197" w:lineRule="exact"/>
        <w:rPr>
          <w:sz w:val="20"/>
          <w:szCs w:val="20"/>
          <w:color w:val="auto"/>
        </w:rPr>
      </w:pPr>
    </w:p>
    <w:p>
      <w:pPr>
        <w:ind w:left="-20" w:firstLine="656"/>
        <w:spacing w:after="0" w:line="282" w:lineRule="auto"/>
        <w:tabs>
          <w:tab w:leader="none" w:pos="1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grant the Contractor Personnel or you any right or authority to, and you shall not, make any statements, representations, or commitments on behalf of the Company unless specifically authorized to do so in writing.</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2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assign its rights and delegate its duties under this Agreement to an affiliated company, except the Company shall remain responsible for paying you for the Services as described above. You shall not assign any of your rights under this Agreement or delegate the performance of any of your duties hereunder, without the prior written consent of the Company.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42" w:right="339" w:bottom="1440" w:gutter="0" w:footer="0" w:header="0"/>
        </w:sectPr>
      </w:pPr>
    </w:p>
    <w:bookmarkStart w:id="21" w:name="page22"/>
    <w:bookmarkEnd w:id="21"/>
    <w:p>
      <w:pPr>
        <w:ind w:left="-40" w:right="40" w:firstLine="656"/>
        <w:spacing w:after="0" w:line="261" w:lineRule="auto"/>
        <w:tabs>
          <w:tab w:leader="none" w:pos="11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or any part thereof, is found to be invalid or unenforceable, the same shall not affect the remaining provisions, which shall be given full effect, without regard to the invalid portions. Moreover, if any one or more of the provisions contained in this Agreement shall be held to be excessively broad as to duration, scope, activity or subject, such provisions shall be construed by limiting and reducing them so as to be enforceable to the maximum extent with applicable law.</w:t>
      </w:r>
    </w:p>
    <w:p>
      <w:pPr>
        <w:spacing w:after="0" w:line="179" w:lineRule="exact"/>
        <w:rPr>
          <w:rFonts w:ascii="Times New Roman" w:cs="Times New Roman" w:eastAsia="Times New Roman" w:hAnsi="Times New Roman"/>
          <w:sz w:val="18"/>
          <w:szCs w:val="18"/>
          <w:color w:val="auto"/>
        </w:rPr>
      </w:pPr>
    </w:p>
    <w:p>
      <w:pPr>
        <w:jc w:val="both"/>
        <w:ind w:left="-40" w:firstLine="656"/>
        <w:spacing w:after="0" w:line="261" w:lineRule="auto"/>
        <w:tabs>
          <w:tab w:leader="none" w:pos="11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any breach of your obligations hereunder would cause the Company irreparable injury. In the event of any breach by you, the Company shall be entitled to equitable relief. Your sole remedy under this Agreement shall be an action at law for direct damages; you shall not be entitled to equitable relief or to any incidental, consequential, special, exemplary, punitive damages or any loss of profits, whether based on contract, tort, or otherwise, regardless of whether the Company has been informed of the possibility of such damages.</w:t>
      </w:r>
    </w:p>
    <w:p>
      <w:pPr>
        <w:spacing w:after="0" w:line="179" w:lineRule="exact"/>
        <w:rPr>
          <w:rFonts w:ascii="Times New Roman" w:cs="Times New Roman" w:eastAsia="Times New Roman" w:hAnsi="Times New Roman"/>
          <w:sz w:val="18"/>
          <w:szCs w:val="18"/>
          <w:color w:val="auto"/>
        </w:rPr>
      </w:pPr>
    </w:p>
    <w:p>
      <w:pPr>
        <w:ind w:left="-40" w:right="20" w:firstLine="1070"/>
        <w:spacing w:after="0" w:line="258" w:lineRule="auto"/>
        <w:tabs>
          <w:tab w:leader="none" w:pos="15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this Agreement and all rights and obligations of the parties, including its enforcement, shall be interpreted and governed by the laws of the State of Connecticut. Any dispute arising from or related to this Agreement or the interpretation or operation of this Agreement shall be resolved solely in state or federal courts located in the State of Connecticut. The Company and you hereby consent to, elect, and waive any objection to the laying of jurisdiction and venue in such courts in the event of litigation under or relating to this Agreement. The Company and you further waive their rights to a jury trial and understand any dispute will be tried by a judge.</w:t>
      </w:r>
    </w:p>
    <w:p>
      <w:pPr>
        <w:spacing w:after="0" w:line="183" w:lineRule="exact"/>
        <w:rPr>
          <w:rFonts w:ascii="Times New Roman" w:cs="Times New Roman" w:eastAsia="Times New Roman" w:hAnsi="Times New Roman"/>
          <w:sz w:val="18"/>
          <w:szCs w:val="18"/>
          <w:color w:val="auto"/>
        </w:rPr>
      </w:pPr>
    </w:p>
    <w:p>
      <w:pPr>
        <w:ind w:left="-40" w:right="140" w:firstLine="1070"/>
        <w:spacing w:after="0" w:line="266" w:lineRule="auto"/>
        <w:tabs>
          <w:tab w:leader="none" w:pos="15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each of which shall be deemed an original, but all of which together shall constitute one and the same instrument. Electronic, PDF and fax copies of such signed counterparts may be used in lieu of the originals of this Agreement for any purpose.</w:t>
      </w:r>
    </w:p>
    <w:p>
      <w:pPr>
        <w:spacing w:after="0" w:line="175" w:lineRule="exact"/>
        <w:rPr>
          <w:rFonts w:ascii="Times New Roman" w:cs="Times New Roman" w:eastAsia="Times New Roman" w:hAnsi="Times New Roman"/>
          <w:sz w:val="18"/>
          <w:szCs w:val="18"/>
          <w:color w:val="auto"/>
        </w:rPr>
      </w:pPr>
    </w:p>
    <w:p>
      <w:pPr>
        <w:ind w:left="-40" w:right="100" w:firstLine="1070"/>
        <w:spacing w:after="0" w:line="282" w:lineRule="auto"/>
        <w:tabs>
          <w:tab w:leader="none" w:pos="15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rights and obligations of the parties hereunder shall survive the termination of the Term to the extent necessary to the intended preservation of such rights and obligations.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742" w:right="359" w:bottom="1440" w:gutter="0" w:footer="0" w:header="0"/>
        </w:sectPr>
      </w:pPr>
    </w:p>
    <w:bookmarkStart w:id="22" w:name="page23"/>
    <w:bookmarkEnd w:id="22"/>
    <w:p>
      <w:pPr>
        <w:ind w:left="-100" w:firstLine="656"/>
        <w:spacing w:after="0" w:line="258" w:lineRule="auto"/>
        <w:tabs>
          <w:tab w:leader="none" w:pos="10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contained in this Agreement constitute the entire agreement between the parties with respect to the subject matter hereof and supersede all prior negotiations, representations or agreements relating thereto whether written or oral; provided, however, that for the avoidance of doubt, this Agreement does not amend or supersede the Separation Agreement and General Release by and between the Company and you. You represent that in executing this Agreement, you have not relied upon any representation or statement not set forth herein. No amendment or modification of this Agreement shall be valid or binding upon the parties unless in writing and signed by both parties.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signature page to follow ***</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74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Signed:</w:t>
            </w: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A. DeMartino</w:t>
            </w: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A. DeMartino</w:t>
            </w: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3, 2026</w:t>
            </w:r>
          </w:p>
        </w:tc>
      </w:tr>
      <w:tr>
        <w:trPr>
          <w:trHeight w:val="642"/>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 Technologies Incorporated</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Signed:</w:t>
            </w: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Dillon</w:t>
            </w: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M. Dillon</w:t>
            </w: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7, 2026</w:t>
            </w:r>
          </w:p>
        </w:tc>
      </w:tr>
    </w:tbl>
    <w:p>
      <w:pPr>
        <w:spacing w:after="0" w:line="200" w:lineRule="exact"/>
        <w:rPr>
          <w:sz w:val="20"/>
          <w:szCs w:val="20"/>
          <w:color w:val="auto"/>
        </w:rPr>
      </w:pPr>
    </w:p>
    <w:p>
      <w:pPr>
        <w:spacing w:after="0" w:line="20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150495</wp:posOffset>
            </wp:positionV>
            <wp:extent cx="2631440" cy="685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314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Reports Preliminary First Quarter 2026 Financial Results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Sold 1,370 BOHA! Terminals in the First Quarter of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2026 Net Sales up 10% and Recurring FST Revenue up 26% Year-over-Year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Reiterates 2026 Revenue Guidance of $55 to $57 Million, Increases 2026 Adj. EBITDA Guidance* to $1 Million to $1.75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Board of Directors Authorizes $3 Million Share Repurchase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Announces Chief Financial Officer Transition</w:t>
      </w:r>
    </w:p>
    <w:p>
      <w:pPr>
        <w:spacing w:after="0" w:line="200" w:lineRule="exact"/>
        <w:rPr>
          <w:sz w:val="20"/>
          <w:szCs w:val="20"/>
          <w:color w:val="auto"/>
        </w:rPr>
      </w:pPr>
    </w:p>
    <w:p>
      <w:pPr>
        <w:spacing w:after="0" w:line="23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Hamden, CT – May 12, 2026 – </w:t>
      </w:r>
      <w:r>
        <w:rPr>
          <w:rFonts w:ascii="Times New Roman" w:cs="Times New Roman" w:eastAsia="Times New Roman" w:hAnsi="Times New Roman"/>
          <w:sz w:val="18"/>
          <w:szCs w:val="18"/>
          <w:color w:val="auto"/>
        </w:rPr>
        <w:t>TransAct Technologies Incorporated (Nasdaq: TACT) (“TransAct” or the “Company”), a leading provider of cloud-based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and integrated hardware solutions, today reported preliminary results for the first quarter ended March 31, 2026.</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pleased to report a solid start to 2026, with first quarter net sales of $14.4 million, up 10% year-over-year, and a return to GAAP profitability,” said John Dillon, Chief Executive Officer of TransAct. “The performance was broad-based, with casino and gaming sales rising 24% year-over-year and generating strong cash flow to support our Food Service Technology initiatives. Recurring FST revenue grew 26% to $3.3 million, driven by robust label sales. Gross margin expanded 160 basis points to 50.3%, resulting in operating income of $0.8 million. “As we sharpen our focus on software growth, we are working diligently to ensure our Terminal users both pay for and realize the full value of our software suite, which we expect will accelerate growth in our recurring revenue base.”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5" w:lineRule="exact"/>
        <w:rPr>
          <w:sz w:val="20"/>
          <w:szCs w:val="20"/>
          <w:color w:val="auto"/>
        </w:rPr>
      </w:pPr>
    </w:p>
    <w:p>
      <w:pPr>
        <w:ind w:left="500" w:hanging="330"/>
        <w:spacing w:after="0" w:line="28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Net sales for the first quarter of 2026 were $14.4 million, up 10% compared to $13.1 million for the first quarter of 2025, driven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24% increase in casino and gaming sales.</w:t>
      </w:r>
    </w:p>
    <w:p>
      <w:pPr>
        <w:spacing w:after="0" w:line="154" w:lineRule="exact"/>
        <w:rPr>
          <w:rFonts w:ascii="Times New Roman" w:cs="Times New Roman" w:eastAsia="Times New Roman" w:hAnsi="Times New Roman"/>
          <w:sz w:val="18"/>
          <w:szCs w:val="18"/>
          <w:color w:val="auto"/>
        </w:rPr>
      </w:pPr>
    </w:p>
    <w:p>
      <w:pPr>
        <w:ind w:left="500" w:right="240" w:hanging="330"/>
        <w:spacing w:after="0" w:line="28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FST Recurring Revenue</w:t>
      </w:r>
      <w:r>
        <w:rPr>
          <w:rFonts w:ascii="Times New Roman" w:cs="Times New Roman" w:eastAsia="Times New Roman" w:hAnsi="Times New Roman"/>
          <w:sz w:val="18"/>
          <w:szCs w:val="18"/>
          <w:color w:val="auto"/>
        </w:rPr>
        <w:t>: FST recurring revenue for the first quarter of 2026 was $3.3 million, which represents an increase of 26%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 million for the first quarter of 2025.</w:t>
      </w:r>
    </w:p>
    <w:p>
      <w:pPr>
        <w:spacing w:after="0" w:line="154" w:lineRule="exact"/>
        <w:rPr>
          <w:rFonts w:ascii="Times New Roman" w:cs="Times New Roman" w:eastAsia="Times New Roman" w:hAnsi="Times New Roman"/>
          <w:sz w:val="18"/>
          <w:szCs w:val="18"/>
          <w:color w:val="auto"/>
        </w:rPr>
      </w:pPr>
    </w:p>
    <w:p>
      <w:pPr>
        <w:ind w:left="500" w:right="40" w:hanging="330"/>
        <w:spacing w:after="0" w:line="28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Gross profit for the first quarter of 2026 was $7.3 million, resulting in gross margin of 50.3%, compared to gross profit of $6.4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of 2025, which delivered a 48.7% gross margin.</w:t>
      </w:r>
    </w:p>
    <w:p>
      <w:pPr>
        <w:spacing w:after="0" w:line="154" w:lineRule="exact"/>
        <w:rPr>
          <w:rFonts w:ascii="Times New Roman" w:cs="Times New Roman" w:eastAsia="Times New Roman" w:hAnsi="Times New Roman"/>
          <w:sz w:val="18"/>
          <w:szCs w:val="18"/>
          <w:color w:val="auto"/>
        </w:rPr>
      </w:pPr>
    </w:p>
    <w:p>
      <w:pPr>
        <w:ind w:left="500" w:right="120" w:hanging="330"/>
        <w:spacing w:after="0" w:line="28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Income</w:t>
      </w:r>
      <w:r>
        <w:rPr>
          <w:rFonts w:ascii="Times New Roman" w:cs="Times New Roman" w:eastAsia="Times New Roman" w:hAnsi="Times New Roman"/>
          <w:sz w:val="18"/>
          <w:szCs w:val="18"/>
          <w:color w:val="auto"/>
        </w:rPr>
        <w:t>: Operating income for the first quarter of 2026 was $771 thousand, or 5.3% of net sales, compared to an operating loss of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thousand for the first quarter of 2025 and an operating loss of $(1.2) million for the fourth quarter of 2025.</w:t>
      </w:r>
    </w:p>
    <w:p>
      <w:pPr>
        <w:spacing w:after="0" w:line="154" w:lineRule="exact"/>
        <w:rPr>
          <w:rFonts w:ascii="Times New Roman" w:cs="Times New Roman" w:eastAsia="Times New Roman" w:hAnsi="Times New Roman"/>
          <w:sz w:val="18"/>
          <w:szCs w:val="18"/>
          <w:color w:val="auto"/>
        </w:rPr>
      </w:pPr>
    </w:p>
    <w:p>
      <w:pPr>
        <w:ind w:left="500" w:right="60" w:hanging="330"/>
        <w:spacing w:after="0" w:line="291" w:lineRule="auto"/>
        <w:tabs>
          <w:tab w:leader="none" w:pos="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Income</w:t>
      </w:r>
      <w:r>
        <w:rPr>
          <w:rFonts w:ascii="Times New Roman" w:cs="Times New Roman" w:eastAsia="Times New Roman" w:hAnsi="Times New Roman"/>
          <w:sz w:val="17"/>
          <w:szCs w:val="17"/>
          <w:color w:val="auto"/>
        </w:rPr>
        <w:t>: Net income for the first quarter of 2026 was $766 thousand, or $0.07 per diluted share, based on 10.2 million weighted average diluted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outstanding. This compares to net income of $19 thousand, or $0.00 per diluted share, for the first quarter of 2025 and a net loss of $(1.1) million, or $(0.11) per diluted share, for the fourth quarter of 2025, each based on 10.1 million weighted average common shares outstanding.</w:t>
      </w:r>
    </w:p>
    <w:p>
      <w:pPr>
        <w:spacing w:after="0" w:line="152" w:lineRule="exact"/>
        <w:rPr>
          <w:rFonts w:ascii="Times New Roman" w:cs="Times New Roman" w:eastAsia="Times New Roman" w:hAnsi="Times New Roman"/>
          <w:sz w:val="17"/>
          <w:szCs w:val="17"/>
          <w:color w:val="auto"/>
        </w:rPr>
      </w:pPr>
    </w:p>
    <w:p>
      <w:pPr>
        <w:ind w:left="500" w:right="180" w:hanging="330"/>
        <w:spacing w:after="0" w:line="28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EBITDA was $881 thousand for the first quarter of 2026, compared to $221 thousand for the first quarter of 2025 and $(1.0)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ind w:left="500" w:right="200" w:hanging="330"/>
        <w:spacing w:after="0" w:line="28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Adjusted EBITDA was $1.4 million for the first quarter of 2026, compared to $544 thousand for the first quarter of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$(499) thousand for the fourth quarter of 2025.</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Today, the Company announced that its Board of Directors has authorized a share repurchase program of up to $3 million of the Company’s outstanding common stock over the next 12 months. This authorization reflects TransAct’s continued confidence in its strategic direction, strong balance sheet, and long-term growth opportunities, driven by the BOHA!® platform’s recurring revenue model and strengthened by TransAct’s EPIC line of casino and gaming printing solutions.</w:t>
      </w:r>
    </w:p>
    <w:p>
      <w:pPr>
        <w:spacing w:after="0" w:line="180"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TransAct intends to execute repurchases opportunistically, considering market conditions, share price, and alternative uses of capital. The share repurchase program does not obligate the Company to acquire any specific number of shares and may be modified, suspended, or discontinued at any time.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 Transition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8, 2026, the Company announced the appointment of Robert Campbell as Chief Financial Officer, effective upon the June 30, 2026, retirement of long-time Chief Financial Officer, Steven A. DeMartino.</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Campbell has more than 25 years of financial leadership experience across publicly traded and privately held global manufacturing organizations. He has served as the Company’s Controller since June 2022, playing a key role in strengthening financial operations, enhancing reporting and internal controls, and supporting TransAct’s transition toward a recurring revenue model.</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Mr. DeMartino, who serves as President, Chief Financial Officer, Secretary and Treasurer of the Company, will retire following almost 30 years of service to TransAct. Upon Mr. DeMartino’s retirement, Mr. Campbell will take over as Chief Financial Officer, Secretary and Treasurer, and John Dillon, the Company’s Chief Executive Officer, will assume the title of President of the Company. Mr. DeMartino will remain in an advisory role through the end of the year to support a seamless transition.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Outlook*</w:t>
      </w:r>
    </w:p>
    <w:p>
      <w:pPr>
        <w:spacing w:after="0" w:line="225" w:lineRule="exact"/>
        <w:rPr>
          <w:sz w:val="20"/>
          <w:szCs w:val="20"/>
          <w:color w:val="auto"/>
        </w:rPr>
      </w:pPr>
    </w:p>
    <w:p>
      <w:pPr>
        <w:ind w:left="500" w:hanging="330"/>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The Company expects full year 2026 net sales of between $55 million and $57 million.</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The Company now expects full year 2026 adjusted EBITDA to be between $1 million and $1.75 million.</w:t>
      </w:r>
    </w:p>
    <w:p>
      <w:pPr>
        <w:spacing w:after="0" w:line="200" w:lineRule="exact"/>
        <w:rPr>
          <w:sz w:val="20"/>
          <w:szCs w:val="20"/>
          <w:color w:val="auto"/>
        </w:rPr>
      </w:pPr>
    </w:p>
    <w:p>
      <w:pPr>
        <w:spacing w:after="0" w:line="2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outlook for non-GAAP adjusted EBITDA is presented only on a non-GAAP basis because not all of the information necessary for a quantitative reconciliation of this forward-looking non-GAAP financial measure to the most directly comparable GAAP financial measure is available without unreasonable effort, primarily due to uncertainties relating to the occurrence or amount of the adjustments that may arise in the future. If one or more of the currently unavailable items is applicable, some items could be material, individually or in the aggregate, to GAAP reported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Conference Call and Webcast</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TransAct is hosting a conference call and webcast on May 12, 2026, beginning at 4:30 p.m. ET to discuss the Company’s preliminary first quarter 2026 results and other matters. Both the call and the webcast are open to the general public. The conference call number is 877-704-4453 and the conference ID number is 13760514. Please call ten minutes prior to the presentation to ensure that you are connected.</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Interested parties may also access the conference call live on the Internet at www.transact-tech.com (select “About Us” followed by “Investor Relations,” then select “News &amp; Events” followed by “Events &amp; Presentations”). Approximately two hours after the call has concluded, an archived version of the webcast will be available for replay at the same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TransAct is providing certain non-GAAP financial measures because the Company believes that these measures are helpful to investors and others in assessing the ongoing nature of what the Company’s management views as TransAct’s core operations. EBITDA and adjusted EBITDA provide the Company with an understanding of one aspect of earnings before the impact of investing and financing charges and income taxes. The Company believes that these non-GAAP financial measures provide relevant and useful information to an investor evaluating the Company’s operating performance because these measures are: (i) widely used by investors to measure a company’s operating performance without regard to items that do not reflect the Company’s ongoing operations and are excluded from the calculation of such measures; (ii) used as financial measurements by lenders and other parties to evaluate creditworthiness; and (iii) used by the Company’s management for various purposes including strategic planning and forecasting and assessing financial performance. The presentation of this non-GAAP information is not considered superior to or a substitute for, and should be read in conjunction with, the financial information prepared in accordance with GAAP.</w:t>
      </w:r>
    </w:p>
    <w:p>
      <w:pPr>
        <w:spacing w:after="0" w:line="1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EBITDA is defined as net income (loss) before net interest income (expense), income taxes, depreciation, and amortization. A reconciliation of EBITDA to net income, the most comparable GAAP financial measure, can be found attached to this release.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Adjusted EBITDA is defined as net income (loss) before net interest income (expense), income taxes, depreciation and amortization and is adjusted for (1) share-based compensation expense and (2) any other items, when they occur, that we believe do not reflect the ordinary earnings of the Company’s ongoing business. The Company adjusts EBITDA for share-based compensation because the Company considers share-based compensation expense to be a non-cash expense similar to depreciation and amortization. A reconciliation of adjusted EBITDA to net income, the most comparable GAAP financial measure, can be found attached to this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TransAct Technologies Incorporated</w:t>
      </w:r>
    </w:p>
    <w:p>
      <w:pPr>
        <w:spacing w:after="0" w:line="27"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TransAct Technologies Incorporated is a leading provider of cloud-based software and integrated hardware solutions that redefine how organizations connect operations, technology and data to drive measurable business value. Through its BOHA!® solutions, serving over 19,000 foodservice locations worldwide, TransAct combines purpose-built hardware with a cloud-based SaaS platform to help foodservice operators automate food safety, improve operational efficiency and maintain trusted brand relevance. In the casino and gaming market, TransAct’s award-winning EPIC solutions enable ticket-in/ticket-out (TITO) functionality and advanced promotional capabilities that enhance player engagement and drive revenue for operators globally. TransAct also provides a comprehensive portfolio of consumables and service solutions, allowing customers to simplify operations and partner with a single, trusted provider across their technology ecosystem.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 is headquartered in Hamden, CT. For more information, please visit http://www.transact-tech.com or call (203) 859-6800.</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©2026 TRANSACT Technologies Incorporated. All rights reserved. TransAct®, BOHA!®, AccuDate®, Epic Edge®, EPICENTRAL® and Ithaca® are registered trademarks of TransAct Technologies Incorporated.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Statement Regarding Preliminary Financial Information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has prepared the preliminary financial information set forth below on a materially consistent basis with its historical financial information and in good faith based upon its internal reporting as of and for the three months ended March 31, 2026. This financial information is preliminary and is thus inherently uncertain and subject to change as the Company finalizes its financial results and related review for the three months ended March 31, 2026. During the preparation of the Company’s consolidated financial statements and related notes as of and for the three months ended March 31, 2026, the Company may identify items that could cause its final reported results to be materially different from the preliminary financial information set forth above. As a result, there can be no assurance that the Company’s final results for these periods will not differ from the preliminary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7" w:name="page28"/>
    <w:bookmarkEnd w:id="27"/>
    <w:p>
      <w:pPr>
        <w:ind w:right="240"/>
        <w:spacing w:after="0" w:line="282" w:lineRule="auto"/>
        <w:rPr>
          <w:sz w:val="20"/>
          <w:szCs w:val="20"/>
          <w:color w:val="auto"/>
        </w:rPr>
      </w:pPr>
      <w:r>
        <w:rPr>
          <w:rFonts w:ascii="Times New Roman" w:cs="Times New Roman" w:eastAsia="Times New Roman" w:hAnsi="Times New Roman"/>
          <w:sz w:val="18"/>
          <w:szCs w:val="18"/>
          <w:color w:val="auto"/>
        </w:rPr>
        <w:t>This preliminary financial information should not be viewed as a substitute for full financial statements prepared in accordance with GAAP. In addition, this preliminary financial information is not necessarily indicative of the results to be achieved for any future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Certain statements included in this press release are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“could”,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 Important factors and uncertainties that could cause actual results to differ materially from those expressed or implied by the forward-looking statements include, but are not limited to, the following: the adverse effects of current economic conditions on our business, operations, financial condition, results of operations and capital resources; our ability to achieve the anticipated benefits of our acquisition of a licensed copy of the source code for the BOHA! software and risks to our reputation and business relating to the source code transition; our ability to successfully transition the BOHA! source code to our platform and systems and, until such transition is complete, our continued reliance on third parties to host and support our FST offerings; difficulties or delays in manufacturing or delivery of inventory or other supply chain disruptions; our dependence on a single contract manufacturer for the assembly of a large portion of our products in Asia; the imposition of additional duties, tariffs, quotas, taxes, trade barriers, capital flow restrictions and other charges on imports and exports by the United States or the governments of the countries in which we or our manufacturers and suppliers operate; the Russia/Ukraine and Middle East conflicts; inadequate manufacturing capacity or a shortfall or excess of inventory as a result of difficulty in predicting manufacturing requirements due to volatile economic conditions; price increases, decreased availability of third-party component parts or raw materials at reasonable prices, price wars or significant pricing pressures affecting the Company’s products in the United States or abroad; increased product costs or reduced customer demand for our products in the United States or abroad, including as a result of trade wars, tariffs or other trade actions; our ability to successfully develop new products that garner customer acceptance and generate sales, both domestically and internationally, in the face of substantial competition; any system outages, interruptions or other disruptions to our software applications, including as a result of unexpected errors or mistakes in connection with over-the-air updates; our ability to successfully grow our business in the food service technology market; renewal rates for our subscription-based products; risks associated with the pursuit of strategic initiatives and business growth; our dependence on significant suppliers; our ability to recruit and retain quality employees; our dependence on third parties for sales outside the United States; marketplace acceptance of new products; risks associated with foreign operations; political and policy uncertainties and any adverse economic impacts resulting from such uncertainties; our ability to protect intellectual property; exchange rate fluctuations; the availability of needed financing on acceptable terms or at all; volatility of, and decreases in, trading prices of our common stock; and other risk factors identified and discussed in the Company’s Annual Report on Form 10-K for the year ended December 31, 2025, and other reports filed with the Securities and Exchange Commission. We caution readers not to place undue reliance on forward-looking statements, which speak only as of the date of this release. We undertake no obligation to publicly or otherwise revise any forward-looking statements, whether as a result of new information, future events or other factors, except where we are expressly required to do so by applicable law.</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Gardella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Ryan.Gardella@icrinc.com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and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r>
      <w:tr>
        <w:trPr>
          <w:trHeight w:val="230"/>
        </w:trPr>
        <w:tc>
          <w:tcPr>
            <w:tcW w:w="4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c>
          <w:tcPr>
            <w:tcW w:w="100" w:type="dxa"/>
            <w:vAlign w:val="bottom"/>
          </w:tcPr>
          <w:p>
            <w:pPr>
              <w:spacing w:after="0"/>
              <w:rPr>
                <w:sz w:val="19"/>
                <w:szCs w:val="19"/>
                <w:color w:val="auto"/>
              </w:rPr>
            </w:pPr>
          </w:p>
        </w:tc>
      </w:tr>
      <w:tr>
        <w:trPr>
          <w:trHeight w:val="196"/>
        </w:trPr>
        <w:tc>
          <w:tcPr>
            <w:tcW w:w="4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14,415</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13,053</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7,162</w:t>
            </w:r>
          </w:p>
        </w:tc>
        <w:tc>
          <w:tcPr>
            <w:tcW w:w="68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6,694</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7,253</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Engineering, design and product development</w:t>
            </w: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1,380</w:t>
            </w:r>
          </w:p>
        </w:tc>
        <w:tc>
          <w:tcPr>
            <w:tcW w:w="68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2,197</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2,085</w:t>
            </w:r>
          </w:p>
        </w:tc>
      </w:t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2,905</w:t>
            </w:r>
          </w:p>
        </w:tc>
        <w:tc>
          <w:tcPr>
            <w:tcW w:w="68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2,654</w:t>
            </w:r>
          </w:p>
        </w:tc>
      </w:tr>
      <w:tr>
        <w:trPr>
          <w:trHeight w:val="209"/>
        </w:trPr>
        <w:tc>
          <w:tcPr>
            <w:tcW w:w="400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6,482</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0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net</w:t>
            </w: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66</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w:t>
            </w:r>
          </w:p>
        </w:tc>
        <w:tc>
          <w:tcPr>
            <w:tcW w:w="68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789</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68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0.08</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0.07</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per share calculation:</w:t>
            </w: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10,178</w:t>
            </w:r>
          </w:p>
        </w:tc>
        <w:tc>
          <w:tcPr>
            <w:tcW w:w="68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10,043</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10,233</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10,054</w:t>
            </w:r>
          </w:p>
        </w:tc>
      </w:tr>
      <w:tr>
        <w:trPr>
          <w:trHeight w:val="626"/>
        </w:trPr>
        <w:tc>
          <w:tcPr>
            <w:tcW w:w="9340" w:type="dxa"/>
            <w:vAlign w:val="bottom"/>
            <w:gridSpan w:val="5"/>
          </w:tcPr>
          <w:p>
            <w:pPr>
              <w:ind w:left="3240"/>
              <w:spacing w:after="0"/>
              <w:rPr>
                <w:sz w:val="20"/>
                <w:szCs w:val="20"/>
                <w:color w:val="auto"/>
              </w:rPr>
            </w:pPr>
            <w:r>
              <w:rPr>
                <w:rFonts w:ascii="Times New Roman" w:cs="Times New Roman" w:eastAsia="Times New Roman" w:hAnsi="Times New Roman"/>
                <w:sz w:val="18"/>
                <w:szCs w:val="18"/>
                <w:b w:val="1"/>
                <w:bCs w:val="1"/>
                <w:color w:val="auto"/>
              </w:rPr>
              <w:t>SUPPLEMENTAL INFORMATION – SALES BY MARKET:</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000" w:type="dxa"/>
            <w:vAlign w:val="bottom"/>
          </w:tcPr>
          <w:p>
            <w:pPr>
              <w:spacing w:after="0"/>
              <w:rPr>
                <w:sz w:val="20"/>
                <w:szCs w:val="20"/>
                <w:color w:val="auto"/>
              </w:rPr>
            </w:pPr>
          </w:p>
        </w:tc>
        <w:tc>
          <w:tcPr>
            <w:tcW w:w="36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(Preliminary and Unaudited)</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r>
      <w:tr>
        <w:trPr>
          <w:trHeight w:val="230"/>
        </w:trPr>
        <w:tc>
          <w:tcPr>
            <w:tcW w:w="4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000" w:type="dxa"/>
            <w:vAlign w:val="bottom"/>
          </w:tcPr>
          <w:p>
            <w:pPr>
              <w:spacing w:after="0"/>
              <w:rPr>
                <w:sz w:val="17"/>
                <w:szCs w:val="17"/>
                <w:color w:val="auto"/>
              </w:rPr>
            </w:pPr>
          </w:p>
        </w:tc>
        <w:tc>
          <w:tcPr>
            <w:tcW w:w="366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 technology</w:t>
            </w:r>
          </w:p>
        </w:tc>
        <w:tc>
          <w:tcPr>
            <w:tcW w:w="36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4,692</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4,908</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 automation</w:t>
            </w: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620</w:t>
            </w:r>
          </w:p>
        </w:tc>
        <w:tc>
          <w:tcPr>
            <w:tcW w:w="68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 and gaming</w:t>
            </w:r>
          </w:p>
        </w:tc>
        <w:tc>
          <w:tcPr>
            <w:tcW w:w="3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8,339</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6,719</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TransAct services group</w:t>
            </w:r>
          </w:p>
        </w:tc>
        <w:tc>
          <w:tcPr>
            <w:tcW w:w="3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764</w:t>
            </w:r>
          </w:p>
        </w:tc>
        <w:tc>
          <w:tcPr>
            <w:tcW w:w="68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808</w:t>
            </w:r>
          </w:p>
        </w:tc>
      </w:tr>
      <w:tr>
        <w:trPr>
          <w:trHeight w:val="223"/>
        </w:trPr>
        <w:tc>
          <w:tcPr>
            <w:tcW w:w="4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0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38"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200" w:right="660"/>
        <w:spacing w:after="0" w:line="250" w:lineRule="auto"/>
        <w:rPr>
          <w:sz w:val="20"/>
          <w:szCs w:val="20"/>
          <w:color w:val="auto"/>
        </w:rPr>
      </w:pPr>
      <w:r>
        <w:rPr>
          <w:rFonts w:ascii="Times New Roman" w:cs="Times New Roman" w:eastAsia="Times New Roman" w:hAnsi="Times New Roman"/>
          <w:sz w:val="18"/>
          <w:szCs w:val="18"/>
          <w:color w:val="auto"/>
        </w:rPr>
        <w:t>Cash and cash equivalents Accounts receivable, net Inventories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income taxes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Total current assets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(Preliminary and Unaudited)</w:t>
      </w:r>
    </w:p>
    <w:p>
      <w:pPr>
        <w:spacing w:after="0" w:line="203" w:lineRule="exact"/>
        <w:rPr>
          <w:sz w:val="20"/>
          <w:szCs w:val="20"/>
          <w:color w:val="auto"/>
        </w:rPr>
      </w:pPr>
    </w:p>
    <w:tbl>
      <w:tblPr>
        <w:tblLayout w:type="fixed"/>
        <w:tblInd w:w="384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9"/>
                <w:szCs w:val="19"/>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00" w:type="dxa"/>
            <w:vAlign w:val="bottom"/>
          </w:tcPr>
          <w:p>
            <w:pPr>
              <w:spacing w:after="0"/>
              <w:rPr>
                <w:sz w:val="19"/>
                <w:szCs w:val="19"/>
                <w:color w:val="auto"/>
              </w:rPr>
            </w:pPr>
          </w:p>
        </w:tc>
        <w:tc>
          <w:tcPr>
            <w:tcW w:w="3520" w:type="dxa"/>
            <w:vAlign w:val="bottom"/>
            <w:gridSpan w:val="4"/>
          </w:tcPr>
          <w:p>
            <w:pPr>
              <w:jc w:val="right"/>
              <w:ind w:right="12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gridSpan w:val="2"/>
          </w:tcPr>
          <w:p>
            <w:pPr>
              <w:spacing w:after="0"/>
              <w:rPr>
                <w:sz w:val="19"/>
                <w:szCs w:val="19"/>
                <w:color w:val="auto"/>
              </w:rPr>
            </w:pPr>
          </w:p>
        </w:tc>
      </w:tr>
      <w:tr>
        <w:trPr>
          <w:trHeight w:val="38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18,841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20,433</w:t>
            </w:r>
          </w:p>
        </w:tc>
      </w:tr>
      <w:tr>
        <w:trPr>
          <w:trHeight w:val="216"/>
        </w:trPr>
        <w:tc>
          <w:tcPr>
            <w:tcW w:w="3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9,024</w:t>
            </w: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6,364</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9,574</w:t>
            </w:r>
          </w:p>
        </w:tc>
        <w:tc>
          <w:tcPr>
            <w:tcW w:w="24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10,858</w:t>
            </w:r>
          </w:p>
        </w:tc>
      </w:tr>
      <w:tr>
        <w:trPr>
          <w:trHeight w:val="229"/>
        </w:trPr>
        <w:tc>
          <w:tcPr>
            <w:tcW w:w="3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379</w:t>
            </w:r>
          </w:p>
        </w:tc>
        <w:tc>
          <w:tcPr>
            <w:tcW w:w="240" w:type="dxa"/>
            <w:vAlign w:val="bottom"/>
          </w:tcPr>
          <w:p>
            <w:pPr>
              <w:spacing w:after="0"/>
              <w:rPr>
                <w:sz w:val="19"/>
                <w:szCs w:val="19"/>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r>
      <w:tr>
        <w:trPr>
          <w:trHeight w:val="238"/>
        </w:trPr>
        <w:tc>
          <w:tcPr>
            <w:tcW w:w="3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894</w:t>
            </w:r>
          </w:p>
        </w:tc>
        <w:tc>
          <w:tcPr>
            <w:tcW w:w="240" w:type="dxa"/>
            <w:vAlign w:val="bottom"/>
          </w:tcPr>
          <w:p>
            <w:pPr>
              <w:spacing w:after="0"/>
              <w:rPr>
                <w:sz w:val="20"/>
                <w:szCs w:val="20"/>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38,808</w:t>
            </w:r>
          </w:p>
        </w:tc>
        <w:tc>
          <w:tcPr>
            <w:tcW w:w="20" w:type="dxa"/>
            <w:vAlign w:val="bottom"/>
            <w:tcBorders>
              <w:top w:val="single" w:sz="8" w:color="auto"/>
            </w:tcBorders>
          </w:tcPr>
          <w:p>
            <w:pPr>
              <w:spacing w:after="0"/>
              <w:rPr>
                <w:sz w:val="18"/>
                <w:szCs w:val="18"/>
                <w:color w:val="auto"/>
              </w:rPr>
            </w:pPr>
          </w:p>
        </w:tc>
      </w:tr>
      <w:tr>
        <w:trPr>
          <w:trHeight w:val="403"/>
        </w:trPr>
        <w:tc>
          <w:tcPr>
            <w:tcW w:w="300" w:type="dxa"/>
            <w:vAlign w:val="bottom"/>
          </w:tcPr>
          <w:p>
            <w:pPr>
              <w:spacing w:after="0"/>
              <w:rPr>
                <w:sz w:val="24"/>
                <w:szCs w:val="24"/>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1,168</w:t>
            </w:r>
          </w:p>
        </w:tc>
        <w:tc>
          <w:tcPr>
            <w:tcW w:w="240" w:type="dxa"/>
            <w:vAlign w:val="bottom"/>
          </w:tcPr>
          <w:p>
            <w:pPr>
              <w:spacing w:after="0"/>
              <w:rPr>
                <w:sz w:val="24"/>
                <w:szCs w:val="24"/>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1,243</w:t>
            </w:r>
          </w:p>
        </w:tc>
        <w:tc>
          <w:tcPr>
            <w:tcW w:w="2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3,347</w:t>
            </w:r>
          </w:p>
        </w:tc>
        <w:tc>
          <w:tcPr>
            <w:tcW w:w="24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3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2,621</w:t>
            </w: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2,621</w:t>
            </w:r>
          </w:p>
        </w:tc>
        <w:tc>
          <w:tcPr>
            <w:tcW w:w="20" w:type="dxa"/>
            <w:vAlign w:val="bottom"/>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1,983</w:t>
            </w:r>
          </w:p>
        </w:tc>
        <w:tc>
          <w:tcPr>
            <w:tcW w:w="2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1,503</w:t>
            </w:r>
          </w:p>
        </w:tc>
        <w:tc>
          <w:tcPr>
            <w:tcW w:w="20" w:type="dxa"/>
            <w:vAlign w:val="bottom"/>
          </w:tcPr>
          <w:p>
            <w:pPr>
              <w:spacing w:after="0"/>
              <w:rPr>
                <w:sz w:val="19"/>
                <w:szCs w:val="19"/>
                <w:color w:val="auto"/>
              </w:rPr>
            </w:pPr>
          </w:p>
        </w:tc>
      </w:tr>
      <w:tr>
        <w:trPr>
          <w:trHeight w:val="238"/>
        </w:trPr>
        <w:tc>
          <w:tcPr>
            <w:tcW w:w="3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56</w:t>
            </w:r>
          </w:p>
        </w:tc>
        <w:tc>
          <w:tcPr>
            <w:tcW w:w="24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5,961</w:t>
            </w:r>
          </w:p>
        </w:tc>
        <w:tc>
          <w:tcPr>
            <w:tcW w:w="20" w:type="dxa"/>
            <w:vAlign w:val="bottom"/>
          </w:tcPr>
          <w:p>
            <w:pPr>
              <w:spacing w:after="0"/>
              <w:rPr>
                <w:sz w:val="18"/>
                <w:szCs w:val="18"/>
                <w:color w:val="auto"/>
              </w:rPr>
            </w:pP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47,887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44,769</w:t>
            </w:r>
          </w:p>
        </w:tc>
        <w:tc>
          <w:tcPr>
            <w:tcW w:w="20" w:type="dxa"/>
            <w:vAlign w:val="bottom"/>
            <w:tcBorders>
              <w:bottom w:val="single" w:sz="8" w:color="auto"/>
            </w:tcBorders>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-2005330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-1731010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-1456690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-1165225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-882650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-607695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-325120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60" w:space="720"/>
            <w:col w:w="7760"/>
          </w:cols>
          <w:pgMar w:left="320" w:top="76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loan payable</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3,000</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4,414</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3,539</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3,113</w:t>
            </w:r>
          </w:p>
        </w:tc>
        <w:tc>
          <w:tcPr>
            <w:tcW w:w="6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4,763</w:t>
            </w: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503</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1,340</w:t>
            </w:r>
          </w:p>
        </w:tc>
        <w:tc>
          <w:tcPr>
            <w:tcW w:w="6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732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322</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6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2,860</w:t>
            </w:r>
          </w:p>
        </w:tc>
        <w:tc>
          <w:tcPr>
            <w:tcW w:w="6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w:t>
            </w:r>
          </w:p>
        </w:tc>
        <w:tc>
          <w:tcPr>
            <w:tcW w:w="6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73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3,229</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18"/>
                <w:szCs w:val="18"/>
                <w:color w:val="auto"/>
              </w:rPr>
            </w:pPr>
          </w:p>
        </w:tc>
      </w:tr>
      <w:tr>
        <w:trPr>
          <w:trHeight w:val="210"/>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15,599</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shd w:val="clear" w:color="auto" w:fill="CCEEFF"/>
          </w:tcPr>
          <w:p>
            <w:pPr>
              <w:spacing w:after="0"/>
              <w:rPr>
                <w:sz w:val="18"/>
                <w:szCs w:val="18"/>
                <w:color w:val="auto"/>
              </w:rPr>
            </w:pPr>
          </w:p>
        </w:tc>
      </w:tr>
      <w:tr>
        <w:trPr>
          <w:trHeight w:val="209"/>
        </w:trPr>
        <w:tc>
          <w:tcPr>
            <w:tcW w:w="7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6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142</w:t>
            </w:r>
          </w:p>
        </w:tc>
        <w:tc>
          <w:tcPr>
            <w:tcW w:w="6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60,266</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59,824</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6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4,041</w:t>
            </w:r>
          </w:p>
        </w:tc>
        <w:tc>
          <w:tcPr>
            <w:tcW w:w="6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w:t>
            </w: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w:t>
            </w:r>
          </w:p>
        </w:tc>
        <w:tc>
          <w:tcPr>
            <w:tcW w:w="6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(32,110)</w:t>
            </w:r>
          </w:p>
        </w:tc>
        <w:tc>
          <w:tcPr>
            <w:tcW w:w="6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(32,110)</w:t>
            </w:r>
          </w:p>
        </w:tc>
      </w:tr>
      <w:tr>
        <w:trPr>
          <w:trHeight w:val="210"/>
        </w:trPr>
        <w:tc>
          <w:tcPr>
            <w:tcW w:w="732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32,288</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47,887</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44,769</w:t>
            </w:r>
          </w:p>
        </w:tc>
        <w:tc>
          <w:tcPr>
            <w:tcW w:w="100" w:type="dxa"/>
            <w:vAlign w:val="bottom"/>
            <w:tcBorders>
              <w:bottom w:val="single" w:sz="8" w:color="CCEEFF"/>
            </w:tcBorders>
          </w:tcPr>
          <w:p>
            <w:pPr>
              <w:spacing w:after="0"/>
              <w:rPr>
                <w:sz w:val="22"/>
                <w:szCs w:val="22"/>
                <w:color w:val="auto"/>
              </w:rPr>
            </w:pPr>
          </w:p>
        </w:tc>
      </w:tr>
      <w:tr>
        <w:trPr>
          <w:trHeight w:val="196"/>
        </w:trPr>
        <w:tc>
          <w:tcPr>
            <w:tcW w:w="7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574"/>
        </w:trPr>
        <w:tc>
          <w:tcPr>
            <w:tcW w:w="7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type w:val="continuous"/>
        </w:sectPr>
      </w:pPr>
    </w:p>
    <w:bookmarkStart w:id="30" w:name="page31"/>
    <w:bookmarkEnd w:id="30"/>
    <w:p>
      <w:pPr>
        <w:jc w:val="center"/>
        <w:ind w:left="340" w:right="2440"/>
        <w:spacing w:after="0" w:line="259" w:lineRule="auto"/>
        <w:rPr>
          <w:sz w:val="20"/>
          <w:szCs w:val="20"/>
          <w:color w:val="auto"/>
        </w:rPr>
      </w:pPr>
      <w:r>
        <w:rPr>
          <w:rFonts w:ascii="Times New Roman" w:cs="Times New Roman" w:eastAsia="Times New Roman" w:hAnsi="Times New Roman"/>
          <w:sz w:val="18"/>
          <w:szCs w:val="18"/>
          <w:b w:val="1"/>
          <w:bCs w:val="1"/>
          <w:color w:val="auto"/>
        </w:rPr>
        <w:t>TRANSACT TECHNOLOGIES INCORPORATED RECONCILIATION OF NET INCOME TO EBITDA AND ADJUSTED EBITDA NON-GAAP FINANCIAL MEASURES</w:t>
      </w: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(Preliminary and Unaudited)</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554"/>
              <w:spacing w:after="0"/>
              <w:rPr>
                <w:sz w:val="20"/>
                <w:szCs w:val="20"/>
                <w:color w:val="auto"/>
              </w:rPr>
            </w:pPr>
            <w:r>
              <w:rPr>
                <w:rFonts w:ascii="Times New Roman" w:cs="Times New Roman" w:eastAsia="Times New Roman" w:hAnsi="Times New Roman"/>
                <w:sz w:val="18"/>
                <w:szCs w:val="18"/>
                <w:color w:val="auto"/>
                <w:w w:val="99"/>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gridSpan w:val="3"/>
          </w:tcPr>
          <w:p>
            <w:pPr>
              <w:jc w:val="center"/>
              <w:ind w:right="574"/>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766</w:t>
            </w:r>
          </w:p>
        </w:tc>
        <w:tc>
          <w:tcPr>
            <w:tcW w:w="11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w:t>
            </w: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1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158</w:t>
            </w:r>
          </w:p>
        </w:tc>
        <w:tc>
          <w:tcPr>
            <w:tcW w:w="1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881</w:t>
            </w: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511</w:t>
            </w:r>
          </w:p>
        </w:tc>
        <w:tc>
          <w:tcPr>
            <w:tcW w:w="1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1,392</w:t>
            </w:r>
          </w:p>
        </w:tc>
        <w:tc>
          <w:tcPr>
            <w:tcW w:w="11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771"/>
        </w:trPr>
        <w:tc>
          <w:tcPr>
            <w:tcW w:w="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150495</wp:posOffset>
            </wp:positionV>
            <wp:extent cx="2631440" cy="685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14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Appoints Robert Campbell as Next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Long-time Chief Financial Officer Steven DeMartino to Retire</w:t>
      </w:r>
    </w:p>
    <w:p>
      <w:pPr>
        <w:spacing w:after="0" w:line="2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Leadership Transition Continues to Support Focus on Recurring Revenue Growth</w:t>
      </w:r>
    </w:p>
    <w:p>
      <w:pPr>
        <w:spacing w:after="0" w:line="2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HAMDEN, CT – May 8, 2026 – TransAct Technologies Incorporated (Nasdaq: TACT) (“TransAct” or the “Company”), a leading provider of cloud-based software and integrated hardware solutions, today announced the appointment of Robert Campbell as Chief Financial Officer, effective upon the June 30, 2026 retirement of long-time Chief Financial Officer, Steven A. DeMartino.</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Mr. DeMartino, who serves as President, Chief Financial Officer, Secretary and Treasurer of the Company, will retire following almost 30 years of service to TransAct. Upon Mr. DeMartino’s retirement, Mr. Campbell will take over as Chief Financial Officer, Secretary and Treasurer, and John Dillon, the Company’s Chief Executive Officer, will assume the title of President of the Company. Mr. DeMartino will remain in an advisory role through the end of the year to support a seamless transition.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TransAct announced that William J. DeFrances, the Company’s Principal Accounting Officer, will retire later this year. As part of a planned succession ahead of Mr. DeFrances’ retirement, Mr. Campbell has been named Principal Accounting Officer, effective immediately. Mr. DeFrances will continue to serve as an advisor after his retirement to help ensure a smooth transition.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Campbell has more than 25 years of financial leadership experience across publicly traded and privately held global manufacturing organizations. He has served as the Company’s Controller since June 2022, playing a key role in strengthening financial operations, enhancing reporting and internal controls, and supporting TransAct’s transition toward a recurring revenue model. Prior to joining TransAct, Mr. Campbell held senior finance leadership roles at Lydall, Inc., including Director of Global Treasury and Director of Corporate Accounting, where he was responsible for global treasury operations, SEC reporting, financial consolidations, and capital structure management. Earlier in his career, Mr. Campbell held finance and accounting leadership positions with Fischer Technology Inc., Axsys Technologies, Inc., and other organizations. Mr. Campbell began his career in public accounting and holds a B.S. in Accounting from Central Connecticut State University.</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we continue to expand ARR and build a more predictable, higher-margin revenue stream, strong financial leadership will be critical to enable our strategy,” said John Dillon, Chief Executive Officer of TransAct Technologies. “Bob’s promotion comes at an important time, as we continue to scale our BOHA! cloud-based SaaS platform and strengthen our recurring revenue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ind w:right="160"/>
        <w:spacing w:after="0" w:line="282" w:lineRule="auto"/>
        <w:rPr>
          <w:sz w:val="20"/>
          <w:szCs w:val="20"/>
          <w:color w:val="auto"/>
        </w:rPr>
      </w:pPr>
      <w:r>
        <w:rPr>
          <w:rFonts w:ascii="Times New Roman" w:cs="Times New Roman" w:eastAsia="Times New Roman" w:hAnsi="Times New Roman"/>
          <w:sz w:val="18"/>
          <w:szCs w:val="18"/>
          <w:color w:val="auto"/>
        </w:rPr>
        <w:t>Mr. Dillon added, “Bob’s deep knowledge of our business and financial operations positions him well to support our next phase of growth and maintain a disciplined approach to stockholder value creation.”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am honored to step into the role of Chief Financial Officer at this pivotal time for TransAct,” said Mr. Campbell. “We have a strong financial foundation and a compelling opportunity to continue scaling our BOHA! cloud-based SaaS platform. I look forward to supporting TransAct’s further growth and development in both the Food Service Technology and Casino and Gaming markets.”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has been an honor to guide and serve TransAct during the entirety of its public company life since its IPO in 1996," said Steven DeMartino. "I want to thank TransAct’s employees, Board of Directors, and stockholders for trusting and supporting me throughout my nearly 30-year career at TransAct. I am proud of what we have accomplished to date and, as a stockholder, am supportive of the Company’s strategic direction. Long term, I believe TransAct has a large and growing opportunity in front of it.”</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Mr. DeMartino continued, “Over the past 30 years, I have helped build a strong financial foundation and leave TransAct well positioned for continued success with a strong balance sheet and financial processes in place. I look forward to following TransAct’s progress in my next chapter."</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Mr. Dillon stated, “On behalf of the Board and the entire TransAct team, I want to thank Steve for his leadership and lasting contributions over the past three decades. His stewardship has been instrumental in building and sustaining a strong financial foundation and guiding TransAct through multiple phases of growth and transformation.”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TransAct Technologies Incorporated</w:t>
      </w:r>
    </w:p>
    <w:p>
      <w:pPr>
        <w:spacing w:after="0" w:line="22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TransAct Technologies Incorporated is a leading provider of cloud-based software and integrated hardware solutions that redefine how organizations connect operations, technology and data to drive measurable business value. Through its BOHA!® solutions, serving over 19,000 foodservice locations worldwide, TransAct combines purpose-built hardware with a cloud-based SaaS platform to help foodservice operators automate food safety, improve operational efficiency and maintain trusted brand relevance. In the casino and gaming market, TransAct’s award-winning EPIC solutions enable ticket-in/ticket-out (TITO) functionality and advanced promotional capabilities that enhance player engagement and drive revenue for operators</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globally.  TransAct also provides a comprehensive portfolio of consumables and service solutions, allowing customers to simplify operations and partner with a single, trusted provider across their technology ecosystem.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 is headquartered in Hamden, CT. For more information, please visit </w:t>
      </w:r>
      <w:r>
        <w:rPr>
          <w:rFonts w:ascii="Times New Roman" w:cs="Times New Roman" w:eastAsia="Times New Roman" w:hAnsi="Times New Roman"/>
          <w:sz w:val="18"/>
          <w:szCs w:val="18"/>
          <w:color w:val="0563C1"/>
        </w:rPr>
        <w:t>transact-tech.com</w:t>
      </w:r>
      <w:r>
        <w:rPr>
          <w:rFonts w:ascii="Times New Roman" w:cs="Times New Roman" w:eastAsia="Times New Roman" w:hAnsi="Times New Roman"/>
          <w:sz w:val="18"/>
          <w:szCs w:val="18"/>
          <w:color w:val="auto"/>
        </w:rPr>
        <w:t> or call (203) 859-6800.</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©2026 TRANSACT Technologies Incorporated. All rights reserved. TransAct® and BOHA!® are registered trademarks of TransAct Technologies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 Important factors and uncertainties that could cause actual results to differ materially from those expressed or implied by the forward-looking statements include, but are not limited to, the following: the adverse effects of current economic conditions on our business, operations, financial condition, results of operations and capital resources; our ability to achieve the anticipated benefits of our acquisition of a licensed copy of the source code for the BOHA! software and risks to our reputation and business relating to the source code transition; our ability to successfully transition the BOHA! source code to our platform and systems and, until such transition is complete, our continued reliance on third parties to host and support our food service technology offerings; difficulties or delays in manufacturing or delivery of inventory or other supply chain disruptions; our dependence on a single contract manufacturer for the assembly of a large portion of our products in Asia; the imposition of additional duties, tariffs, quotas, taxes, trade barriers, capital flow restrictions and other charges on imports and exports by the United States or the governments of the countries in which we or our manufacturers and suppliers operate; the Russia/Ukraine and Middle East conflicts; inadequate manufacturing capacity or a shortfall or excess of inventory as a result of difficulty in predicting manufacturing requirements due to volatile economic conditions; price increases, decreased availability of third-party component parts or raw materials at reasonable prices, price wars or significant pricing pressures affecting the Company’s products in the United States or abroad; increased product costs or reduced customer demand for our products in the United States or abroad, including as a result of trade wars, tariffs or other trade actions; our ability to successfully develop new products that garner customer acceptance and generate sales, both domestically and internationally, in the face of substantial competition; any system outages, interruptions or other disruptions to our software applications, including as a result of unexpected errors or mistakes in connection with over-the-air updates; our ability to successfully grow our business in the food service technology market; renewal rates for our subscription-based products; risks associated with the pursuit of strategic initiatives and business growth; our dependence on significant suppliers; our ability to recruit and retain quality employees; our dependence on third parties for sales outside the United States; marketplace acceptance of new products; risks associated with foreign operations; political and policy uncertainties and any adverse economic impacts resulting from such uncertainties; our ability to protect intellectual property; exchange rate fluctuations; the availability of needed financing on acceptable terms or at all; volatility of, and decreases in, trading prices of our common stock; and other risk factors identified and discussed in the Company’s Annual Report on Form 10-K for the year ended December 31, 2025, and other reports filed with the Securities and Exchange Commission. We caution readers not to place undue reliance on forward-looking statements, which speak only as of the date of this release. We undertake no obligation to publicly or otherwise revise any forward-looking statements, whether as a result of new information, future events or other factors, except where we are expressly required to do so by applicable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Gardella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Ryan.Gardella@icrinc.com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38"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150495</wp:posOffset>
            </wp:positionV>
            <wp:extent cx="2631440" cy="685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314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TransAct Technologies Announces Share Repurchase Program</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Board-Authorized $3 Million Program Approved for One Year</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HAMDEN, CT – May 12, 2026 – TransAct Technologies Incorporated (Nasdaq: TACT) (“TransAct” or the “Company”), a leading provider of cloud-based software and integrated hardware solutions, today announced that its Board of Directors has authorized a share repurchase program of up to $3 million of the Company’s outstanding common stock over the next 12 months.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authorization reflects TransAct’s continued confidence in its strategic direction, strong balance sheet, and long-term growth opportunities, driven by the BOHA!® platform’s recurring revenue model and strengthened by TransAct’s EPIC line of casino and gaming printing solutions.</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believe our current share price does not fully reflect the strength or value of our business, particularly the long-term growth and recurring revenue potential of our BOHA! solutions,” said John Dillon, Chief Executive Officer of TransAct. “As we continue to scale BOHA!, we are building a more predictable, higher-margin revenue stream driven by ARR, which we believe will create meaningful long-term stockholder value. This share repurchase program underscores our commitment to disciplined capital allocation—balancing investment in growth, customer acquisition, and platform expansion with returning capital to stockholders.”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TransAct intends to execute repurchases opportunistically, considering market conditions, share price, and alternative uses of capital. Repurchases may be made from time to time in the open market, through privately negotiated transactions, or by other means in accordance with applicable securities laws.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Mr. Dillon added, “With improving visibility into recurring revenue streams from BOHA! and continued operational efficiencies, we are well positioned to generate sustainable cash flow and deploy capital in a way that maximizes long-term stockholder returns.”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share repurchase program does not obligate the Company to acquire any specific number of shares and may be modified, suspended, or discontinued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About TransAct Technologies Incorporated</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TransAct Technologies Incorporated is a leading provider of cloud-based software and integrated hardware solutions that redefine how organizations connect operations, technology and data to drive measurable business value. Through its BOHA!® solutions, serving over 19,000 foodservice locations worldwide, TransAct combines purpose-built hardware with a cloud-based SaaS platform to help foodservice operators automate food safety, improve operational efficiency and maintain trusted brand relevance. In the casino and gaming market, TransAct’s award-winning EPIC solutions enable ticket-in/ticket-out (TITO) functionality and advanced promotional capabilities that enhance player engagement and drive revenue for</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operators globally. TransAct also provides a comprehensive portfolio of consumables and service solutions, allowing customers to simplify operations and partner with a single, trusted provider across their technology ecosystem.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 is headquartered in Hamden, CT. For more information, please visit transact-tech.com or call (203) 859-6800.</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©2026 TRANSACT Technologies Incorporated. All rights reserved. TransAct® and BOHA!® are registered trademarks of TransAct Technologies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38"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 Important factors and uncertainties that could cause actual results to differ materially from those expressed or implied by the forward-looking statements include, but are not limited to, the following: the adverse effects of current economic conditions on our business, operations, financial condition, results of operations and capital resources; our ability to achieve the anticipated benefits of our acquisition of a licensed copy of the source code for the BOHA! software and risks to our reputation and business relating to the source code transition; our ability to successfully transition the BOHA! source code to our platform and systems and, until such transition is complete, our continued reliance on third parties to host and support our FST offerings; difficulties or delays in manufacturing or delivery of inventory or other supply chain disruptions; our dependence on a single contract manufacturer for the assembly of a large portion of our products in Asia; the imposition of additional duties, tariffs, quotas, taxes, trade barriers, capital flow restrictions and other charges on imports and exports by the United States or the governments of the countries in which we or our manufacturers and suppliers operate; the Russia/Ukraine and Middle East conflicts; inadequate manufacturing capacity or a shortfall or excess of inventory as a result of difficulty in predicting manufacturing requirements due to volatile economic conditions; price increases, decreased availability of third-party component parts or raw materials at reasonable prices, price wars or significant pricing pressures affecting the Company’s products in the United States or abroad; increased product costs or reduced customer demand for our products in the United States or abroad, including as a result of trade wars, tariffs or other trade actions; our ability to successfully develop new products that garner customer acceptance and generate sales, both domestically and internationally, in the face of substantial competition; any system outages, interruptions or other disruptions to our software applications, including as a result of unexpected errors or mistakes in connection with over-the-air updates; our ability to successfully grow our business in the food service technology market; renewal rates for our subscription-based products; risks associated with the pursuit of strategic initiatives and business growth; our dependence on significant suppliers; our ability to recruit and retain quality employees; our dependence on third parties for sales outside the United States; marketplace acceptance of new products; risks associated with foreign operations; political and policy uncertainties and any adverse economic impacts resulting from such uncertainties; our ability to protect intellectual property; exchange rate fluctuations; the availability of needed financing on acceptable terms or at all; volatility of, and decreases in, trading prices of our common stock; and other risk factors identified and discussed in the Company’s Annual Report on Form 10-K for the year ended December 31, 2025, and other reports filed with the Securities and Exchange Commission. We caution readers not to place undue reliance on forward-looking statements, which speak only as of the date of this release. We undertake no obligation to publicly or otherwise revise any forward-looking statements, whether as a result of new information, future events or other factors, except where we are expressly required to do so by applicable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Gardella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Ryan.Gardella@icrinc.com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3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Roman"/>
      <w:start w:val="4"/>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1"/>
      <w:numFmt w:val="decimal"/>
      <w:start w:val="1"/>
    </w:lvl>
    <w:lvl w:ilvl="1">
      <w:lvlJc w:val="left"/>
      <w:lvlText w:val="(%2)"/>
      <w:numFmt w:val="lowerLetter"/>
      <w:start w:val="2"/>
    </w:lvl>
  </w:abstractNum>
  <w:abstractNum w:abstractNumId="5">
    <w:nsid w:val="12200854"/>
    <w:multiLevelType w:val="hybridMultilevel"/>
    <w:lvl w:ilvl="0">
      <w:lvlJc w:val="left"/>
      <w:lvlText w:val="%1."/>
      <w:numFmt w:val="decimal"/>
      <w:start w:val="5"/>
    </w:lvl>
    <w:lvl w:ilvl="1">
      <w:lvlJc w:val="left"/>
      <w:lvlText w:val="(%2)"/>
      <w:numFmt w:val="lowerLetter"/>
      <w:start w:val="2"/>
    </w:lvl>
  </w:abstractNum>
  <w:abstractNum w:abstractNumId="6">
    <w:nsid w:val="4DB127F8"/>
    <w:multiLevelType w:val="hybridMultilevel"/>
    <w:lvl w:ilvl="0">
      <w:lvlJc w:val="left"/>
      <w:lvlText w:val="%1."/>
      <w:numFmt w:val="decimal"/>
      <w:start w:val="7"/>
    </w:lvl>
    <w:lvl w:ilvl="1">
      <w:lvlJc w:val="left"/>
      <w:lvlText w:val="%2."/>
      <w:numFmt w:val="decimal"/>
      <w:start w:val="8"/>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decimal"/>
      <w:start w:val="11"/>
    </w:lvl>
    <w:lvl w:ilvl="1">
      <w:lvlJc w:val="left"/>
      <w:lvlText w:val="%2."/>
      <w:numFmt w:val="decimal"/>
      <w:start w:val="13"/>
    </w:lvl>
  </w:abstractNum>
  <w:abstractNum w:abstractNumId="9">
    <w:nsid w:val="1190CDE7"/>
    <w:multiLevelType w:val="hybridMultilevel"/>
    <w:lvl w:ilvl="0">
      <w:lvlJc w:val="left"/>
      <w:lvlText w:val="%1."/>
      <w:numFmt w:val="decimal"/>
      <w:start w:val="16"/>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2026-05-12T15:40:43Z</dcterms:created>
  <dcterms:modified xsi:type="dcterms:W3CDTF">2026-05-12T15:40:43Z</dcterms:modified>
</cp:coreProperties>
</file>