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TRANSACT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Bryant R. Riley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BRC Group Holdings, Inc.,, 11100 Santa Monica Boulevard, Suite 800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Los Angeles, CA, 90025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(818) 884-3737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BRC Group Holdings,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100,010.00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100,010.00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100,010.00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0.97 %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HC</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Percent of class is calculated based on 10,276,279 shares of common stock, par value $0.01 (the "Common Stock"),</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of TransAct Technologies, Inc. (the "Issuer") outstanding as of April 30, 2026, as reported by the Issuer in its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Quarterly Report on Form 10-Q filed with the U.S. Securities and Exchange Commission (the "SEC") on May 13,</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2026 (the "10-Q").</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BRF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22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Percent of class is calculated based on 10,276,279 shares of Common Stock of the Issuer outstanding as</w:t>
            </w:r>
          </w:p>
        </w:tc>
      </w:tr>
      <w:tr>
        <w:trPr>
          <w:trHeight w:val="292"/>
        </w:trPr>
        <w:tc>
          <w:tcPr>
            <w:tcW w:w="2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2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of April 30, 2026, as reported by the Issuer in the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 Riley Securities,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100,010.00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100,010.00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100,010.00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0.97 %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0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BD</w:t>
            </w:r>
          </w:p>
        </w:tc>
        <w:tc>
          <w:tcPr>
            <w:tcW w:w="9220" w:type="dxa"/>
            <w:vAlign w:val="bottom"/>
          </w:tcPr>
          <w:p>
            <w:pPr>
              <w:spacing w:after="0"/>
              <w:rPr>
                <w:sz w:val="24"/>
                <w:szCs w:val="24"/>
                <w:color w:val="auto"/>
              </w:rPr>
            </w:pPr>
          </w:p>
        </w:tc>
      </w:tr>
      <w:tr>
        <w:trPr>
          <w:trHeight w:val="453"/>
        </w:trPr>
        <w:tc>
          <w:tcPr>
            <w:tcW w:w="2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22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Percent of class is calculated based on 10,276,279 shares of Common Stock of the Issuer outstanding as</w:t>
            </w:r>
          </w:p>
        </w:tc>
      </w:tr>
      <w:tr>
        <w:trPr>
          <w:trHeight w:val="292"/>
        </w:trPr>
        <w:tc>
          <w:tcPr>
            <w:tcW w:w="2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2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of April 30, 2026, as reported by the Issuer in the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Bryant R. Riley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2" w:right="3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100,010.00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100,010.00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0.97 %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0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IN</w:t>
            </w:r>
          </w:p>
        </w:tc>
        <w:tc>
          <w:tcPr>
            <w:tcW w:w="9220" w:type="dxa"/>
            <w:vAlign w:val="bottom"/>
          </w:tcPr>
          <w:p>
            <w:pPr>
              <w:spacing w:after="0"/>
              <w:rPr>
                <w:sz w:val="24"/>
                <w:szCs w:val="24"/>
                <w:color w:val="auto"/>
              </w:rPr>
            </w:pPr>
          </w:p>
        </w:tc>
      </w:tr>
      <w:tr>
        <w:trPr>
          <w:trHeight w:val="453"/>
        </w:trPr>
        <w:tc>
          <w:tcPr>
            <w:tcW w:w="2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22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Percent of class is calculated based on 10,276,279 shares of Common Stock of the Issuer outstanding as</w:t>
            </w:r>
          </w:p>
        </w:tc>
      </w:tr>
      <w:tr>
        <w:trPr>
          <w:trHeight w:val="292"/>
        </w:trPr>
        <w:tc>
          <w:tcPr>
            <w:tcW w:w="2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2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of April 30, 2026, as reported by the Issuer in the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TRANSACT TECHNOLOGIES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One Hamden Center, 2319 Whitney Avenue, Suite 3B, Hamden, CONNECTICUT , 06518.</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amends and supplements the Schedule 13D filed with the U.S. Securities and Exchange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Commission (the "SEC") on April 6, 2022, as amended by Amendment No. 1 filed with the SEC on April 14, 2022,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amended by Amendment No. 2 filed with the SEC on May 13, 2022, as amended by Amendment No. 3 filed with the SEC on October 11, 2022, as amended by Amendment No. 4 filed with the SEC on November 14, 2024, as amended by Amendment No. 5 filed with the SEC on April 2, 2025 and as amended by Amendment No. 6 filed with the SEC on September 2, 2025 (as so amended, the "Schedule 13D"), relating to the Common Stock, par value $0.01 per share (the "Common Stock"), of TransAct Technologies, Incorporated, a Delaware corporation (the "Issuer" or "Company"). Except as set forth herein, the Schedule 13D is unmodified and remains in full force and effect. Each</w:t>
      </w:r>
    </w:p>
    <w:p>
      <w:pPr>
        <w:spacing w:after="0" w:line="4" w:lineRule="exact"/>
        <w:rPr>
          <w:sz w:val="20"/>
          <w:szCs w:val="20"/>
          <w:color w:val="auto"/>
        </w:rPr>
      </w:pPr>
    </w:p>
    <w:p>
      <w:pPr>
        <w:ind w:left="40" w:right="1220" w:firstLine="952"/>
        <w:spacing w:after="0" w:line="270" w:lineRule="auto"/>
        <w:rPr>
          <w:sz w:val="20"/>
          <w:szCs w:val="20"/>
          <w:color w:val="auto"/>
        </w:rPr>
      </w:pPr>
      <w:r>
        <w:rPr>
          <w:rFonts w:ascii="Times New Roman" w:cs="Times New Roman" w:eastAsia="Times New Roman" w:hAnsi="Times New Roman"/>
          <w:sz w:val="22"/>
          <w:szCs w:val="22"/>
          <w:color w:val="auto"/>
        </w:rPr>
        <w:t>capitalized term used but not defined herein has the meaning ascribed to such term in the Schedule 13D. Item 5. Interest in Securities of the Issuer</w:t>
      </w:r>
    </w:p>
    <w:p>
      <w:pPr>
        <w:spacing w:after="0" w:line="1" w:lineRule="exact"/>
        <w:rPr>
          <w:sz w:val="20"/>
          <w:szCs w:val="20"/>
          <w:color w:val="auto"/>
        </w:rPr>
      </w:pPr>
    </w:p>
    <w:p>
      <w:pPr>
        <w:ind w:left="960" w:right="280" w:firstLine="6"/>
        <w:spacing w:after="0" w:line="249" w:lineRule="auto"/>
        <w:tabs>
          <w:tab w:leader="none" w:pos="117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BRF Investments, LLC ("BRFI") has ceased to be the beneficial owner of shares of the Issuer's Common Stock. 2. As of the date hereof, B. Riley Securities, Inc. ("BRS") beneficially owned directly 100,010 shares of Common Stock, representing 0.97% of the Issuer's Common Stock. BRS is an indirect subsidiary</w:t>
      </w:r>
    </w:p>
    <w:p>
      <w:pPr>
        <w:spacing w:after="0" w:line="1" w:lineRule="exact"/>
        <w:rPr>
          <w:rFonts w:ascii="Times New Roman" w:cs="Times New Roman" w:eastAsia="Times New Roman" w:hAnsi="Times New Roman"/>
          <w:sz w:val="21"/>
          <w:szCs w:val="21"/>
          <w:color w:val="auto"/>
        </w:rPr>
      </w:pPr>
    </w:p>
    <w:p>
      <w:pPr>
        <w:ind w:left="960" w:hanging="912"/>
        <w:spacing w:after="0" w:line="230"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BRC Group Holdings, Inc. ("BRC"). BRC may be deemed to indirectly beneficially own the Shares held by BRS.</w:t>
      </w:r>
    </w:p>
    <w:p>
      <w:pPr>
        <w:ind w:left="960" w:right="280" w:firstLine="6"/>
        <w:spacing w:after="0" w:line="235" w:lineRule="auto"/>
        <w:tabs>
          <w:tab w:leader="none" w:pos="117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Bryant R. Riley may beneficially own 100,010 shares of Common Stock, representing 0.97% of the Issuer's Common Stock outstanding and held directly by BRS. Bryant R. Riley disclaims beneficial ownership of the shares held by BRS except to the extent of his pecuniary interest therein.</w:t>
      </w:r>
    </w:p>
    <w:p>
      <w:pPr>
        <w:spacing w:after="0" w:line="15"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pages to this Amendment is incorporated by reference herein.</w:t>
      </w:r>
    </w:p>
    <w:p>
      <w:pPr>
        <w:spacing w:after="0" w:line="44" w:lineRule="exact"/>
        <w:rPr>
          <w:rFonts w:ascii="Times New Roman" w:cs="Times New Roman" w:eastAsia="Times New Roman" w:hAnsi="Times New Roman"/>
          <w:sz w:val="22"/>
          <w:szCs w:val="22"/>
          <w:color w:val="auto"/>
        </w:rPr>
      </w:pPr>
    </w:p>
    <w:p>
      <w:pPr>
        <w:ind w:left="960" w:right="28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for the transactions described in Schedule A of this Amendment, the Reporting Persons have not engaged in any transaction during the past 60 days involving the Common Stock of the Issuer.</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May 22, 2026, the Reporting Persons collectively beneficially own less than 5.0% of the Issuer's outstanding</w:t>
      </w:r>
    </w:p>
    <w:p>
      <w:pPr>
        <w:spacing w:after="0" w:line="14" w:lineRule="exact"/>
        <w:rPr>
          <w:rFonts w:ascii="Times New Roman" w:cs="Times New Roman" w:eastAsia="Times New Roman" w:hAnsi="Times New Roman"/>
          <w:sz w:val="22"/>
          <w:szCs w:val="22"/>
          <w:color w:val="auto"/>
        </w:rPr>
      </w:pPr>
    </w:p>
    <w:p>
      <w:pPr>
        <w:ind w:left="960" w:right="80" w:hanging="912"/>
        <w:spacing w:after="0" w:line="256" w:lineRule="auto"/>
        <w:tabs>
          <w:tab w:leader="none" w:pos="9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Accordingly, this Amendment No. 7 constitutes the final amendment to the Schedule 13D on behalf of the Reporting Persons, and the reporting obligations of the Reporting Persons under Section 13(d) have terminated.</w:t>
      </w:r>
    </w:p>
    <w:p>
      <w:pPr>
        <w:spacing w:after="0" w:line="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A Transactions within the Past 60 Days of BRFI</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BRC Group Holdings, Inc.</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Bryant Riley</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Bryant Riley/Co-Chief Executive Officer</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BRF Investments, LLC</w:t>
      </w:r>
    </w:p>
    <w:p>
      <w:pPr>
        <w:spacing w:after="0" w:line="152" w:lineRule="exact"/>
        <w:rPr>
          <w:sz w:val="20"/>
          <w:szCs w:val="20"/>
          <w:color w:val="auto"/>
        </w:rPr>
      </w:pPr>
    </w:p>
    <w:p>
      <w:pPr>
        <w:jc w:val="center"/>
        <w:ind w:right="60"/>
        <w:spacing w:after="0"/>
        <w:tabs>
          <w:tab w:leader="none" w:pos="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Bryant Riley</w:t>
      </w:r>
    </w:p>
    <w:p>
      <w:pPr>
        <w:sectPr>
          <w:pgSz w:w="11900" w:h="16838" w:orient="portrait"/>
          <w:cols w:equalWidth="0" w:num="1">
            <w:col w:w="11240"/>
          </w:cols>
          <w:pgMar w:left="320" w:top="355" w:right="339" w:bottom="0" w:gutter="0" w:footer="0" w:header="0"/>
        </w:sectPr>
      </w:pPr>
    </w:p>
    <w:bookmarkStart w:id="5" w:name="page6"/>
    <w:bookmarkEnd w:id="5"/>
    <w:p>
      <w:pPr>
        <w:ind w:left="3240"/>
        <w:spacing w:after="0"/>
        <w:rPr>
          <w:sz w:val="20"/>
          <w:szCs w:val="20"/>
          <w:color w:val="auto"/>
        </w:rPr>
      </w:pPr>
      <w:r>
        <w:rPr>
          <w:rFonts w:ascii="Times New Roman" w:cs="Times New Roman" w:eastAsia="Times New Roman" w:hAnsi="Times New Roman"/>
          <w:sz w:val="22"/>
          <w:szCs w:val="22"/>
          <w:color w:val="auto"/>
        </w:rPr>
        <w:t>Name/Title: Bryant Riley/Authorized Signatory</w:t>
      </w:r>
    </w:p>
    <w:p>
      <w:pPr>
        <w:spacing w:after="0" w:line="45"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B. Riley Securities, Inc.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Frank Pigott</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Name/Title: Frank Pigott/General Counsel and Secretary</w:t>
      </w:r>
    </w:p>
    <w:p>
      <w:pPr>
        <w:spacing w:after="0" w:line="56"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Bryant R. Riley</w:t>
      </w:r>
    </w:p>
    <w:p>
      <w:pPr>
        <w:spacing w:after="0" w:line="152"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Bryant R. Riley</w:t>
      </w:r>
    </w:p>
    <w:p>
      <w:pPr>
        <w:spacing w:after="0" w:line="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Name/Title: Bryant R. Riley</w:t>
      </w:r>
    </w:p>
    <w:p>
      <w:pPr>
        <w:spacing w:after="0" w:line="44" w:lineRule="exact"/>
        <w:rPr>
          <w:sz w:val="20"/>
          <w:szCs w:val="20"/>
          <w:color w:val="auto"/>
        </w:rPr>
      </w:pPr>
    </w:p>
    <w:p>
      <w:pPr>
        <w:ind w:left="182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ectPr>
          <w:pgSz w:w="11900" w:h="16838" w:orient="portrait"/>
          <w:cols w:equalWidth="0" w:num="1">
            <w:col w:w="9019"/>
          </w:cols>
          <w:pgMar w:left="1440" w:top="11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2540" w:type="dxa"/>
            <w:vAlign w:val="bottom"/>
          </w:tcPr>
          <w:p>
            <w:pPr>
              <w:spacing w:after="0"/>
              <w:rPr>
                <w:sz w:val="24"/>
                <w:szCs w:val="24"/>
                <w:color w:val="auto"/>
              </w:rPr>
            </w:pPr>
          </w:p>
        </w:tc>
        <w:tc>
          <w:tcPr>
            <w:tcW w:w="5140" w:type="dxa"/>
            <w:vAlign w:val="bottom"/>
            <w:gridSpan w:val="6"/>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Transactions within the Past 60 Days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0"/>
        </w:trPr>
        <w:tc>
          <w:tcPr>
            <w:tcW w:w="2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2240" w:type="dxa"/>
            <w:vAlign w:val="bottom"/>
          </w:tcPr>
          <w:p>
            <w:pPr>
              <w:spacing w:after="0"/>
              <w:rPr>
                <w:sz w:val="24"/>
                <w:szCs w:val="24"/>
                <w:color w:val="auto"/>
              </w:rPr>
            </w:pPr>
          </w:p>
        </w:tc>
      </w:tr>
      <w:tr>
        <w:trPr>
          <w:trHeight w:val="216"/>
        </w:trPr>
        <w:tc>
          <w:tcPr>
            <w:tcW w:w="2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Share of</w:t>
            </w:r>
          </w:p>
        </w:tc>
        <w:tc>
          <w:tcPr>
            <w:tcW w:w="22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240" w:type="dxa"/>
            <w:vAlign w:val="bottom"/>
          </w:tcPr>
          <w:p>
            <w:pPr>
              <w:spacing w:after="0"/>
              <w:rPr>
                <w:sz w:val="18"/>
                <w:szCs w:val="18"/>
                <w:color w:val="auto"/>
              </w:rPr>
            </w:pPr>
          </w:p>
        </w:tc>
      </w:tr>
      <w:tr>
        <w:trPr>
          <w:trHeight w:val="245"/>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 Person</w:t>
            </w:r>
          </w:p>
        </w:tc>
      </w:tr>
      <w:tr>
        <w:trPr>
          <w:trHeight w:val="216"/>
        </w:trPr>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5/21/2026</w:t>
            </w:r>
          </w:p>
        </w:tc>
        <w:tc>
          <w:tcPr>
            <w:tcW w:w="2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445,802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3.7300</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BRF Investments, LLC</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lvl w:ilvl="1">
      <w:lvlJc w:val="left"/>
      <w:lvlText w:val="%2."/>
      <w:numFmt w:val="decimal"/>
      <w:start w:val="1"/>
    </w:lvl>
  </w:abstractNum>
  <w:abstractNum w:abstractNumId="7">
    <w:nsid w:val="7545E146"/>
    <w:multiLevelType w:val="hybridMultilevel"/>
    <w:lvl w:ilvl="0">
      <w:lvlJc w:val="left"/>
      <w:lvlText w:val="(%1)"/>
      <w:numFmt w:val="lowerLetter"/>
      <w:start w:val="1"/>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2026-05-27T16:47:53Z</dcterms:created>
  <dcterms:modified xsi:type="dcterms:W3CDTF">2026-05-27T16:47:53Z</dcterms:modified>
</cp:coreProperties>
</file>