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1899285</wp:posOffset>
            </wp:positionH>
            <wp:positionV relativeFrom="paragraph">
              <wp:posOffset>156845</wp:posOffset>
            </wp:positionV>
            <wp:extent cx="3351530" cy="8147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51530" cy="8147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TransAct Technologies Incorporated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799" w:right="339" w:bottom="1440" w:gutter="0" w:footer="0" w:header="0"/>
        </w:sectPr>
      </w:pPr>
    </w:p>
    <w:p>
      <w:pPr>
        <w:spacing w:after="0" w:line="200" w:lineRule="exact"/>
        <w:rPr>
          <w:sz w:val="24"/>
          <w:szCs w:val="24"/>
          <w:color w:val="auto"/>
        </w:rPr>
      </w:pPr>
    </w:p>
    <w:p>
      <w:pPr>
        <w:spacing w:after="0" w:line="21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0-21121</w:t>
      </w:r>
    </w:p>
    <w:p>
      <w:pPr>
        <w:spacing w:after="0" w:line="3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06-1456680</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799" w:right="339" w:bottom="1440" w:gutter="0" w:footer="0" w:header="0"/>
          <w:type w:val="continuous"/>
        </w:sectPr>
      </w:pPr>
    </w:p>
    <w:p>
      <w:pPr>
        <w:spacing w:after="0" w:line="14"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One Hamden Center</w:t>
      </w:r>
    </w:p>
    <w:p>
      <w:pPr>
        <w:spacing w:after="0" w:line="31"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7"/>
          <w:szCs w:val="17"/>
          <w:b w:val="1"/>
          <w:bCs w:val="1"/>
          <w:color w:val="auto"/>
        </w:rPr>
        <w:t>2319 Whitney Ave, Suite 3B, Hamden, CT</w:t>
      </w:r>
    </w:p>
    <w:p>
      <w:pPr>
        <w:spacing w:after="0" w:line="21"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06518</w:t>
      </w:r>
    </w:p>
    <w:p>
      <w:pPr>
        <w:spacing w:after="0" w:line="31"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11" w:lineRule="exact"/>
        <w:rPr>
          <w:sz w:val="24"/>
          <w:szCs w:val="24"/>
          <w:color w:val="auto"/>
        </w:rPr>
      </w:pPr>
    </w:p>
    <w:p>
      <w:pPr>
        <w:sectPr>
          <w:pgSz w:w="11900" w:h="16838" w:orient="portrait"/>
          <w:cols w:equalWidth="0" w:num="2">
            <w:col w:w="7300" w:space="720"/>
            <w:col w:w="3220"/>
          </w:cols>
          <w:pgMar w:left="320" w:top="799"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(203) 859-6800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 Not applicable</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209"/>
        </w:trPr>
        <w:tc>
          <w:tcPr>
            <w:tcW w:w="3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1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$.01 per share</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TACT</w:t>
            </w:r>
          </w:p>
        </w:tc>
        <w:tc>
          <w:tcPr>
            <w:tcW w:w="4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8"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98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9"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26, 2026, TransAct Technologies Incorporated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held its 2026 Annual Meeting of Stockholders (the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At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Meeting, the Company’s stockholders voted on the following proposals: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1: Election of Directors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elect John M. Dillon as director of the Company to serve until the 2027 Annual Meeting of Stockholders and until the director’s successor has been duly elected and qualified: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780" w:type="dxa"/>
            <w:vAlign w:val="bottom"/>
          </w:tcPr>
          <w:p>
            <w:pPr>
              <w:spacing w:after="0"/>
              <w:rPr>
                <w:sz w:val="20"/>
                <w:szCs w:val="20"/>
                <w:color w:val="auto"/>
              </w:rPr>
            </w:pPr>
          </w:p>
        </w:tc>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Withhold</w:t>
            </w:r>
          </w:p>
        </w:tc>
        <w:tc>
          <w:tcPr>
            <w:tcW w:w="780" w:type="dxa"/>
            <w:vAlign w:val="bottom"/>
          </w:tcPr>
          <w:p>
            <w:pPr>
              <w:spacing w:after="0"/>
              <w:rPr>
                <w:sz w:val="20"/>
                <w:szCs w:val="20"/>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9"/>
        </w:trPr>
        <w:tc>
          <w:tcPr>
            <w:tcW w:w="362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5,507,635</w:t>
            </w:r>
          </w:p>
        </w:tc>
        <w:tc>
          <w:tcPr>
            <w:tcW w:w="3820" w:type="dxa"/>
            <w:vAlign w:val="bottom"/>
            <w:gridSpan w:val="2"/>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143,725</w:t>
            </w:r>
          </w:p>
        </w:tc>
        <w:tc>
          <w:tcPr>
            <w:tcW w:w="3800" w:type="dxa"/>
            <w:vAlign w:val="bottom"/>
            <w:gridSpan w:val="2"/>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1,966,099</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elect Audrey P. Dunning as director of the Company to serve until the 2027 Annual Meeting of Stockholders and until the director’s successor has been duly elected and qualified: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780" w:type="dxa"/>
            <w:vAlign w:val="bottom"/>
          </w:tcPr>
          <w:p>
            <w:pPr>
              <w:spacing w:after="0"/>
              <w:rPr>
                <w:sz w:val="20"/>
                <w:szCs w:val="20"/>
                <w:color w:val="auto"/>
              </w:rPr>
            </w:pPr>
          </w:p>
        </w:tc>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Withhold</w:t>
            </w:r>
          </w:p>
        </w:tc>
        <w:tc>
          <w:tcPr>
            <w:tcW w:w="780" w:type="dxa"/>
            <w:vAlign w:val="bottom"/>
          </w:tcPr>
          <w:p>
            <w:pPr>
              <w:spacing w:after="0"/>
              <w:rPr>
                <w:sz w:val="20"/>
                <w:szCs w:val="20"/>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9"/>
        </w:trPr>
        <w:tc>
          <w:tcPr>
            <w:tcW w:w="362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4,828,566</w:t>
            </w:r>
          </w:p>
        </w:tc>
        <w:tc>
          <w:tcPr>
            <w:tcW w:w="3820" w:type="dxa"/>
            <w:vAlign w:val="bottom"/>
            <w:gridSpan w:val="2"/>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822,794</w:t>
            </w:r>
          </w:p>
        </w:tc>
        <w:tc>
          <w:tcPr>
            <w:tcW w:w="3800" w:type="dxa"/>
            <w:vAlign w:val="bottom"/>
            <w:gridSpan w:val="2"/>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1,966,099</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elect Daniel M. Friedberg as director of the Company to serve until the 2027 Annual Meeting of Stockholders and until the director’s successor has been duly elected and qualified: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780" w:type="dxa"/>
            <w:vAlign w:val="bottom"/>
          </w:tcPr>
          <w:p>
            <w:pPr>
              <w:spacing w:after="0"/>
              <w:rPr>
                <w:sz w:val="20"/>
                <w:szCs w:val="20"/>
                <w:color w:val="auto"/>
              </w:rPr>
            </w:pPr>
          </w:p>
        </w:tc>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Withhold</w:t>
            </w:r>
          </w:p>
        </w:tc>
        <w:tc>
          <w:tcPr>
            <w:tcW w:w="780" w:type="dxa"/>
            <w:vAlign w:val="bottom"/>
          </w:tcPr>
          <w:p>
            <w:pPr>
              <w:spacing w:after="0"/>
              <w:rPr>
                <w:sz w:val="20"/>
                <w:szCs w:val="20"/>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9"/>
        </w:trPr>
        <w:tc>
          <w:tcPr>
            <w:tcW w:w="362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4,777,183</w:t>
            </w:r>
          </w:p>
        </w:tc>
        <w:tc>
          <w:tcPr>
            <w:tcW w:w="3820" w:type="dxa"/>
            <w:vAlign w:val="bottom"/>
            <w:gridSpan w:val="2"/>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874,177</w:t>
            </w:r>
          </w:p>
        </w:tc>
        <w:tc>
          <w:tcPr>
            <w:tcW w:w="3800" w:type="dxa"/>
            <w:vAlign w:val="bottom"/>
            <w:gridSpan w:val="2"/>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1,966,099</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elect Randall S. Friedman as director of the Company to serve until the 2027 Annual Meeting of Stockholders and until the director’s successor has been duly elected and qualified: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780" w:type="dxa"/>
            <w:vAlign w:val="bottom"/>
          </w:tcPr>
          <w:p>
            <w:pPr>
              <w:spacing w:after="0"/>
              <w:rPr>
                <w:sz w:val="20"/>
                <w:szCs w:val="20"/>
                <w:color w:val="auto"/>
              </w:rPr>
            </w:pPr>
          </w:p>
        </w:tc>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Withhold</w:t>
            </w:r>
          </w:p>
        </w:tc>
        <w:tc>
          <w:tcPr>
            <w:tcW w:w="780" w:type="dxa"/>
            <w:vAlign w:val="bottom"/>
          </w:tcPr>
          <w:p>
            <w:pPr>
              <w:spacing w:after="0"/>
              <w:rPr>
                <w:sz w:val="20"/>
                <w:szCs w:val="20"/>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9"/>
        </w:trPr>
        <w:tc>
          <w:tcPr>
            <w:tcW w:w="362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5,279,928</w:t>
            </w:r>
          </w:p>
        </w:tc>
        <w:tc>
          <w:tcPr>
            <w:tcW w:w="3820" w:type="dxa"/>
            <w:vAlign w:val="bottom"/>
            <w:gridSpan w:val="2"/>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371,432</w:t>
            </w:r>
          </w:p>
        </w:tc>
        <w:tc>
          <w:tcPr>
            <w:tcW w:w="3800" w:type="dxa"/>
            <w:vAlign w:val="bottom"/>
            <w:gridSpan w:val="2"/>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1,966,099</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elect Emanuel P. N. Hilario as director of the Company to serve until the 2027 Annual Meeting of Stockholders and until the director’s successor has been duly elected and qualified: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780" w:type="dxa"/>
            <w:vAlign w:val="bottom"/>
          </w:tcPr>
          <w:p>
            <w:pPr>
              <w:spacing w:after="0"/>
              <w:rPr>
                <w:sz w:val="20"/>
                <w:szCs w:val="20"/>
                <w:color w:val="auto"/>
              </w:rPr>
            </w:pPr>
          </w:p>
        </w:tc>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Withhold</w:t>
            </w:r>
          </w:p>
        </w:tc>
        <w:tc>
          <w:tcPr>
            <w:tcW w:w="780" w:type="dxa"/>
            <w:vAlign w:val="bottom"/>
          </w:tcPr>
          <w:p>
            <w:pPr>
              <w:spacing w:after="0"/>
              <w:rPr>
                <w:sz w:val="20"/>
                <w:szCs w:val="20"/>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362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5,279,974</w:t>
            </w:r>
          </w:p>
        </w:tc>
        <w:tc>
          <w:tcPr>
            <w:tcW w:w="3820" w:type="dxa"/>
            <w:vAlign w:val="bottom"/>
            <w:gridSpan w:val="2"/>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371,386</w:t>
            </w:r>
          </w:p>
        </w:tc>
        <w:tc>
          <w:tcPr>
            <w:tcW w:w="3800" w:type="dxa"/>
            <w:vAlign w:val="bottom"/>
            <w:gridSpan w:val="2"/>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1,966,099</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elect Haydee Ortiz Olinger as director of the Company to serve until the 2027 Annual Meeting of Stockholders and until the director’s successor has been duly elected and qualified: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780" w:type="dxa"/>
            <w:vAlign w:val="bottom"/>
          </w:tcPr>
          <w:p>
            <w:pPr>
              <w:spacing w:after="0"/>
              <w:rPr>
                <w:sz w:val="20"/>
                <w:szCs w:val="20"/>
                <w:color w:val="auto"/>
              </w:rPr>
            </w:pPr>
          </w:p>
        </w:tc>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Withhold</w:t>
            </w:r>
          </w:p>
        </w:tc>
        <w:tc>
          <w:tcPr>
            <w:tcW w:w="780" w:type="dxa"/>
            <w:vAlign w:val="bottom"/>
          </w:tcPr>
          <w:p>
            <w:pPr>
              <w:spacing w:after="0"/>
              <w:rPr>
                <w:sz w:val="20"/>
                <w:szCs w:val="20"/>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362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5,277,602</w:t>
            </w:r>
          </w:p>
        </w:tc>
        <w:tc>
          <w:tcPr>
            <w:tcW w:w="3820" w:type="dxa"/>
            <w:vAlign w:val="bottom"/>
            <w:gridSpan w:val="2"/>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373,758</w:t>
            </w:r>
          </w:p>
        </w:tc>
        <w:tc>
          <w:tcPr>
            <w:tcW w:w="3800" w:type="dxa"/>
            <w:vAlign w:val="bottom"/>
            <w:gridSpan w:val="2"/>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1,966,099</w:t>
            </w:r>
          </w:p>
        </w:tc>
      </w:tr>
      <w:tr>
        <w:trPr>
          <w:trHeight w:val="574"/>
        </w:trPr>
        <w:tc>
          <w:tcPr>
            <w:tcW w:w="36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3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auto"/>
        </w:rPr>
        <w:t>Proposal 2: Ratification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ratify the selection of CBIZ CPAs P.C. as the Company’s independent registered public accounting firm for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780" w:type="dxa"/>
            <w:vAlign w:val="bottom"/>
          </w:tcPr>
          <w:p>
            <w:pPr>
              <w:spacing w:after="0"/>
              <w:rPr>
                <w:sz w:val="20"/>
                <w:szCs w:val="20"/>
                <w:color w:val="auto"/>
              </w:rPr>
            </w:pPr>
          </w:p>
        </w:tc>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780" w:type="dxa"/>
            <w:vAlign w:val="bottom"/>
          </w:tcPr>
          <w:p>
            <w:pPr>
              <w:spacing w:after="0"/>
              <w:rPr>
                <w:sz w:val="20"/>
                <w:szCs w:val="20"/>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10"/>
        </w:trPr>
        <w:tc>
          <w:tcPr>
            <w:tcW w:w="362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7,576,907</w:t>
            </w:r>
          </w:p>
        </w:tc>
        <w:tc>
          <w:tcPr>
            <w:tcW w:w="3820" w:type="dxa"/>
            <w:vAlign w:val="bottom"/>
            <w:gridSpan w:val="2"/>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rPr>
              <w:t>25,299</w:t>
            </w:r>
          </w:p>
        </w:tc>
        <w:tc>
          <w:tcPr>
            <w:tcW w:w="3800" w:type="dxa"/>
            <w:vAlign w:val="bottom"/>
            <w:gridSpan w:val="2"/>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15,253</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3: Advisory Vote on 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approve, on a non-binding, advisory basis, the Company’s compensation of its named executive officers: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560" w:type="dxa"/>
            <w:vAlign w:val="bottom"/>
          </w:tcPr>
          <w:p>
            <w:pPr>
              <w:spacing w:after="0"/>
              <w:rPr>
                <w:sz w:val="20"/>
                <w:szCs w:val="20"/>
                <w:color w:val="auto"/>
              </w:rPr>
            </w:pPr>
          </w:p>
        </w:tc>
        <w:tc>
          <w:tcPr>
            <w:tcW w:w="19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56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54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9"/>
        </w:trPr>
        <w:tc>
          <w:tcPr>
            <w:tcW w:w="238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4,746,662</w:t>
            </w:r>
          </w:p>
        </w:tc>
        <w:tc>
          <w:tcPr>
            <w:tcW w:w="248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812,986</w:t>
            </w:r>
          </w:p>
        </w:tc>
        <w:tc>
          <w:tcPr>
            <w:tcW w:w="224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91,712</w:t>
            </w:r>
          </w:p>
        </w:tc>
        <w:tc>
          <w:tcPr>
            <w:tcW w:w="4140" w:type="dxa"/>
            <w:vAlign w:val="bottom"/>
            <w:gridSpan w:val="2"/>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1,966,099</w:t>
            </w:r>
          </w:p>
        </w:tc>
      </w:tr>
    </w:tbl>
    <w:p>
      <w:pPr>
        <w:spacing w:after="0" w:line="19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Consistent with the preference of stockholders expressed through the most recent “say-on-frequency” vote, the Company holds an advisory vote on the compensation of its named executive officers on an annual basis and anticipates that it will hold its next such advisory vote at the 2027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9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TRANSACT TECHNOLOGIES INCORPORATED</w:t>
      </w:r>
    </w:p>
    <w:p>
      <w:pPr>
        <w:spacing w:after="0" w:line="229" w:lineRule="exact"/>
        <w:rPr>
          <w:sz w:val="20"/>
          <w:szCs w:val="20"/>
          <w:color w:val="auto"/>
        </w:rPr>
      </w:pPr>
    </w:p>
    <w:p>
      <w:pPr>
        <w:ind w:left="5400"/>
        <w:spacing w:after="0"/>
        <w:tabs>
          <w:tab w:leader="none" w:pos="5840" w:val="left"/>
        </w:tabs>
        <w:rPr>
          <w:sz w:val="20"/>
          <w:szCs w:val="20"/>
          <w:color w:val="auto"/>
        </w:rPr>
      </w:pPr>
      <w:r>
        <w:rPr>
          <w:rFonts w:ascii="Times New Roman" w:cs="Times New Roman" w:eastAsia="Times New Roman" w:hAnsi="Times New Roman"/>
          <w:sz w:val="18"/>
          <w:szCs w:val="18"/>
          <w:color w:val="auto"/>
        </w:rPr>
        <w:t>By:</w:t>
        <w:tab/>
        <w:t>/s/ John M. Dillon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32061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John M. Dillon</w:t>
      </w:r>
    </w:p>
    <w:p>
      <w:pPr>
        <w:spacing w:after="0" w:line="2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3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2026-05-27T16:33:18Z</dcterms:created>
  <dcterms:modified xsi:type="dcterms:W3CDTF">2026-05-27T16:33:18Z</dcterms:modified>
</cp:coreProperties>
</file>