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340" w:right="1740" w:hanging="332"/>
        <w:spacing w:after="0" w:line="532"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171450</wp:posOffset>
            </wp:positionV>
            <wp:extent cx="3025775" cy="745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25775"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5800" w:type="dxa"/>
            <w:vAlign w:val="bottom"/>
            <w:gridSpan w:val="2"/>
          </w:tcPr>
          <w:p>
            <w:pPr>
              <w:jc w:val="right"/>
              <w:ind w:right="2248"/>
              <w:spacing w:after="0"/>
              <w:rPr>
                <w:sz w:val="20"/>
                <w:szCs w:val="20"/>
                <w:color w:val="auto"/>
              </w:rPr>
            </w:pPr>
            <w:r>
              <w:rPr>
                <w:rFonts w:ascii="Arial" w:cs="Arial" w:eastAsia="Arial" w:hAnsi="Arial"/>
                <w:sz w:val="14"/>
                <w:szCs w:val="14"/>
                <w:b w:val="1"/>
                <w:bCs w:val="1"/>
                <w:color w:val="auto"/>
              </w:rPr>
              <w:t>06-1456680</w:t>
            </w:r>
          </w:p>
        </w:tc>
      </w:tr>
      <w:tr>
        <w:trPr>
          <w:trHeight w:val="33"/>
        </w:trPr>
        <w:tc>
          <w:tcPr>
            <w:tcW w:w="5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182"/>
        </w:trPr>
        <w:tc>
          <w:tcPr>
            <w:tcW w:w="544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60" w:type="dxa"/>
            <w:vAlign w:val="bottom"/>
          </w:tcPr>
          <w:p>
            <w:pPr>
              <w:spacing w:after="0"/>
              <w:rPr>
                <w:sz w:val="15"/>
                <w:szCs w:val="15"/>
                <w:color w:val="auto"/>
              </w:rPr>
            </w:pPr>
          </w:p>
        </w:tc>
        <w:tc>
          <w:tcPr>
            <w:tcW w:w="5340" w:type="dxa"/>
            <w:vAlign w:val="bottom"/>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446"/>
        </w:trPr>
        <w:tc>
          <w:tcPr>
            <w:tcW w:w="5440" w:type="dxa"/>
            <w:vAlign w:val="bottom"/>
          </w:tcPr>
          <w:p>
            <w:pPr>
              <w:jc w:val="center"/>
              <w:spacing w:after="0"/>
              <w:rPr>
                <w:sz w:val="20"/>
                <w:szCs w:val="20"/>
                <w:color w:val="auto"/>
              </w:rPr>
            </w:pPr>
            <w:r>
              <w:rPr>
                <w:rFonts w:ascii="Arial" w:cs="Arial" w:eastAsia="Arial" w:hAnsi="Arial"/>
                <w:sz w:val="14"/>
                <w:szCs w:val="14"/>
                <w:b w:val="1"/>
                <w:bCs w:val="1"/>
                <w:color w:val="auto"/>
                <w:w w:val="94"/>
              </w:rPr>
              <w:t>One Hamden Center, 2319 Whitney Avenue, Suite 3B, Hamden, CT</w:t>
            </w:r>
          </w:p>
        </w:tc>
        <w:tc>
          <w:tcPr>
            <w:tcW w:w="5800" w:type="dxa"/>
            <w:vAlign w:val="bottom"/>
            <w:gridSpan w:val="2"/>
          </w:tcPr>
          <w:p>
            <w:pPr>
              <w:jc w:val="right"/>
              <w:ind w:right="2428"/>
              <w:spacing w:after="0"/>
              <w:rPr>
                <w:sz w:val="20"/>
                <w:szCs w:val="20"/>
                <w:color w:val="auto"/>
              </w:rPr>
            </w:pPr>
            <w:r>
              <w:rPr>
                <w:rFonts w:ascii="Arial" w:cs="Arial" w:eastAsia="Arial" w:hAnsi="Arial"/>
                <w:sz w:val="14"/>
                <w:szCs w:val="14"/>
                <w:b w:val="1"/>
                <w:bCs w:val="1"/>
                <w:color w:val="auto"/>
              </w:rPr>
              <w:t>06518</w:t>
            </w:r>
          </w:p>
        </w:tc>
      </w:tr>
      <w:tr>
        <w:trPr>
          <w:trHeight w:val="182"/>
        </w:trPr>
        <w:tc>
          <w:tcPr>
            <w:tcW w:w="5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460" w:type="dxa"/>
            <w:vAlign w:val="bottom"/>
          </w:tcPr>
          <w:p>
            <w:pPr>
              <w:spacing w:after="0"/>
              <w:rPr>
                <w:sz w:val="15"/>
                <w:szCs w:val="15"/>
                <w:color w:val="auto"/>
              </w:rPr>
            </w:pPr>
          </w:p>
        </w:tc>
        <w:tc>
          <w:tcPr>
            <w:tcW w:w="5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6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300" w:type="dxa"/>
            <w:vAlign w:val="bottom"/>
          </w:tcPr>
          <w:p>
            <w:pPr>
              <w:spacing w:after="0"/>
              <w:rPr>
                <w:sz w:val="20"/>
                <w:szCs w:val="20"/>
                <w:color w:val="auto"/>
              </w:rPr>
            </w:pPr>
          </w:p>
        </w:tc>
        <w:tc>
          <w:tcPr>
            <w:tcW w:w="3180" w:type="dxa"/>
            <w:vAlign w:val="bottom"/>
            <w:gridSpan w:val="3"/>
          </w:tcPr>
          <w:p>
            <w:pPr>
              <w:jc w:val="center"/>
              <w:ind w:right="700"/>
              <w:spacing w:after="0"/>
              <w:rPr>
                <w:sz w:val="20"/>
                <w:szCs w:val="20"/>
                <w:color w:val="auto"/>
              </w:rPr>
            </w:pPr>
            <w:r>
              <w:rPr>
                <w:rFonts w:ascii="Arial" w:cs="Arial" w:eastAsia="Arial" w:hAnsi="Arial"/>
                <w:sz w:val="18"/>
                <w:szCs w:val="18"/>
                <w:color w:val="auto"/>
                <w:w w:val="92"/>
              </w:rPr>
              <w:t>Trading Symbol(s)</w:t>
            </w:r>
          </w:p>
        </w:tc>
        <w:tc>
          <w:tcPr>
            <w:tcW w:w="3700" w:type="dxa"/>
            <w:vAlign w:val="bottom"/>
          </w:tcPr>
          <w:p>
            <w:pPr>
              <w:jc w:val="center"/>
              <w:ind w:right="396"/>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00" w:type="dxa"/>
            <w:vAlign w:val="bottom"/>
          </w:tcPr>
          <w:p>
            <w:pPr>
              <w:spacing w:after="0"/>
              <w:rPr>
                <w:sz w:val="20"/>
                <w:szCs w:val="20"/>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TACT</w:t>
            </w:r>
          </w:p>
        </w:tc>
        <w:tc>
          <w:tcPr>
            <w:tcW w:w="2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700" w:type="dxa"/>
            <w:vAlign w:val="bottom"/>
            <w:tcBorders>
              <w:top w:val="single" w:sz="8" w:color="auto"/>
            </w:tcBorders>
          </w:tcPr>
          <w:p>
            <w:pPr>
              <w:jc w:val="center"/>
              <w:ind w:right="396"/>
              <w:spacing w:after="0"/>
              <w:rPr>
                <w:sz w:val="20"/>
                <w:szCs w:val="20"/>
                <w:color w:val="auto"/>
              </w:rPr>
            </w:pPr>
            <w:r>
              <w:rPr>
                <w:rFonts w:ascii="Arial" w:cs="Arial" w:eastAsia="Arial" w:hAnsi="Arial"/>
                <w:sz w:val="18"/>
                <w:szCs w:val="18"/>
                <w:color w:val="auto"/>
                <w:w w:val="96"/>
              </w:rPr>
              <w:t>NASDAQ Global Market</w:t>
            </w:r>
          </w:p>
        </w:tc>
      </w:tr>
      <w:tr>
        <w:trPr>
          <w:trHeight w:val="445"/>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0"/>
              </w:rPr>
              <w:t>Securities registered pursuant to Section 12(g) of the Act: None</w:t>
            </w:r>
          </w:p>
        </w:tc>
      </w:tr>
      <w:tr>
        <w:trPr>
          <w:trHeight w:val="436"/>
        </w:trPr>
        <w:tc>
          <w:tcPr>
            <w:tcW w:w="7540" w:type="dxa"/>
            <w:vAlign w:val="bottom"/>
            <w:gridSpan w:val="5"/>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w:t>
            </w:r>
          </w:p>
        </w:tc>
        <w:tc>
          <w:tcPr>
            <w:tcW w:w="37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93" w:lineRule="exact"/>
        <w:rPr>
          <w:sz w:val="24"/>
          <w:szCs w:val="24"/>
          <w:color w:val="auto"/>
        </w:rPr>
      </w:pPr>
    </w:p>
    <w:p>
      <w:pPr>
        <w:spacing w:after="0" w:line="161" w:lineRule="exact"/>
        <w:tabs>
          <w:tab w:leader="none" w:pos="7460" w:val="left"/>
        </w:tabs>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7"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7"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214"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sectPr>
          <w:pgSz w:w="11900" w:h="16838" w:orient="portrait"/>
          <w:cols w:equalWidth="0" w:num="4">
            <w:col w:w="1300" w:space="80"/>
            <w:col w:w="4380" w:space="720"/>
            <w:col w:w="960" w:space="60"/>
            <w:col w:w="3740"/>
          </w:cols>
          <w:pgMar w:left="320" w:top="225" w:right="339" w:bottom="0" w:gutter="0" w:footer="0" w:header="0"/>
          <w:type w:val="continuous"/>
        </w:sect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0" w:lineRule="exact"/>
        <w:rPr>
          <w:sz w:val="24"/>
          <w:szCs w:val="24"/>
          <w:color w:val="auto"/>
        </w:rPr>
      </w:pPr>
    </w:p>
    <w:p>
      <w:pPr>
        <w:sectPr>
          <w:pgSz w:w="11900" w:h="16838" w:orient="portrait"/>
          <w:cols w:equalWidth="0" w:num="3">
            <w:col w:w="1220" w:space="80"/>
            <w:col w:w="4460" w:space="720"/>
            <w:col w:w="4760"/>
          </w:cols>
          <w:pgMar w:left="320" w:top="225" w:right="339" w:bottom="0" w:gutter="0" w:footer="0" w:header="0"/>
          <w:type w:val="continuous"/>
        </w:sectPr>
      </w:pPr>
    </w:p>
    <w:p>
      <w:pPr>
        <w:spacing w:after="0" w:line="84"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7"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7"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7"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4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$38,300,000 based on the last sale price on June 30, 2022.</w:t>
      </w:r>
    </w:p>
    <w:p>
      <w:pPr>
        <w:sectPr>
          <w:pgSz w:w="11900" w:h="16838" w:orient="portrait"/>
          <w:cols w:equalWidth="0" w:num="1">
            <w:col w:w="11240"/>
          </w:cols>
          <w:pgMar w:left="320" w:top="225"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As of February 28, 2023, the number of shares outstanding of the Registrant’s common stock, par value $0.01 par value, was 9,935,827.</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Portions of the Registrant’s Definitive Proxy Statement related to its 2023 Annual Meeting of Stockholders (the “Proxy Statement”) to be filed with the Securities and Exchange Commission within 120 days after the Registrant’s fiscal year end of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900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rPr>
              <w:t>TRANSACT TECHNOLOGIES INCORPORATED</w:t>
            </w:r>
          </w:p>
        </w:tc>
        <w:tc>
          <w:tcPr>
            <w:tcW w:w="1460" w:type="dxa"/>
            <w:vAlign w:val="bottom"/>
          </w:tcPr>
          <w:p>
            <w:pPr>
              <w:spacing w:after="0"/>
              <w:rPr>
                <w:sz w:val="17"/>
                <w:szCs w:val="17"/>
                <w:color w:val="auto"/>
              </w:rPr>
            </w:pPr>
          </w:p>
        </w:tc>
      </w:tr>
      <w:tr>
        <w:trPr>
          <w:trHeight w:val="439"/>
        </w:trPr>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17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79"/>
        </w:trPr>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160" w:type="dxa"/>
            <w:vAlign w:val="bottom"/>
            <w:gridSpan w:val="4"/>
          </w:tcPr>
          <w:p>
            <w:pPr>
              <w:jc w:val="center"/>
              <w:ind w:right="2260"/>
              <w:spacing w:after="0"/>
              <w:rPr>
                <w:sz w:val="20"/>
                <w:szCs w:val="20"/>
                <w:color w:val="auto"/>
              </w:rPr>
            </w:pPr>
            <w:r>
              <w:rPr>
                <w:rFonts w:ascii="Arial" w:cs="Arial" w:eastAsia="Arial" w:hAnsi="Arial"/>
                <w:sz w:val="18"/>
                <w:szCs w:val="18"/>
                <w:color w:val="auto"/>
                <w:w w:val="91"/>
              </w:rPr>
              <w:t>PART I.</w:t>
            </w:r>
          </w:p>
        </w:tc>
        <w:tc>
          <w:tcPr>
            <w:tcW w:w="1460" w:type="dxa"/>
            <w:vAlign w:val="bottom"/>
          </w:tcPr>
          <w:p>
            <w:pPr>
              <w:spacing w:after="0"/>
              <w:rPr>
                <w:sz w:val="24"/>
                <w:szCs w:val="24"/>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Business</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9"/>
              </w:rPr>
              <w:t>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Risk Factors</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99"/>
              </w:rPr>
              <w:t>7</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Unresolved Staff Comments</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18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Properties</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18</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Legal Proceedings</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18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Mine Safety Disclosures</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18</w:t>
            </w:r>
          </w:p>
        </w:tc>
      </w:tr>
      <w:tr>
        <w:trPr>
          <w:trHeight w:val="216"/>
        </w:trPr>
        <w:tc>
          <w:tcPr>
            <w:tcW w:w="7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160" w:type="dxa"/>
            <w:vAlign w:val="bottom"/>
            <w:gridSpan w:val="4"/>
          </w:tcPr>
          <w:p>
            <w:pPr>
              <w:jc w:val="center"/>
              <w:ind w:right="2240"/>
              <w:spacing w:after="0"/>
              <w:rPr>
                <w:sz w:val="20"/>
                <w:szCs w:val="20"/>
                <w:color w:val="auto"/>
              </w:rPr>
            </w:pPr>
            <w:r>
              <w:rPr>
                <w:rFonts w:ascii="Arial" w:cs="Arial" w:eastAsia="Arial" w:hAnsi="Arial"/>
                <w:sz w:val="18"/>
                <w:szCs w:val="18"/>
                <w:color w:val="auto"/>
                <w:w w:val="94"/>
              </w:rPr>
              <w:t>PART II.</w:t>
            </w:r>
          </w:p>
        </w:tc>
        <w:tc>
          <w:tcPr>
            <w:tcW w:w="146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[Reserved]</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7.</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19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27</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Financial Statements and Supplementary Data</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28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28</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9A.</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Controls and Procedures</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28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Other Information</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28</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9C.</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28</w:t>
            </w:r>
          </w:p>
        </w:tc>
      </w:tr>
      <w:tr>
        <w:trPr>
          <w:trHeight w:val="216"/>
        </w:trPr>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6160" w:type="dxa"/>
            <w:vAlign w:val="bottom"/>
            <w:gridSpan w:val="4"/>
            <w:shd w:val="clear" w:color="auto" w:fill="CCEEFF"/>
          </w:tcPr>
          <w:p>
            <w:pPr>
              <w:jc w:val="center"/>
              <w:ind w:right="2260"/>
              <w:spacing w:after="0"/>
              <w:rPr>
                <w:sz w:val="20"/>
                <w:szCs w:val="20"/>
                <w:color w:val="auto"/>
              </w:rPr>
            </w:pPr>
            <w:r>
              <w:rPr>
                <w:rFonts w:ascii="Arial" w:cs="Arial" w:eastAsia="Arial" w:hAnsi="Arial"/>
                <w:sz w:val="18"/>
                <w:szCs w:val="18"/>
                <w:color w:val="auto"/>
                <w:w w:val="95"/>
              </w:rPr>
              <w:t>PART III.</w:t>
            </w:r>
          </w:p>
        </w:tc>
        <w:tc>
          <w:tcPr>
            <w:tcW w:w="146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29</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Executive Compensation</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29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29</w:t>
            </w: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29</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Principal Accounting Fees and Services</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29</w:t>
            </w:r>
          </w:p>
        </w:tc>
      </w:tr>
      <w:tr>
        <w:trPr>
          <w:trHeight w:val="216"/>
        </w:trPr>
        <w:tc>
          <w:tcPr>
            <w:tcW w:w="7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160" w:type="dxa"/>
            <w:vAlign w:val="bottom"/>
            <w:gridSpan w:val="4"/>
          </w:tcPr>
          <w:p>
            <w:pPr>
              <w:jc w:val="center"/>
              <w:ind w:right="2240"/>
              <w:spacing w:after="0"/>
              <w:rPr>
                <w:sz w:val="20"/>
                <w:szCs w:val="20"/>
                <w:color w:val="auto"/>
              </w:rPr>
            </w:pPr>
            <w:r>
              <w:rPr>
                <w:rFonts w:ascii="Arial" w:cs="Arial" w:eastAsia="Arial" w:hAnsi="Arial"/>
                <w:sz w:val="18"/>
                <w:szCs w:val="18"/>
                <w:color w:val="auto"/>
                <w:w w:val="90"/>
              </w:rPr>
              <w:t>PART IV.</w:t>
            </w:r>
          </w:p>
        </w:tc>
        <w:tc>
          <w:tcPr>
            <w:tcW w:w="146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0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Exhibits and Financial Statement Schedules</w:t>
            </w:r>
          </w:p>
        </w:tc>
        <w:tc>
          <w:tcPr>
            <w:tcW w:w="146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89"/>
              </w:rPr>
              <w:t>30</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16.</w:t>
            </w:r>
          </w:p>
        </w:tc>
        <w:tc>
          <w:tcPr>
            <w:tcW w:w="9000" w:type="dxa"/>
            <w:vAlign w:val="bottom"/>
            <w:gridSpan w:val="5"/>
          </w:tcPr>
          <w:p>
            <w:pPr>
              <w:ind w:left="20"/>
              <w:spacing w:after="0"/>
              <w:rPr>
                <w:sz w:val="20"/>
                <w:szCs w:val="20"/>
                <w:color w:val="auto"/>
              </w:rPr>
            </w:pPr>
            <w:r>
              <w:rPr>
                <w:rFonts w:ascii="Arial" w:cs="Arial" w:eastAsia="Arial" w:hAnsi="Arial"/>
                <w:sz w:val="18"/>
                <w:szCs w:val="18"/>
                <w:color w:val="auto"/>
              </w:rPr>
              <w:t>Form 10-K Summary</w:t>
            </w: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32</w:t>
            </w:r>
          </w:p>
        </w:tc>
      </w:tr>
      <w:tr>
        <w:trPr>
          <w:trHeight w:val="216"/>
        </w:trPr>
        <w:tc>
          <w:tcPr>
            <w:tcW w:w="362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9780" w:type="dxa"/>
            <w:vAlign w:val="bottom"/>
            <w:gridSpan w:val="6"/>
          </w:tcPr>
          <w:p>
            <w:pPr>
              <w:spacing w:after="0"/>
              <w:rPr>
                <w:sz w:val="20"/>
                <w:szCs w:val="20"/>
                <w:color w:val="auto"/>
              </w:rPr>
            </w:pPr>
            <w:r>
              <w:rPr>
                <w:rFonts w:ascii="Arial" w:cs="Arial" w:eastAsia="Arial" w:hAnsi="Arial"/>
                <w:sz w:val="18"/>
                <w:szCs w:val="18"/>
                <w:color w:val="auto"/>
              </w:rPr>
              <w:t>SIGNATURES</w:t>
            </w:r>
          </w:p>
        </w:tc>
        <w:tc>
          <w:tcPr>
            <w:tcW w:w="146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w w:val="88"/>
              </w:rPr>
              <w:t>Signatures</w:t>
            </w:r>
          </w:p>
        </w:tc>
        <w:tc>
          <w:tcPr>
            <w:tcW w:w="2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33</w:t>
            </w:r>
          </w:p>
        </w:tc>
      </w:tr>
      <w:tr>
        <w:trPr>
          <w:trHeight w:val="216"/>
        </w:trPr>
        <w:tc>
          <w:tcPr>
            <w:tcW w:w="362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9780" w:type="dxa"/>
            <w:vAlign w:val="bottom"/>
            <w:gridSpan w:val="6"/>
          </w:tcPr>
          <w:p>
            <w:pPr>
              <w:spacing w:after="0"/>
              <w:rPr>
                <w:sz w:val="20"/>
                <w:szCs w:val="20"/>
                <w:color w:val="auto"/>
              </w:rPr>
            </w:pPr>
            <w:r>
              <w:rPr>
                <w:rFonts w:ascii="Arial" w:cs="Arial" w:eastAsia="Arial" w:hAnsi="Arial"/>
                <w:sz w:val="18"/>
                <w:szCs w:val="18"/>
                <w:color w:val="auto"/>
              </w:rPr>
              <w:t>CONSOLIDATED FINANCIAL STATEMENTS</w:t>
            </w:r>
          </w:p>
        </w:tc>
        <w:tc>
          <w:tcPr>
            <w:tcW w:w="146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9780" w:type="dxa"/>
            <w:vAlign w:val="bottom"/>
            <w:gridSpan w:val="6"/>
          </w:tcPr>
          <w:p>
            <w:pPr>
              <w:spacing w:after="0"/>
              <w:rPr>
                <w:sz w:val="20"/>
                <w:szCs w:val="20"/>
                <w:color w:val="auto"/>
              </w:rPr>
            </w:pPr>
            <w:r>
              <w:rPr>
                <w:rFonts w:ascii="Arial" w:cs="Arial" w:eastAsia="Arial" w:hAnsi="Arial"/>
                <w:sz w:val="18"/>
                <w:szCs w:val="18"/>
                <w:color w:val="auto"/>
              </w:rPr>
              <w:t>Index to Consolidated Financial Statements</w:t>
            </w:r>
          </w:p>
        </w:tc>
        <w:tc>
          <w:tcPr>
            <w:tcW w:w="1460" w:type="dxa"/>
            <w:vAlign w:val="bottom"/>
          </w:tcPr>
          <w:p>
            <w:pPr>
              <w:ind w:left="880"/>
              <w:spacing w:after="0"/>
              <w:rPr>
                <w:sz w:val="20"/>
                <w:szCs w:val="20"/>
                <w:color w:val="auto"/>
              </w:rPr>
            </w:pPr>
            <w:r>
              <w:rPr>
                <w:rFonts w:ascii="Arial" w:cs="Arial" w:eastAsia="Arial" w:hAnsi="Arial"/>
                <w:sz w:val="18"/>
                <w:szCs w:val="18"/>
                <w:color w:val="auto"/>
              </w:rPr>
              <w:t>F-1</w:t>
            </w:r>
          </w:p>
        </w:tc>
      </w:tr>
      <w:tr>
        <w:trPr>
          <w:trHeight w:val="411"/>
        </w:trPr>
        <w:tc>
          <w:tcPr>
            <w:tcW w:w="7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Smaller Reporting Company—Scaled Disclosure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Item 10(f) of Regulation S K promulgated under the Securities Act of 1933, as amended (the “Securities Act”), as indicated herein, we have elected to comply with certain scaled disclosure requirements applicable to “smaller reporting companies” in this Annual Report on Form 10-K for the year ended December 31, 2022 (this “Form 10-K”).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Certain statements included in this Form 10-K may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“plan,” “design”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Important factors and uncertainties that could cause actual results to differ materially from those expressed or implied by the forward-looking statements include, but are not limited to, the following: the adverse effects of current economic conditions, whether due to the COVID-19 pandemic or otherwise on our business, operations, financial condition, results of operations and capital resources, difficulties or delays in manufacturing or delivery of inventory or other supply chain disruptions, inflation and the Russia/Ukraine conflict, an inability of our customers to make payments on time or at all, diversion of management attention, a possible future reduction in the value of goodwill or other intangible assets, inadequate manufacturing capacity or a shortfall or excess of inventory as a result of difficulty in predicting manufacturing requirements due to volatile economic conditions, price increases or decreased availability of component parts or raw materials, exchange rate fluctuations, volatility of, and decreases in, trading prices of our common stock and the availability of needed financing on acceptable terms or at all; our ability to successfully develop new products that garner customer acceptance and generate sales, both domestically and internationally, in the face of substantial competition; our reliance on an unrelated third party to develop, maintain and host certain web-based food service application software and develop and maintain selected components of our downloadable software applications pursuant to a non-exclusive license agreement, and the risk that interruptions in our relationship with that third party could materially impair our ability to provide services to our food service technology customers on a timely basis or at all and could require substantial expenditures to find or develop alternative software products; our ability to successfully transition our business into the food service technology market; risks associated with potential future acquisitions; general economic conditions; our dependence on contract manufacturers for the assembly of a large portion of our products in Asia; our dependence on significant suppliers; our ability to recruit and retain quality employees as the Company grows; our dependence on third parties for sales outside the United States; marketplace acceptance of new products; risks associated with foreign operations; the availability of third party components at reasonable prices; price wars, supply chain disruptions or other significant pricing pressures affecting the Company’s products in the United States or abroad; increased product costs or reduced customer demand for our products due to changes in U.S. policy that may result in trade wars or tariffs; our ability to protect intellectual property; and other risk factors identified and discussed in Part I, Item 1A, </w:t>
      </w:r>
      <w:r>
        <w:rPr>
          <w:rFonts w:ascii="Arial" w:cs="Arial" w:eastAsia="Arial" w:hAnsi="Arial"/>
          <w:sz w:val="16"/>
          <w:szCs w:val="16"/>
          <w:color w:val="auto"/>
        </w:rPr>
        <w:t>Risk Factors</w:t>
      </w:r>
      <w:r>
        <w:rPr>
          <w:rFonts w:ascii="Arial" w:cs="Arial" w:eastAsia="Arial" w:hAnsi="Arial"/>
          <w:sz w:val="16"/>
          <w:szCs w:val="16"/>
          <w:i w:val="1"/>
          <w:iCs w:val="1"/>
          <w:color w:val="auto"/>
        </w:rPr>
        <w:t xml:space="preserve">, and Part II, Item 7, </w:t>
      </w:r>
      <w:r>
        <w:rPr>
          <w:rFonts w:ascii="Arial" w:cs="Arial" w:eastAsia="Arial" w:hAnsi="Arial"/>
          <w:sz w:val="16"/>
          <w:szCs w:val="16"/>
          <w:color w:val="auto"/>
        </w:rPr>
        <w:t>Management’s Discussion and Analysis of Financial Condition and Results of Operations</w:t>
      </w:r>
      <w:r>
        <w:rPr>
          <w:rFonts w:ascii="Arial" w:cs="Arial" w:eastAsia="Arial" w:hAnsi="Arial"/>
          <w:sz w:val="16"/>
          <w:szCs w:val="16"/>
          <w:i w:val="1"/>
          <w:iCs w:val="1"/>
          <w:color w:val="auto"/>
        </w:rPr>
        <w:t>, of this Form 10-K and that may be detailed from time to time in</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Company’s other reports filed with the Securities and Exchange Commission (the “SEC”).</w:t>
      </w:r>
    </w:p>
    <w:p>
      <w:pPr>
        <w:spacing w:after="0" w:line="200" w:lineRule="exact"/>
        <w:rPr>
          <w:sz w:val="20"/>
          <w:szCs w:val="20"/>
          <w:color w:val="auto"/>
        </w:rPr>
      </w:pP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caution readers not to place undue reliance on forward-looking statements, which speak only as of the date of this Form 10-K. We undertake no obligation to publicly or otherwise revise any forward-looking statements, whether as a result of new information, future events or other factors, except where we are expressly required to do so by applicable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TransAct Technologies Incorporated (together with its consolidated subsidiaries, “TransAct,” the “Company,” “we,” “us,” or “our”)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2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TransAct is a global leader in developing and selling software-driven technology and printing solutions for high-growth markets including food service technology, point of sale (“POS”) automation and casino and gaming. Our world-class products are designed from the ground up based on market and customer requirements and are sold under the BOHA!™, AccuDate™, Epic, EPICENTRAL®, and Ithaca®, brand names. During 2019, we launched a new line of products for the food service technology market, the BOHA! branded suite of cloud-based applications and companion hardware solutions. The BOHA! software and hardware products help restaurants, convenience stores and food service operators of all sizes automate the food production in the back-of-house operations. Known and respected worldwide for innovative designs and real-world service reliability, our thermal printers and terminals generate top-quality labels, coupons and transaction records such as receipts, tickets and other documents. We sell our technology to original equipment manufacturers (“OEMs”), value-added resellers, and select distributors, as well as directly to end users. Our product distribution spans across the Americas, Europe, the Middle East, Africa, Asia, Australia, New Zealand, the Caribbean Islands and the South Pacific. We also offer world-class service, support, labels, spare parts, accessories and printing supplies to our growing worldwide base of products currently in use by our customers. Through our TransAct Services Group (“TSG”), we provide a complete range of supplies and consumables used in the printing activities of customers in the restaurant and hospitality, retail, casino and gaming, and government markets. Through our webstore, www.transactsupplies.com, and our direct selling team, we address the demand for these products. We operate in one reportable segment: the design, development, and marketing of software-driven technology and printing solutions for high growth markets, and provide related services, supplies and spare parts. Our primary operating, hardware research and development, and U.S. service center is located in Ithaca, New York. In addition, we have a casino and gaming sales headquarters and software research and development center in Las Vegas, Nevada; a European sales and service center at our subsidiary in the United Kingdom (“UK”); and a sales office located in Macau, China. Our executive offices are located at One Hamden Center, 2319 Whitney Avenue, Suite 3B, Hamden, Connecticut, 06518, with a telephone number of (203) 859-6800.</w:t>
      </w:r>
    </w:p>
    <w:p>
      <w:pPr>
        <w:sectPr>
          <w:pgSz w:w="11900" w:h="16838" w:orient="portrait"/>
          <w:cols w:equalWidth="0" w:num="1">
            <w:col w:w="11240"/>
          </w:cols>
          <w:pgMar w:left="320" w:top="364" w:right="339" w:bottom="912"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912"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Impact of the COVID-19 Pandemic and Global Supply Chain Disruptions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early 2020, the COVID-19 pandemic has continued to cause uncertainty and disruption in the global economy and financial markets. We have also been impacted by global supply chain issues, increased shipping costs and inflationary pressures, which have increased our costs and, in some instances, slowed our ability to deliver products to our customers. During 2021, our inventory levels decreased significantly as a result of these supply chain disruptions, and we experienced significantly lower sales levels. However, during 2022 we were able to increase our inventory levels and minimize the impact to our customers by successfully modifying our products that were affected by supply chain disruptions, as well as sourcing component parts from alternate suppliers. Although we were able to increase inventory levels during 2022 and expect to continue to do so in 2023, there can be no assurance that new or continuing supply chain disruptions will not affect our products or that we will be able to make timely modifications to address any future supply chain issues that arise. Further, while we have offset most of our cost increases by increasing prices of our products, there can be no guarantee that we will be able to offset any future cost increases should they arise. After a slowdown in the first quarter of 2022 resulting from the Omicron and other variants of COVID-19, we continued to experience demand recovery during the remainder of 2022. Based on our strong backlog position and continued market share expansion, we expect this recovery to continue into 2023, though the exact timing and pace of recovery may be impacted by global economic conditions.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2020 and 2021, our gross margin was negatively impacted by significantly lower sales levels from the economic effects of the COVID-19 pandemic, as well as increased material and shipping costs resulting from worldwide supply chain disruptions continuing into 2022. However, we saw significant improvement in the last nine months of 2022 resulting from significantly higher sales levels and price increases instituted on our products to mitigate higher material and shipping costs. Though we expect this trend to continue into 2023, our gross margin may be negatively impacted by the economic effects of any future cost increases that cannot be predicted, supply chain disruptions, inflationary pressures and potential new COVID-19 variants on the markets we serve.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in 2022 we continued to gradually return to more normalized pre-COVID-19 spending levels after implementing a number of cost saving measures in 2020 through 2022, we expect to continue to closely monitor our spending levels as circumstances warrant.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onset of the COVID-19 pandemic, our top priority has been to ensure the health and safety of our employees while continuing to provide our customers with high-quality, personalized service. After instituting work-from-home practices in 2020, we transitioned in 2022 to a more flexible hybrid model to accommodate both our employees and the needs of the business. In addition, even with the transition to a hybrid model, our internal control structure remains operational and unchanged.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Cash Flow and Liquidity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We have taken the following actions to increase liquidity and strengthen our financial position in an effort to mitigate the negative impacts from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 supply chain disruptions and inflationary pressures:</w:t>
      </w:r>
    </w:p>
    <w:p>
      <w:pPr>
        <w:spacing w:after="0" w:line="238" w:lineRule="exact"/>
        <w:rPr>
          <w:sz w:val="20"/>
          <w:szCs w:val="20"/>
          <w:color w:val="auto"/>
        </w:rPr>
      </w:pPr>
    </w:p>
    <w:p>
      <w:pPr>
        <w:jc w:val="both"/>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Offerings – On August 16, 2021, the Company raised net proceeds of $11.2 million (including the exercise of the underwriters’ overallotment option on August 20, 2021), after deducting underwriting discounts, commissions and offering expenses, through an underwritten public offering and sold an aggregate of 842,375 shares of common stock.</w:t>
      </w:r>
    </w:p>
    <w:p>
      <w:pPr>
        <w:spacing w:after="0" w:line="21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PPP Loan – On May 1, 2020, the Company was granted a $2.2 million loan (the “PPP Loan”) under the Paycheck Protection Program (the “PPP”) administered by the Small Business Administration (“SBA”) established under Division A, Title I of the Coronavirus Aid, Relief, and Economic Security (“CARES”) Act, which enabled us to return employees we furloughed earlier in 2020 to full time employment and to restore employees to full pay following certain pay cuts. On July 8, 2021, we received notice that the PPP Loan had been forgiven as of July 1, 2021. See Note 8 for further details regarding the PPP Loan.</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Retention Credit – Under the provisions of the CARES Act, the Company was eligible for a refundable employee retention credit subject to certain criteria. In connection with the CARES Act, the Company recognized the employee retention credit during the fourth quarter of 2021 as a $1.5 million “Gain from employee retention credit” in the Consolidated Statement of Operations for the year ended December 31, 2021 and recorded a $1.5 million “Employee retention credit receivable” in the Consolidated Balance Sheets as of December 31, 2022 and December 31, 2021. We received these funds in the first quarter of 2023.</w:t>
      </w:r>
    </w:p>
    <w:p>
      <w:pPr>
        <w:spacing w:after="0" w:line="214"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Credit Facility – On March 13, 2020, we entered into a new credit facility with Siena Lending Group LLC that provides a revolving credit line of up to $10.0 million, subject to a borrowing base and on July 19, 2022, we entered into an amendment to extend the maturity of the facility to March 13, 2025. See Note 8 for further details regarding this facility.</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Capital Expenditures – We limited capital expenditures during 2020 and 2021 and gradually increased expenses during 2022 as our sales improved.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there is no assurance that the actions we have taken in response to the pandemic, global supply chain disruptions and inflation are sufficient or adequate, and we may be required to take additional preventive or responsive measures, as the ultimate extent of the effects of these risks on the Company, our financial condition, results of operations, liquidity, and cash flows are uncertain and are dependent on evolving developments which cannot be predicted at this time. See Part I, Item 1A, Risk Factors, of this Form 10-K for further discussion of risks related to COVID-19, global supply chain disruptions and inflation.</w:t>
      </w:r>
    </w:p>
    <w:p>
      <w:pPr>
        <w:sectPr>
          <w:pgSz w:w="11900" w:h="16838" w:orient="portrait"/>
          <w:cols w:equalWidth="0" w:num="1">
            <w:col w:w="11240"/>
          </w:cols>
          <w:pgMar w:left="320" w:top="364" w:right="3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Printers, terminals and other hardware: </w:t>
      </w:r>
      <w:r>
        <w:rPr>
          <w:rFonts w:ascii="Arial" w:cs="Arial" w:eastAsia="Arial" w:hAnsi="Arial"/>
          <w:sz w:val="17"/>
          <w:szCs w:val="17"/>
          <w:color w:val="auto"/>
        </w:rPr>
        <w:t>TransAct designs, develops and markets a broad array of transaction-based and specialty printers and terminals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utilizing thermal printing technology for applications, primarily in the food service technology, POS automation, casino and gaming, and prior to exiting the market on December 31, 2021, the oil and gas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Our food service technology terminals also offer software configurable menu options and our food service technology market includes sales of optional hardware products including temperature probes, temperature sensors and gateways.</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 xml:space="preserve">Food Service Technology (“FST”): </w:t>
      </w:r>
      <w:r>
        <w:rPr>
          <w:rFonts w:ascii="Arial" w:cs="Arial" w:eastAsia="Arial" w:hAnsi="Arial"/>
          <w:sz w:val="16"/>
          <w:szCs w:val="16"/>
          <w:color w:val="auto"/>
        </w:rPr>
        <w:t>Our primary offering in the food service technology market is our line of BOHA! products, which can combine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latest generation terminal and workstation which includes one or two printers and our BOHA! Labeling, timers, and media software. In addition, customers may individually purchase cloud-based software applications that connect to a separate application on a separate mobile device into a solution to automate back-of-house operations in restaurants, convenience stores and food service operations. The additional software offering of BOHA! consists of a variety of individually purchased software-as-a-service (“SaaS”)-based applications for both Android and iOS operating systems, including applications for, temperature monitoring, temperature taking and checklists and task lists. These applications are sold separately, and customers purchase the applications they need for their back-of-house operations. Customers may also purchase associated hardware, such as handheld devices, tablets, temperature probes and temperature sensors and gateways. The BOHA! Terminal combines an operating system and hardware components in a device that includes a touchscreen and one or two thermal print mechanisms that print easy-to-read food rotation labels, grab-and-go labels, and nutritional labels for prepared foods, and “enjoy by” date labels. The BOHA! WorkStation uses an iPad or Android tablet instead of an integrated touchscreen. The BOHA! Terminal and the BOHA! WorkStation are equipped with the TransAct Enterprise Management System to ensure that only approved touchscreen functions are available on the touchscreen device and to allow over-the-air updates to the operating system. BOHA! helps food service establishments and restaurants (including fine dining, casual dining, fast casual and quick-service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 In the food service technology market, we use an internal sales force to solicit sales directly from end users.</w:t>
      </w:r>
    </w:p>
    <w:p>
      <w:pPr>
        <w:spacing w:after="0" w:line="200" w:lineRule="exact"/>
        <w:rPr>
          <w:sz w:val="20"/>
          <w:szCs w:val="20"/>
          <w:color w:val="auto"/>
        </w:rPr>
      </w:pP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POS automation: </w:t>
      </w:r>
      <w:r>
        <w:rPr>
          <w:rFonts w:ascii="Arial" w:cs="Arial" w:eastAsia="Arial" w:hAnsi="Arial"/>
          <w:sz w:val="17"/>
          <w:szCs w:val="17"/>
          <w:color w:val="auto"/>
        </w:rPr>
        <w:t>In the POS market, we sell a printer utilizing thermal printing technology. Our POS printer is used primarily by McDonald’s, and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lesser extent, other quick-service restaurants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Casino and gaming: </w:t>
      </w:r>
      <w:r>
        <w:rPr>
          <w:rFonts w:ascii="Arial" w:cs="Arial" w:eastAsia="Arial" w:hAnsi="Arial"/>
          <w:sz w:val="17"/>
          <w:szCs w:val="17"/>
          <w:color w:val="auto"/>
        </w:rPr>
        <w:t>We sell several models of printers used in slot machines and video lottery terminals (“VLTs”) and other gaming machines that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tickets or receipts instead of issuing coins (“ticket-in, ticket-out” or “TITO”) at casinos, racetracks and other gaming venues worldwide. These printers utilize thermal printing technology to print tickets and receipts in monochrome and offer various other features such as jam resistant bezels and a dual port interface that enables casinos to print coupons and promotions. In addition, we sell printers using thermal roll-fed printing technology for use in international non-casino establishments, including game types such as Amusements with Prizes, Skills with Prizes, Fixed Odds Betting Terminals, sports betting establishments and other off-premise gaming type machines around the world. We sell our casino and gaming products primarily (1) to slot machine manufacturers, who incorporate our printers into slot machines and, in turn, sell completed slot machines directly to casinos and other gaming establishments and (2) through distributors. We also maintain a dedicated internal sales force to solicit sales from slot machine manufacturers and casinos, and to manage sales through our distributors.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offer a software solution, the EPICENTRAL Print System, including annual software maintenance, that enables casino operators to create promotional coupons and marketing messages and to print them in real time at the slot machine. With EPICENTRAL, casinos can utilize the system to create multiple promotions and incentives to either increase customer time spent on the casino floor or encourage additional visits to generate more revenue to the casinos.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TSG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TSG, we proactively market the sale of consumable products (including POS receipt paper, ribbons and other printing supplies),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replacement parts, maintenance and repair services, and shipping and handling charges. Our maintenance services include the sale of extended warranties, multi-year maintenance contracts, a 24-hour guaranteed replacement product service called TransAct Xpress™ and other repair services for our non-FST products. Within the United States, we provide repair services through our service center in Ithaca, New York. Internationally, we provide repair services through our European service center located in Doncaster, UK, and through partners strategically located around the world.</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provide customers with telephone sales and technical support, and a personal account representative to handle orders, shipping and general information. Technical and sales support personnel receive training on all our products and services. In addition to personalized telephone and technical support, we also market and sell consumable products 24 hours a day, seven days a week, via our webstore, www.transactsupplies.com.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design our products to optimize product performance, quality, reliability and durability. These designs combine cost efficient materials, sourcing and assembly methods with high standards of workmanship. Almost all of our printers and terminals are currently produced by a third party manufacturer located in Thailand. A small portion of our products are assembled in our Ithaca, New York facility largely on a configure-to-order basis using components and subassemblies that have been sourced from vendors and contract manufacturers around the world.</w:t>
      </w:r>
    </w:p>
    <w:p>
      <w:pPr>
        <w:sectPr>
          <w:pgSz w:w="11900" w:h="16838" w:orient="portrait"/>
          <w:cols w:equalWidth="0" w:num="1">
            <w:col w:w="11240"/>
          </w:cols>
          <w:pgMar w:left="320" w:top="364" w:right="3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 w:name="page7"/>
    <w:bookmarkEnd w:id="6"/>
    <w:p>
      <w:pPr>
        <w:jc w:val="both"/>
        <w:spacing w:after="0" w:line="270" w:lineRule="auto"/>
        <w:rPr>
          <w:sz w:val="20"/>
          <w:szCs w:val="20"/>
          <w:color w:val="auto"/>
        </w:rPr>
      </w:pPr>
      <w:r>
        <w:rPr>
          <w:rFonts w:ascii="Arial" w:cs="Arial" w:eastAsia="Arial" w:hAnsi="Arial"/>
          <w:sz w:val="17"/>
          <w:szCs w:val="17"/>
          <w:color w:val="auto"/>
        </w:rPr>
        <w:t>We procure component parts and subassemblies for use in the assembly of a small portion of our hardware products in Ithaca, New York. Critical component parts and subassemblies include thermal print heads, printing/cutting mechanisms, power supplies, motors, injection molded plastic parts, LCD screens, circuit boards and electronic components, which are obtained from domestic and foreign suppliers at competitive prices, subject to availability. As a result of the majority of our production being performed by our contract manufacturers, the majority of our purchases consist of fully 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have experienced and could continue to experience some disruption due to certain suppliers being unable to source specific components and we could experience temporary disruption in the availability of components. In addition, we could experience temporary disruption if certain suppliers ceased doing business with us, as described below.</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buy a majority of our thermal print mechanisms, an important component of our thermal printers, and fully assembled printers for substantially all of our printer and food service technology terminal models, from a foreign contract manufacturer in Thailand. We believe that other contract manufacturers could provide similar thermal print mechanisms or fully assembled printers and terminals, on comparable terms. We do not have supply agreements with foreign contract manufacturers, and we believe that our supply of thermal print mechanisms and fully assembled printers will be adequate in 2023 and the foreseeable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TransAct relies on a combination of trade secrets, patents, employee and third party nondisclosure agreements, copyright laws and contractual rights to establish and protect its proprietary rights in its products. As of January 31, 2023, we hold 34 United States and 34 foreign patents and have two foreign patent applications pending pertaining to our products. The remaining duration of these patents ranges from one to 17 years. The expiration of any individual patent would not have a significant negative impact on our business. We regard certain manufacturing processes and designs to be proprietary and attempt to protect them through employee and third 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Trade Names and Copyrights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Form 10-K are the property of their</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respective owners. The trademarks we own include TransAct®, BOHA!</w:t>
      </w:r>
      <w:r>
        <w:rPr>
          <w:rFonts w:ascii="Arial" w:cs="Arial" w:eastAsia="Arial" w:hAnsi="Arial"/>
          <w:sz w:val="28"/>
          <w:szCs w:val="28"/>
          <w:color w:val="auto"/>
          <w:vertAlign w:val="superscript"/>
        </w:rPr>
        <w:t>TM</w:t>
      </w:r>
      <w:r>
        <w:rPr>
          <w:rFonts w:ascii="Arial" w:cs="Arial" w:eastAsia="Arial" w:hAnsi="Arial"/>
          <w:sz w:val="17"/>
          <w:szCs w:val="17"/>
          <w:color w:val="auto"/>
        </w:rPr>
        <w:t>, AccuDate™, EPICENTRAL®, Ithaca® and Printrex®. Solely for convenience, some of the trademarks, service marks, trade names and copyrights referred to in this Form 10-K are listed without the ©, ® and ™ symbols, but we will assert, to the fullest extent under applicable law, our rights to our trademarks, service marks, trade names and copyrights.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Restaurants typically reduce purchases of equipment in the fourth quarter due to the increased volume of transactions during the holiday period, which may negatively impact sales of our food service technology products or POS printers.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 of this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Customers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IGT is our most significant customer, although to a lesser extent than in previous years, and has been since 1995. We sell casino and gaming printers and, prior to 2021, online lottery printers to IGT. On May 29, 2015, we signed an agreement with IGT to sell online lottery and casino printers to IGT on a non-exclusive basis through December 31, 2019. We decided not to renew the agreement upon its expiration and to exit the online lottery market. Although we no longer have an agreement with IGT, we expect to continue selling casino and gaming printers to IGT, as well as spare parts for our remaining, but declining, installed base of lottery printers,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Sales to IGT represented 10% and 9% of our total net sales for the years ended December 31, 2022 and 2021,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backlog of firm orders was approximately $27.5 million as of February 28, 2023, compared to $14.2 million as of February 28, 2022. The increase in firm orders as of February 28, 2023 compared to February 28, 2022 is due primarily to advance orders placed by our casino and gaming customers due to increased production lead time, resulting from worldwide supply chain shortages caused by the pandemic. Based on customers’ current delivery requirements, we expect to fill and recognize as revenue $26.9 million of our current backlog during 2023, $0.5 million during 2024 and the remaining balance of the amount during 2025.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 for transaction-based and specialty printers and food service technology terminals is extremely competitive, and we expect such competition to continue in the future. However, we experience less competition for EPICENTRAL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ectPr>
          <w:pgSz w:w="11900" w:h="16838" w:orient="portrait"/>
          <w:cols w:equalWidth="0" w:num="1">
            <w:col w:w="11240"/>
          </w:cols>
          <w:pgMar w:left="320" w:top="368" w:right="339" w:bottom="818"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818" w:gutter="0" w:footer="0" w:header="0"/>
          <w:type w:val="continuous"/>
        </w:sectPr>
      </w:pPr>
    </w:p>
    <w:bookmarkStart w:id="7" w:name="page8"/>
    <w:bookmarkEnd w:id="7"/>
    <w:p>
      <w:pPr>
        <w:jc w:val="both"/>
        <w:spacing w:after="0" w:line="287" w:lineRule="auto"/>
        <w:rPr>
          <w:sz w:val="20"/>
          <w:szCs w:val="20"/>
          <w:color w:val="auto"/>
        </w:rPr>
      </w:pPr>
      <w:r>
        <w:rPr>
          <w:rFonts w:ascii="Arial" w:cs="Arial" w:eastAsia="Arial" w:hAnsi="Arial"/>
          <w:sz w:val="16"/>
          <w:szCs w:val="16"/>
          <w:color w:val="auto"/>
        </w:rPr>
        <w:t>In the food service technology market, we primarily compete with Zenput, Squadle Inc., Jolt Software, Avery Dennison Corporation, Ecolab Inc., ITD Food Safety, CMC Daymark, Integrated Control Corp, Digi International, and Toast. We compete in this market based largely on our ability to provide highly specialized purpose-built hardware products, different software applications that can be chosen by a customer and ongoing technical support. We rely upon third party developed software and hosting services combined with our own proprietary hardware and software to offer a unique BOHA! branded solution to support back-of-house operations in the food service industry. Our competitors or others may develop, or may establish relationships with developers with the capability to develop, software and services that are similar to or competitive with ours, which may be disadvantageous to our competitive position. Certain portions of our food service technology software are licensed from a third party developer on a non-exclusive basis through 2031 and are subject to a revenue sharing arrangement with the developer. We are reliant upon the third party developer to further develop and maintain its developed software, and the developer controls the software source code. The license agreement does not preclude the developer from working with others on similar products. Also, the third party developer hosts the web-based applications. Therefore, presently, we are highly dependent upon this third party developer for continued service to our customers and the further development of our food service technology software products.</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POS automation market, we primarily compete with Epson America, Inc., which holds a dominant market position. We also compete, to a much lesser extent, with Star Micronics America, Inc. and Citizen -- CBM America Corporation. Certain competitors of ours have greater financial resources and lower costs attributable to higher volume production which enables them to occasionally offer lower prices than us.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casino and gaming market (consisting principally of slot machine printing, VLT transaction printing and promotional coupon printing), we compete with several companies including JCM Global, Nanoptix, Inc., Custom Engineering SPA, Eurocoin and others. Certain of our products sold for casino and gaming applications compete based upon our ability to provide highly specialized products, custom engineering and ongoing technical support. In 2022, we increased our overall market share due largely to our largest competitor’s inability to supply product due to supply chain issues.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oil and gas market, our Printrex products competed primarily with the products of Imaging Systems Group, Inc. and Neuralog Inc. However, we exited the oil and gas market at the end of 2021 in order to shift our focus toward our higher-value, technology enabled food service technology and gaming products.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in which TSG competes is highly fragmented, and we compete with numerous competitors of various sizes, including POS and internet resellers and paper converters depending on the geographic area.</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strategy for competing in our markets is to continually develop and/or license new products (hardware and software), such as launching BOHA! in 2019, and product line extensions that are technologically advanced and provide differentiated features and functions, to increase our market penetration, to take advantage of strategic relationships, and to lower the cost of our products by sourcing certain products overseas. Although we believe that our products, operations and relationships provide a competitive foundation, there can be no assurance that we will compete successfully in the future. In addition, our printer products utilize certain thermal printing technologies and licensed software. If new technologies are introduced, or existing technologies evolve, we may be required to incorporate these technologies into our products. Alternatively, if such technologies were to become available to our competitors, our printer products could become obsolete, which could have a significant negative impact on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compliance with federal, state and local laws and regulations relating to environmental protection and discharge of hazardous materials has not had a material impact on our capital expenditures, earnings or competitive position, and we do not anticipate any material impact from such compliance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make available free of charge through the “Investor Relations” tab on our Internet website, www.transact-tech.com, our Annual Report on Form 10-K, Quarterly Reports on Form 10-Q, Current Reports on Form 8-K, proxy statements and all amendments to those reports and statements as soon as reasonably practicable after such material is electronically filed with or furnished to the SEC pursuant to Sections 13(a) or 15(d) of the Securities Exchange Act of 1934, as amended (the “Exchange Act”). The SEC maintains an internet site that contains reports, proxy and information statements, and other information regarding issuers that file electronically with the SEC at http://www.sec.gov. The content on any website referred to in this Form 10-K is not incorporated by reference in this Form 10-K unless expressly noted.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As of December 31, 2022, TransAct and our subsidiaries employed 128 persons, all of whom were full-time employees. None of our employees are unionized, and we consider our relationships with our employees to be good.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7340" w:type="dxa"/>
            <w:vAlign w:val="bottom"/>
            <w:gridSpan w:val="2"/>
          </w:tcPr>
          <w:p>
            <w:pPr>
              <w:ind w:left="2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Bart C. Shuldman</w:t>
            </w: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shd w:val="clear" w:color="auto" w:fill="CCEEFF"/>
          </w:tcPr>
          <w:p>
            <w:pPr>
              <w:spacing w:after="0"/>
              <w:rPr>
                <w:sz w:val="18"/>
                <w:szCs w:val="18"/>
                <w:color w:val="auto"/>
              </w:rPr>
            </w:pPr>
          </w:p>
        </w:tc>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Steven A. DeMartino</w:t>
            </w:r>
          </w:p>
        </w:tc>
        <w:tc>
          <w:tcPr>
            <w:tcW w:w="9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53</w:t>
            </w:r>
          </w:p>
        </w:tc>
        <w:tc>
          <w:tcPr>
            <w:tcW w:w="7340" w:type="dxa"/>
            <w:vAlign w:val="bottom"/>
            <w:gridSpan w:val="2"/>
          </w:tcPr>
          <w:p>
            <w:pPr>
              <w:ind w:left="220"/>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Tracey S. Winslow</w:t>
            </w:r>
          </w:p>
        </w:tc>
        <w:tc>
          <w:tcPr>
            <w:tcW w:w="9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63</w:t>
            </w:r>
          </w:p>
        </w:tc>
        <w:tc>
          <w:tcPr>
            <w:tcW w:w="7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Revenue Officer</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Brent Richtsmeier</w:t>
            </w:r>
          </w:p>
        </w:tc>
        <w:tc>
          <w:tcPr>
            <w:tcW w:w="9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58</w:t>
            </w:r>
          </w:p>
        </w:tc>
        <w:tc>
          <w:tcPr>
            <w:tcW w:w="7340" w:type="dxa"/>
            <w:vAlign w:val="bottom"/>
            <w:gridSpan w:val="2"/>
          </w:tcPr>
          <w:p>
            <w:pPr>
              <w:ind w:left="220"/>
              <w:spacing w:after="0"/>
              <w:rPr>
                <w:sz w:val="20"/>
                <w:szCs w:val="20"/>
                <w:color w:val="auto"/>
              </w:rPr>
            </w:pPr>
            <w:r>
              <w:rPr>
                <w:rFonts w:ascii="Arial" w:cs="Arial" w:eastAsia="Arial" w:hAnsi="Arial"/>
                <w:sz w:val="18"/>
                <w:szCs w:val="18"/>
                <w:color w:val="auto"/>
              </w:rPr>
              <w:t>Chief Technology Officer</w:t>
            </w:r>
          </w:p>
        </w:tc>
      </w:tr>
    </w:tbl>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Bart C. Shuldman has been Chief Executive Officer and a Director of the Company since its formation in June 1996. Mr. Shuldman served as President of the Company from its formation until June 2010, when he relinquished the President title to focus on new products and markets, international expansion and potential acquisitions. Mr. Shuldman also served as Chairman of the Board from February 2001 through March 2022.</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Steven A. DeMartino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Tracey S. Winslow was appointed Chief Revenue Officer of the Company in March 2023 with responsibility for worldwide sales in all of the Company’s markets. Prior to this appointment, Ms. Winslow served as Senior Vice President, Casino and Gaming Sales from June 2010 to February 2023, with responsibility for the sales and marketing of all casino and gaming products. Previously, Ms. Winslow served as Senior Vice President, Sales and Marketing from June 2007 to May 2010, Senior Vice President, Marketing and Sales, POS and Banking with the Company from July 2006 to June 2007, and joined TransAct in May of 2005 as Senior Vice President, Marketing. Prior to joining TransAct, Ms. Winslow was employed with Xerox Corporation where she held the role of Manager, Worldwide Marketing since 2003, and Manager, Sales Operations from 2000 to 2002. She joined Xerox Corporation in 1983.</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Brent Richtsmeier was named as Chief Technology Officer in September 2021. Previously, Mr. Richtsmeier served as Senior Vice President, Software Engineering since joining TransAct in December 2019 and was appointed as an officer of the Company in January 2021. Prior to joining TransAct, Mr. Richtsmeier was employed with Samsung, an electronics corporation, from May 2004 until November 2017 as the VP of Development where he was responsible for software strategy, software development at scale and business development. In November 2017, Samsung Electronics sold their business products division to HP Inc, and Mr. Richtsmeier transferred to HP Inc to become the Global Head of Cloud and Mobile Software Solutions until joining TransAct in 2019.</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family relationships between any of our executive officers and there is no arrangement or understanding between any of such officers and any other person pursuant to which he or she was selected as an officer. Each of our executive officers was elected by the Board of Directors to hold office until his or her successor is elected and qualified or until his or her earlier resignation or removal.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Investors should carefully consider the risks, uncertainties and other factors described below, as well as other disclosures in Item 7.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and uncertainties not presently known to us, or that we currently believe to be immaterial, may also impair our business operations. In the event that such risks or uncertainties materialize, our business, financial condition, and results of operations could be materially adversely affected.</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Form 10-K to reflect actual results, changes in assumptions or other factors affecting such forward-looking statements, except as required by law.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Future Operating Results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experienced a net loss in 2020, 2021 and 2022, we anticipate making further investments in product development and may increase expenses in the future, and we may not be able to achieve, maintain or increase profitability in future periods.</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incurred a net loss of $5.9 million, $4.0 million and $5.6 million in 2022, 2021 and 2020, respectively, we anticipate making further investments in product development and may increase expenses in future periods, and we may not be able to achieve, maintain or increase profitability in the future. We have expended and expect to continue to expend substantial financial and other resources on developing our food service technology business, including expanding our offerings, developing or acquiring new products and services and increasing our sales and marketing efforts. These efforts may be more costly than we expect and may not result in increased revenue or growth in our food service technology business. Any failure to increase our revenue sufficiently to keep pace with our investments and other expenses could prevent us from achieving, maintaining or increasing profitability or positive cash flow on a consistent basis. This risk may be exacerbated by current economic conditions, which have resulted and may continue to result in increased costs and may, despite the demand recovery we experienced in 2022, result in decreased demand for our products. If we are unable to successfully address these risks and challenges as we encounter them, our business, financial condition, and results of operations could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results and financial condition may fluctuate from quarter to quarter and year to 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occur due to a number of factors, including, but not limited to, those identified below and throughout this “Risk Factors” section:</w:t>
      </w:r>
    </w:p>
    <w:p>
      <w:pPr>
        <w:spacing w:after="0" w:line="215"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consumables and the generation of sales from those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geographic distribution of our sales and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that we spend to develop, acquire or license new products, consumables, technologies or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third party components at reasonable prices or at all;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inflation and changes in interest rates affecting returns on cash balances and investments, that affect customer demand;</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dependence of our supply chain on a few, foreign third party manufacturers and suppliers and the impact on our supply chain of product or component shortages and cost increases due to events beyond our control, including the COVID-19 pandemic, inflation and political or social instability such as the ongoing Russia-Ukraine conflict;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events, public health crises, military actions and other external events out of our control that can disrupt our operations or the operations of our customers’ or suppliers’ facilities; and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all of the foregoing factors, and the other risks discussed in this Form 10-K, quarter-to-quarter comparisons of our operating results may not be an indicator of future performance.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Risks Relating to the COVID-19 Pandemic and Global Political and Economic Conditions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COVID-19 pandemic and the resulting economic conditions have had an adverse impact on our business, operations, financial condition, results of operations and capital resources, as well as on the operations and financial performance of many of our customers and suppliers. We are unable to predict the ultimate extent to which the pandemic and related economic effects will adversely impact our business, operations, financial condition, results of operations, capital resources and the achievement of our strategic objectives.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Since early 2020, the COVID-19 pandemic has continued to cause uncertainty and disruption in the global economy and financial markets. We have also been impacted by global supply chain issues, increased shipping costs and inflationary pressures, which have increased our costs and, in some instances, slowed our ability to deliver products to our customers. During 2021, our inventory levels decreased significantly as a result of these supply chain disruptions, and we experienced significantly lower sales levels until we were able to modify our products that were affected by supply chain disruptions or source component parts from alternate suppliers. During 2022, we were able to increase our inventory levels and reduce the impact to our customers by modifying certain products that were affected by supply chain disruptions as well as sourcing component parts from alternate suppliers. However, there can be no assurance that new or continuing supply chain disruptions will not affect our products or that we will be able to make timely modifications or find alternate suppliers to address any future supply chain issues that may arise, or that we will be able to offset any future cost increases, should they arise, by increasing prices of our products. After a slowdown in the first quarter of 2022 resulting from the Omicron and other variants of COVID-19, we continued to experience demand recovery during the remainder of 2022 and into 2023, but there can be no guarantee that this trend will continue, and the exact timing and pace of recovery may be impacted by global economic conditions. If recovery does not occur at the pace we anticipate, if we cannot offset our cost increases or otherwise manage costs, or if supply chain disruptions cause us to be unable to meet customer demand, this may have a material adverse impact on our business, operations, financial condition, results of operations and capital resources.</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any of the risks and uncertainties set forth in this Form 10-K could be further heightened by the COVID-19 pandemic and the resulting economic effects, which could have a material adverse effect on the Company’s business, prospects, financial condition, results of operations and capital resources and the achievement of our strategic objectives.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purchase component parts and consumable products from third party and sole source suppliers, and any interference with this supply chain may impact our ability to manufacture and sell our products.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rely on third party or sole source suppliers to provide certain key components for our products. We do not have guaranteed supply contracts with any of our component suppliers, and our suppliers could delay shipments, increase prices or cease manufacturing or selling such components to us at any time, including as a result of the current global microchip shortage. Such disruptions have resulted in delays in delivery of products to customers and could in the future result in additional delays, even if we are able to source components from alternate suppliers. Supply chain disruptions have impacted, and could continue to impact, our ability to maintain sufficient inventory on hand. As a result, we have paid, and may continue to pay, increased shipping charges to expedite our receipt of components and inventory and the delivery of finished products to our customers. In addition, we have incurred increased costs to obtain certain products and components from alternate suppliers when our usual suppliers did not have products available for us, and we may incur such costs in the future if we need to seek alternate suppliers for any of our components. Cost increases and component shortages may be exacerbated by events beyond our control, such as changing economic conditions, inflation, currency and commodity price fluctuations, tariffs, resource availability, transportation costs, weather conditions and natural disasters, political unrest and instability, war (such as the ongoing military conflict between Russia and Ukraine) and other factors impacting supply and demand pressures. Continued or worsening disruptions in the supply chain of such component parts and consumable products could delay our production or release of our new products, cause us to incur additional freight costs and hinder our ability to meet our commitments to customers. If we are unable to obtain sufficient quantity of these components on commercially reasonable terms or in a timely manner, or if we are unable to obtain alternative sources for the components, sales of our products could be delayed or halted entirely or we may have to redesign our products , as we did with certain products in the recent past, to help meet market demand. There can be no assurance that any cost increases attributable to supply chain disruptions can be fully offset by price increases, or that we will continue to be able to fulfill orders on time, and continued or prolonged impacts on our supply chain may result in lost sales, reduced gross margins or damage to our end-customer relationships, which would have a material adverse effect on our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political unrest or a downturn in economic conditions may disrupt our business.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Geopolitical events, social unrest, war, including repercussions of the recent military conflict between Russia and Ukraine, terrorism, political instability, acts of public violence, boycotts, labor discord or disruptions, hostilities, social unrest, pandemics (in addition to the COVID-19 pandemic), natural disasters or other catastrophic events may cause damage or disruption to our operations, international commerce, and the global economy, and thus could harm our business. In particular, the reactions of governments, markets, and the general public to such events, many of which are beyond our control, may result in a number of adverse consequences for our customers, business, operations, and results of operations.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example, the continuing military conflict between Ukraine and Russia, as well as the financial and trade-related restrictions associated with Russia and Belarus and economic sanctions on certain individuals and entities in Russia and Belarus, have continued to impact international trade relations, and resulted in sustained increases in the cost of materials and components, while higher oil and other commodity prices have resulted in further increased shipping and transportation costs. If the conflict persists or escalates, this may further disrupt global supply chains and could result in shortages of key materials or components that our suppliers require to satisfy our needs. Any increases in the cost, or shortages, of raw materials, components or energy may continue to create supply issues that could constrain manufacturing levels for our products.</w:t>
      </w:r>
    </w:p>
    <w:p>
      <w:pPr>
        <w:sectPr>
          <w:pgSz w:w="11900" w:h="16838" w:orient="portrait"/>
          <w:cols w:equalWidth="0" w:num="1">
            <w:col w:w="11240"/>
          </w:cols>
          <w:pgMar w:left="320" w:top="364" w:right="3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In addition, based on the complex relationships among China, Hong Kong, Taiwan, and the United States, there is risk that political, diplomatic, and national security influences might lead to trade, technology, or capital disputes, or disruptions that may affect our business or suppliers in Asia. These tensions may be exacerbated by continuing sanctions imposed in connection with the Russia–Ukraine conflict, as there continues to be uncertainty with respect to China’s willingness to support ongoing or expanded sanctions, which could distance China from its existing trade partners, potentially creating a significant negative impact on our business or on the regional or global economy.</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of a major earthquake, hurricane or catastrophic event such as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 Any downturn in the economy in general, including the current economic impacts of the COVID-19 pandemic (including inflation relating to supply chain disruptions caused by the pandemic) and the impact of the Russia–Ukraine conflict, or in the food service or gaming industry in particular could result in a reduced demand for our products and could adversely affect our business and results of operations. In addition, heightened security measures or responses to hostilities may cause certain governments to restrict the import or export of goods, as has occurred with respect to the export of oil from Russia, which may have an adverse effect on our ability to buy and sell goods or on the cost to obtain components.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Overestimates or underestimates in our manufacturing forecasts could cause us to hold insufficient or excess inventory or result in delays in the manufacturing and delivery of our products, which could interfere with our ability to retain orders or provide services to our customers.</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fail to predict our manufacturing requirements accurately, we could incur additional costs or experience manufacturing delays. We currently use a rolling 12-month forecast based primarily on our anticipated product orders and our product order history to help determine our requirements for components and materials. It is important that we accurately predict both the demand for our products and the lead-time required to obtain the necessary components and raw materials. We have also modified our products in the past to substitute available components in the place of those that have become scarce or difficult to obtain, and in some instances have identified alternate sources for certain components.</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Lead times for materials and components that we order vary significantly and depend on factors such as the specific supplier, the size of the order, contract terms, and demand for each component at a given time, as well as supply shortages with respect to raw materials needed to produce the components. If we underestimate our requirements, or if we are unable to obtain components on time due to supply shortages, as has occurred in the wake of the COVID-19 pandemic and global supply chain disruptions, we may have inadequate manufacturing capacity or inventory, which could interrupt manufacturing of our products and interfere with our ability to timely deliver products to our customers and adversely impact our sales. If we overestimate our requirements, we could have excess inventory of parts and finished products. Some of the actions we have taken to meet customer demand in the face of supply chain disruptions have raised our costs and decreased margins on our products, and any such actions that we take in the future could have a similar effect. Any future underestimate or overestimate of supply requirements, and any actions we may take in the future to navigate supply chain disruptions, could have a material adverse effect on our business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whom could have a material adverse impact on our business.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may depend in significant part upon the continued service of certain key management and other personnel. There can be no assurance that we will be able to recruit and retain such personnel. The loss of either Bart C. Shuldman, the Company’s Chief Executive Officer, or Steven A. DeMartino, the Company’s President, Chief Financial Officer, Treasurer and Secretary, or the loss of certain groups of key employees, could have a material adverse effect on our business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recruit, retain, and develop qualified personnel is critical to our success and growth.</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successfully compete and grow our business, we must recruit, develop and retain highly qualified managerial, technical and sales and marketing personnel. In addition, we must develop, maintain and, as necessary, implement appropriate succession plans to ensure we have the necessary human resources capable of maintaining continuity in our business.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We are also substantially dependent on our sales force to obtain new customers and increase sales to existing customers. There is significant competition for sales personnel with the skills and technical knowledge that we require. Our ability to achieve significant revenue growth will depend, in large part, on our success in recruiting, training, and retaining a sufficient number of sales personnel to support our growth. If we are unable to hire, train, and retain a sufficient number of qualified and successful sales personnel, our business, financial condition, and results of operations may be harmed.</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food service technology business depends substantially on our customers renewing their subscriptions with the Company. Any decline in our customer renewals could harm our food service technology business, results of operations and financial condition.</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subscription offerings are term-based, and in order for us to maintain or improve our results of operations, it is important that our customers renew their subscriptions with us when the existing subscription term expires and renew on the same terms or terms more favorable to the Company. Our customers have no obligation to renew their applications and subscriptions, and they may not renew one or more of their applications as they are purchased separately and individually. We also may not be able to accurately predict customer renewal rates. Customers may elect not to renew their subscriptions with us for a variety of reasons, including as a result of changes in their strategic priorities, budgets and costs and, in some instances, due to competing solutions. Our retention rate may also decline or fluctuate as a result of a number of other factors, including our customers’ satisfaction or dissatisfaction with our solutions, the increase in the contract value of subscription and support contracts from new customers, the effectiveness of our customer support services, our pricing, the prices of competing products or services, global economic conditions and the other risk factors described herein. As a result, there can be no assurance that our food service technology customers will renew any or all of their individually purchased application subscriptions. If our customers do not renew their subscriptions or renew on less favorable terms, our business, results of operations and financial condition may be adversely affected.</w:t>
      </w:r>
    </w:p>
    <w:p>
      <w:pPr>
        <w:sectPr>
          <w:pgSz w:w="11900" w:h="16838" w:orient="portrait"/>
          <w:cols w:equalWidth="0" w:num="1">
            <w:col w:w="11240"/>
          </w:cols>
          <w:pgMar w:left="320" w:top="368" w:right="339" w:bottom="318"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318" w:gutter="0" w:footer="0" w:header="0"/>
          <w:type w:val="continuous"/>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Because we rely in part on revenue from subscription contracts and recognize revenue from subscription contracts over the term of the relevant subscription period, downturns or upturns in sales are not immediately reflected in full in our results of operations.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Subscription services revenue accounts for a growing portion of our food service technology revenue. Sales of new or renewal subscription contracts may decline or fluctuate as a result of a number of factors, including customers’ level of satisfaction with our solutions, the prices of our subscriptions, the prices and features of products or subscriptions offered by our competitors, reductions in our customers’ spending levels, or other changes in consumer behavior. If our sales of new or renewal subscription contracts decline, our revenue and revenue growth may decline. We recognize subscription revenue ratably over the term of the relevant subscription period, which is generally 12 months in duration. As a result, much of the subscription revenue we report each quarter is derived from subscription contracts that we sold in prior quarters.</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Consequently, a decline in new or renewed subscription contracts in any one quarter will not be fully reflected in revenue in that quarter but will negatively affect our revenue in future quarters. Accordingly, the effect of significant downturns in new or renewal sales of our subscriptions is not reflected in full in our results of operations in a given period. Also, it is difficult for us to rapidly increase our subscription revenue through additional sales in any period, as revenue from new and renewal subscription contracts must be recognized ratably over the applicable subscription period. Furthermore, any increases in the average term of subscription contracts would result in revenue for those subscription contracts being recognized over longer periods of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customers rely on us and our third party service providers for support of our software and services included in our food service technology subscription packages. High-quality support is important for the renewal and expansion of our agreements with existing customers. The importance of high-quality support will increase as we expand our business and pursue new customers. If we or our third party service providers do not help our customers quickly resolve issues and provide effective ongoing support, our ability to sell new food service technology products to existing and new customers could suffer and our reputation and relationships with existing or potential customers could be harmed.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experience elements of seasonal fluctuations in the food service technology and POS markets which could cause our stock price to fluctuate.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food service technology business is highly dependent on the behavior patterns of our customers and their guests. Restaurants typically reduce purchases of equipment in the fourth calendar quarter due to the increased volume of transactions during the holiday period, which may negatively impact sales of our food service technology products or POS printers during that period. As a result, seasonality may cause fluctuations in our financial results, and other trends that develop may similarly impact our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Data Security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Cyber-security and privacy breaches, cyber-attacks, or other disruptions could expose us to liability, affect our business, and damage our reputation.</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increasingly dependent on our information technology systems and infrastructure for our business. We collect, store, and transmit sensitive information including intellectual property, proprietary business information and personal information of employees and, to a lesser extent, customers in connection with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Further, our BOHA! applications are hosted within cloud platforms that are managed by third parties. Any such breach could compromise our networks and the information stored there could be accessed, publicly disclosed, lost or stolen, and our business operations may be interrupted. If our systems become compromised, we may not promptly discover the intrusion. Like other companies in our industry, we have experienced attacks to our data and systems, including malware and computer viruses that we have been able to detect and eliminate. However, as disclosed on November 16, 2022, a criminal cybersecurity incident impacted our operational and information technology systems. The Company worked with a team of forensic experts to fully understand the extent and implications of this incident and we fully restored operations within a remediated environment. If our systems fail or are breached or disrupted by other future attacks, we could lose product sales, and suffer reputational damage and loss of customer confidence. Such incidents could require notification to affected individuals and may result in legal claims or proceedings and liability under federal and state laws that protect the privacy and security of personal information. If third parties use a cyber-attack to gain access to our proprietary information, they may sell it or use it to duplicate our products, which could put us at a competitive disadvantage. Any one of these events could cause our business to be materially harmed and our results of operations to be adversely impacted, and there can be no assurance that the insurance that we maintain to address certain aspects of cyber-security risks will be sufficient to cover all losses or all types of claims that may arise.</w:t>
      </w:r>
    </w:p>
    <w:p>
      <w:pPr>
        <w:spacing w:after="0" w:line="34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These risks may be exacerbated by global political unrest. For example, the Russia–Ukraine conflict and related sanctions imposed by the U.S. government may expose government entities and public and private U.S. companies to attempted or actual cyber-security attacks launched in retaliation, and these attacks could materially disrupt our supply chain or our systems and operations or those of our customers and suppliers.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The inability to protect our intellectual property rights could harm our reputation, damage our business or interfere with our competitive position.</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intellectual property is valuable and provides us with certain competitive advantages. Copyrights, patents, trademarks, service marks, trade secrets, technology licensing agreements, nondisclosure agreements and contracts are used to protect these proprietary rights. Despite these precautions, it may be possible for third parties to copy aspects of our products or, without authorization, to obtain and use information that we regard as trade secrets. Our pending patents may be denied, and our patents may be circumvented by our competitors. In addition, the laws of some foreign countries do not protect our proprietary rights as fully as do the laws of the United States. There can be no assurance that our means of protecting our proprietary rights in the United States or abroad will be adequate or that competing companies will not independently develop similar technologies. Our failure to adequately protect our proprietary rights could have a material adverse effect on our competitive position and our business.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Prosecuting or defending against intellectual property litigation could be time consuming and costly, and an claims that we have infringed upon the intellectual property rights of others could impede our business and put us at a competitive disadvantage.</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Prosecuting and defending against intellectual property litigation is generally complex, costly, protracted, and highly disruptive to business operations by diverting the attention and energies of management and key technical personnel. We are committed to aggressively asserting and defending our technology and related intellectual property rights, which we have spent a significant amount of money to develop. Similarly, third parties have claimed and may claim, from time to time in the future, that we have violated their intellectual property rights. In the event that a court rules that we have violated a third party’s patent or other intellectual property rights, we may be prevented from operating our business as planned and may be required to pay damages, to obtain a license, if available, or to use a non-infringing method, if possible, to accomplish our objectives. Any such claims could result in costly litigation and, if successful, could result in costly judgments or settlements, and there can be no assurance that a license or a substitute technology will be available on favorable terms, or at all. Any such outcome could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revenue and profitability depend on our ability to continue to develop or license, on a timely basis, new products and technologies which are free from hardware or software anomalies and cannot be fraudulently manipulated, and customer acceptance of such products.</w:t>
      </w:r>
    </w:p>
    <w:p>
      <w:pPr>
        <w:spacing w:after="0" w:line="1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depends upon our and our development partners’ ability to timely adapt our capabilities and processes to meet the demands of producing new and innovative products. Because our newer products contain software and generally are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Developers, on our behalf, successfully develop such products, there is no assurance that our innovations will be accepted by our customers. Developing and marketing new products, such as our line of BOHA! products, is costly, and our business could be materially adversely affected if we are unable to generate sales of such products or if our existing or new customers do not quickly accept such products. Customer acceptance is crucial because new products typically have little competition and market penetration due to their novelty. Customer acceptance of new products is never assured and may take time to materialize, even with respect to products developed with customer input. Further, technological innovation often results in unintended consequences such as bugs, vulnerabilities, and other system failures. Any such bug, vulnerability, or failure, especially in connection with a significant technical implementation or change, could result in lost business, harm to our brand or reputation, consumer complaints, and other adverse consequences, any of which could materially adversely affect our business, results of operations,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Partners and Suppliers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an unrelated third party to develop, maintain and host certain portions of our food service technology software, and any disruption in the relationship with that third party, or any defects in the software provided by that third party, could have a material adverse effect on our reputation, business, financial condition and results of operations.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upon third party developed software and hosting services combined with our own proprietary hardware and software to offer our unique BOHA! branded solution to support back-of-house operations in the food service industry. Certain web-based food service application software and selected components of our downloadable software applications are licensed from a third party developer on a non-exclusive basis through 2031 and are subject to a revenue sharing arrangement with the developer. We are reliant upon the third party developer to further develop and maintain its developed software, and the developer controls the software source code. Therefore, presently, we are highly dependent on this third party developer for continued service to our customers and the further development of our food service technology software products. If the software provider were to terminate operations or otherwise be unavailable to provide maintenance, hosting and development services to us and our customers, the availability or usage of our software products could be disrupted and our customers could be adversely affected. In any such case, we may need to seek comparable software and services from other third parties or develop it internally, which could require significant time and expense. There can be no assurance that such software or services would be available from other sources, or that if available, they would be of comparable quality and cost. Moreover, any efforts to develop new software, whether internal or by third-parties, would require significant lead time, and there could be an interruption in service during any period in which the software provider ceases to provide products and services and new products remain under development. Any such occurrence could materially and adversely impact our business, financial condition and results of operations.</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errors or defects in, or failures of, third party software or applications could result in errors or defects in or failures of our food service technology products and services, which could be costly to correct and have a material adverse effect on our reputation, business, financial condition and results of operations.</w:t>
      </w:r>
    </w:p>
    <w:p>
      <w:pPr>
        <w:sectPr>
          <w:pgSz w:w="11900" w:h="16838" w:orient="portrait"/>
          <w:cols w:equalWidth="0" w:num="1">
            <w:col w:w="11240"/>
          </w:cols>
          <w:pgMar w:left="320" w:top="368"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4" w:name="page15"/>
    <w:bookmarkEnd w:id="14"/>
    <w:p>
      <w:pPr>
        <w:jc w:val="both"/>
        <w:spacing w:after="0" w:line="301" w:lineRule="auto"/>
        <w:rPr>
          <w:sz w:val="20"/>
          <w:szCs w:val="20"/>
          <w:color w:val="auto"/>
        </w:rPr>
      </w:pPr>
      <w:r>
        <w:rPr>
          <w:rFonts w:ascii="Arial" w:cs="Arial" w:eastAsia="Arial" w:hAnsi="Arial"/>
          <w:sz w:val="16"/>
          <w:szCs w:val="16"/>
          <w:b w:val="1"/>
          <w:bCs w:val="1"/>
          <w:i w:val="1"/>
          <w:iCs w:val="1"/>
          <w:color w:val="auto"/>
        </w:rPr>
        <w:t>We are currently dependent upon a manufacturer located in Thailand for the manufacturing and assembly of a substantial portion of our printers and terminals, and any further or future disruption in the businesses or operations of this manufacturer, such as those caused by the COVID-19 pandemic, political, social or economic instability, war, trade restrictions or tariffs, severe weather, changes in climate, additional public health crises and other events out of our control could materially adversely affect our business, financial condition and results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 effort to maximize cost savings and operation benefits, we have outsourced substantially all of the manufacturing and assembly of our printers and terminals to a contract manufacturer located in Thailand. As a result, we are dependent on them for the manufacturing of our products, and any disruption in such manufacturing or the export of products from this manufacturer to the U.S. may adversely affect our business, financial condition and results of operations.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Risks affecting the businesses and operations of our manufacturer in Thailand include: political and regional strife; war; labor shortages; severe weather and natural disasters such as earthquakes, hurricanes, fires, and floods, whether as a result of climate change or otherwise; lengthy power outages; increased pricing, financial instability and capacity constraints of shippers; government imposition of tariffs which may impact the cost or availability of products or components that we purchase; and concerns with or threats of public health crises, contagious diseases or health epidemics. Though we are seeking a second source, the risk to our business posed by any disruption in manufacturing is exacerbated by the concentration of substantially all of our manufacturing operations in one manufacturer located in Thailand.</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contract manufacturer is unable to manufacture our products or continue operating their facilities, as occurred in connection with the COVID-19 pandemic,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also incur increased business continuity and reputational risks to the extent that we continue to outsource the manufacturing and assembly of our products to foreign third party service providers. For example, outsourcing of manufacturing prevents us from exercising control over the assembly of certain of our products and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 Outsourcing also exposes us to increased risk of infringement or misappropriation of our intellectual property, to which our manufacturers have access. Because our manufacturer is located in Asia, there is no guarantee that our intellectual property rights will be protected or enforced to the same extent as under U.S. federal and state laws. Consequently, we may not be able to prevent third parties from developing or selling products made using our technologies.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distributors and resellers to sell our products and services.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dependence upon distributors and resellers exposes us to numerous risks, including:</w:t>
      </w:r>
    </w:p>
    <w:p>
      <w:pPr>
        <w:spacing w:after="0" w:line="19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concentration of credit risk, including disruption in distribution should the distributors, and / or resellers’ financial condition deteriorate;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distributors or resellers leveraging their buying power to change the terms of pricing, payment and product delivery schedules;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competition should a distributor or reseller decide to manufacture printers internally or source printers from a competitor.</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on third party service providers to host our food service technology software and deliver certain services, and any interruptions or delays in services from these third parties could impair the delivery of our products and services, and our business, results of operations, and financial condition could be materially adversely affected.</w:t>
      </w:r>
    </w:p>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rely on a third party service provider to host our food service technology software. Third parties also provide services to key aspects of our operations, including Internet connections and networking, data storage and processing, trust and safety and security infrastructure. We do not control the operation, physical security, or data security of any of these third party providers. Our efforts to use commercially reasonable diligence in the selection and retention of such third party providers may be insufficient or inadequate to prevent or remediate such operational and security risks. Our third party providers may be subject to intrusions, computer viruses, denial-of-service attacks, sabotage, acts of vandalism, acts of terrorism or other misconduct. They are vulnerable to damage or interruption from power loss, telecommunications failures, fires, floods, earthquakes, hurricanes, tornadoes, and similar events, and they may be subject to financial, legal, regulatory, and labor issues, each of which may impose additional costs or requirements on us or prevent these third parties from providing services to us or our customers on our behalf. From time to time, our software maintained by these third parties has experienced brief interruptions in service which we have been able to resolve promptly by working with the third-party providers, and there may be future such interruptions that could have a material adverse effect on our customer relationships or be more costly or time-consuming to resolve. In addition, these third parties may breach their agreements with us, disagree with our interpretation of contract terms or applicable laws and regulations, refuse to continue or renew these agreements on commercially reasonable terms or at all, fail to or refuse to process transactions or provide other services adequately, take actions that degrade the functionality of our platform and services, increase prices, impose additional costs or requirements on us or our customers, or give preferential treatment to our competitors. If we are unable to procure alternatives in a timely and efficient manner and on acceptable terms, or at all, we may be subject to business disruptions, losses, or costs to remediate any of these deficiencies. The occurrence of any of the above events could result in reputational damage, legal or regulatory proceedings, loss of customers or other adverse consequences, any of which could materially adversely affect our business, results of operations, and financial condition.</w:t>
      </w:r>
    </w:p>
    <w:p>
      <w:pPr>
        <w:sectPr>
          <w:pgSz w:w="11900" w:h="16838" w:orient="portrait"/>
          <w:cols w:equalWidth="0" w:num="1">
            <w:col w:w="11240"/>
          </w:cols>
          <w:pgMar w:left="320" w:top="368" w:right="3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Risks Related to Competition, Sales and Marketing</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face significant competition in developing and selling our printers, terminals, software, consumables and services. Our principal competitors have substantial marketing, financial, development and personnel resources. To remain competitive, we believe we must continue to provide:</w:t>
      </w:r>
    </w:p>
    <w:p>
      <w:pPr>
        <w:spacing w:after="0" w:line="10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technologically advanced products that satisfy user demands;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which may include relationships with our software developer. Any of these factors could reduce our earnings.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food service technology market operates in an emerging and evolving industry, which makes it difficult to evaluate the future prospects of this market.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launched our BOHA! offering in 2019 and have grown our food service technology significantly since then. This is still an emerging market that is continually evolving as technology develops to automate back-of-house tasks that were historically performed manually. This evolving nature of the food service technology market may make it difficult to evaluate our future prospects in this market and the risks and challenges we may encounter. These risks and challenges include, but are not limited to, our ability to:</w:t>
      </w:r>
    </w:p>
    <w:p>
      <w:pPr>
        <w:spacing w:after="0" w:line="14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accurately forecast our revenue and plan our operating expenses;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the number of customers (and retain existing customers and their guests) using our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compete with current and future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expand our market presence business in existing markets and enter new markets and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and enhance the value of our reputation and brand;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adapt to rapidly evolving trends in the ways our customers interact with technology;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respond to customer needs with technology developments that enable our products to evolve to meet the changing demands of the marketplace;</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 interruptions or disruptions in our service;</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 the risk of loss relating to food safety issues if there is a failure of our offerings designed to help in part to help assure perishable goods are safely preserved;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Customers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sales to one large customer; the loss of this customer or reduction in orders from this customer could materially affect our sales.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Casino and gaming sales and lottery printer spare parts sales to IGT represent a material percentage of our net sales.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and Strategic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business strategy, we intend to pursue a growth strategy. Assuming this growth occurs, it will require the expansion of customer relationships in domestic and international markets, the successful development and marketing of new products for our existing and new markets, expanded internal sales and marketing, customer service and support, and the continued implementation and improvement of our operational, financial and management information systems.</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If we pursue acquisitions, we may incur legal, accounting and other transaction-related expenses for unsuccessful acquisition attempts that could adversely affect our results of operations in the period in which they are incurred. There is no guarantee that any acquisitions will be accretive, or that future acquisitions will not result in additional impairments or write-downs. The existence of one or more material liabilities of an acquired company that are unknown to us at the time of acquisition could result in our incurring those liabilities.</w:t>
      </w:r>
    </w:p>
    <w:p>
      <w:pPr>
        <w:sectPr>
          <w:pgSz w:w="11900" w:h="16838" w:orient="portrait"/>
          <w:cols w:equalWidth="0" w:num="1">
            <w:col w:w="11240"/>
          </w:cols>
          <w:pgMar w:left="320" w:top="364" w:right="339"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jc w:val="both"/>
        <w:spacing w:after="0" w:line="286" w:lineRule="auto"/>
        <w:rPr>
          <w:sz w:val="20"/>
          <w:szCs w:val="20"/>
          <w:color w:val="auto"/>
        </w:rPr>
      </w:pPr>
      <w:r>
        <w:rPr>
          <w:rFonts w:ascii="Arial" w:cs="Arial" w:eastAsia="Arial" w:hAnsi="Arial"/>
          <w:sz w:val="17"/>
          <w:szCs w:val="17"/>
          <w:color w:val="auto"/>
        </w:rPr>
        <w:t>There can be no assurance that we will be able to successfully implement a growth strategy, or that we can successfully manage expanded operations, if they occur. If we expand, we may from time-to-time experience constraints that will adversely affect our ability to satisfy customer demand in a timely fashion. Failure to manage growth effectively could adversely affect our results of operations and financial condition.</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execute future acquisitions, dispositions or other strategic transactions or to successfully manage the impacts of such transactions on our operations.</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Acquisitions, dispositions and other strategic transactions involve a number of risks, including: (i) the potential disruption of our ongoing business; (ii) the distraction of management away from the ongoing oversight of our existing business activities; (iii) incurring additional indebtedness or issuing equity that may be dilutive to existing stockholders; (iv) the anticipated benefits and cost savings of those transactions not being realized fully, or at all, or taking longer to realize than anticipated; (v) an increase in the scope and complexity of our operations; (vi) the loss or reduction of control over certain of our assets; and (vii) the depletion of cash to pay for an acquisition. There can be no assurance that we will find suitable opportunities for strategic transactions at acceptable prices, have sufficient capital resources to pursue such transactions, be successful in negotiating required agreements, or successfully close transactions after signing such agreements. A strategic transaction may result in a significant change in the nature of our business, operations and strategy, and we may encounter unforeseen obstacles or costs in implementing a strategic transaction or integrating any acquired business into our operations. We cannot predict the number, timing or size of future strategic transactions, if any, or the effect that any such transactions might have on our operating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addition to maintaining offices in the UK and Macau, we sell and ship a significant portion of our products internationally and rely on third parties that make up part of our global salesforce. The international nature of our operations may expose us to certain risks associated with doing business outside of the U.S., including risks posed by tariffs and changes in trade relations.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In addition, our manufacturer and suppliers are largely located in Asia. As a result, our products are largely exported to one of our facilities in the United States, which makes our operations vulnerable to disruptions in trade that could adversely affect our business results.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international operations, including our reliance on manufacturers and suppliers located in Asia, our worldwide sales team, and our sales to customers located outside the United States, expose us to disruptions in trade and other associated risks such as:</w:t>
      </w:r>
    </w:p>
    <w:p>
      <w:pPr>
        <w:spacing w:after="0" w:line="130"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additional duties, tariffs, quotas, taxes, trade barriers, capital flow restrictions and other charges on imports and exports by the United States or the governments of the countries in which we or our manufacturers and suppliers operate;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delivery of cargo due to port security considerations, labor disputes such as dock strikes, and our reliance on a limited number of shipping and air carriers, which may experience capacity issues that adversely affect our ability to ship inventory in a timely manner or for an acceptable cost;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value of the U.S. Dollar against foreign currencies, which could restrict sales, or increase costs of purchasing, in foreign countries;</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or political instability in any of the countries in which we or our manufacturers or suppliers operate, which could result in a reduction in demand for our products due to political and economic instability or impair our foreign assets;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reduced ability or inability to sell in or purchase from certain markets as a result of export or import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a limited number of shipping and air carriers who may experience capacity issues that adversely affect our ability to ship inventory in a timely manner or for an acceptable cost;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uncertainties and adverse economic conditions (including inflation and recession).</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Regulations, Taxation, Governance and the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ectPr>
          <w:pgSz w:w="11900" w:h="16838" w:orient="portrait"/>
          <w:cols w:equalWidth="0" w:num="1">
            <w:col w:w="11240"/>
          </w:cols>
          <w:pgMar w:left="320" w:top="368"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Changes in tax rates or tax liabilities could affect results.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taxation in the United States and certain state and foreign jurisdictions. Significant judgment is required to determine and estimate our tax liabilities. Our future annual and quarterly tax rates could be affected by numerous factors, including changes in the (1) applicable tax laws; (2) composition of earnings in countries with differing tax rates; or (3) recoverability of our deferred tax assets and liabilities. Beginning in 2022, the U.S. Tax Cuts and Jobs Act of 2017 (“TCJA”) eliminated the existing option to deduct research and development expenditures and requires taxpayers to amortize them over five years pursuant to IRC Section 174. The requirement is not expected to materially impact our cash flows. In August 2022, the United States enacted the Inflation Reduction Act of 2022 (“IRA”) which includes a new 15% corporate minimum tax as well as a 1% excise tax on fair value of corporate stock repurchases made after December 31, 2022. The IRA is not expected to impact our tax position. Any of these developments or any future changes in federal, state, or international tax laws or tax rulings could adversely affect our effective tax rate and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agreement governing our credit facility contains restrictions and limitations that could significantly affect our ability to operate our business, as well as significantly affect our liquidity.</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loan and security agreement (the “Loan Agreement”) governing the Siena Credit Facility contains a number of significant covenants that could adversely affect our ability to operate our business, our liquidity, and our results of operations. These covenants restrict, among other things, our ability, and the ability of any future domestic subsidiary, to:</w:t>
      </w:r>
    </w:p>
    <w:p>
      <w:pPr>
        <w:spacing w:after="0" w:line="14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consolidate, form subsidiaries or dispose of assets;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assets outside the ordinary course of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other transactions outside the ordinary course of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transfer, return or dispose of collateral;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to or investments in, or 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guarantee indebtedness,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redeem equity interests while borrowings are outstanding under the credit facility;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our capital structure;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dissolve, divide, change our line of business or cease or suffer a disruption to all or a material portion of our business.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Loan Agreement requires us to comply with a minimum excess availability covenant, which requires excess borrowing availability of at least $750 thousand and the Loan Agreement requires us to maintain outstanding borrowings of at least $2,250,000 in principal amount. The breach of any covenants or obligations in the Loan Agreement, if not otherwise waived or amended, could result in a default under the Loan Agreement and could trigger acceleration of our obligations thereunder and permit the lender to foreclose on the collateral securing our obligations under the Loan Agreement and exercise other rights of secured creditors.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Availability under the Siena Credit Facility is subject to a borrowing base, which is based on eligible accounts receivable and inventory. To the extent that our eligible accounts receivable and inventory decline in value, our borrowing base will decrease, and the availability under the Siena Credit Facility currently is and may continue to be less than its stated amount and may decrease.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ability to comply with the covenants under the Loan Agreement or to maintain our borrowing base may be affected by events beyond our control, including deteriorating economic conditions. For example, reductions in the value of accounts receivable and inventory may occur in the future due to decreases in sales and production resulting from the impact of future economic uncertainties. Further, certain slow-moving inventory and accounts receivable that remain unpaid for a specified period of time are excluded from the borrowing base calculation. Thus, a decline in economic conditions and/or a decline in the financial condition of customers in the industries we serve may negatively impact the borrowing base both by decreasing the value of existing accounts and reducing the number and amount of new accounts. If we overestimate our inventory needs due to the uncertainty surrounding future economic conditions, we may have inventory that is considered slow-moving and thus excluded from the borrowing base calculation, and any reduction in production in response to decreased demand would also result in a lower inventory value and thus a lower borrowing base.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events could require us to seek waivers or amendments of covenants or alternative sources of financing or to reduce expenditures. We cannot assure you that such waivers, amendments or alternative financing could be obtained, or if obtained, would be on terms acceptable to us, or that we would be able to reduce expenditures enough to offset any decrease in the borrowing base, or that we could make such reductions without a material negative impact on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is subject to general economic conditions. Uncertainty or negative trends in U.S. or international economic and investment climates, including the impact of developments in U.S.-China trade relations, as well as economic impacts from the Russia-Ukraine conflict and the current inflation surge attributable in part to supply chain disruptions, could adversely affect our business. For example, customers or potential customers could reduce or delay orders, key suppliers could become insolvent, which could result in production delays, and our customers may become insolvent or be unable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sectPr>
          <w:pgSz w:w="11900" w:h="16838" w:orient="portrait"/>
          <w:cols w:equalWidth="0" w:num="1">
            <w:col w:w="11240"/>
          </w:cols>
          <w:pgMar w:left="320" w:top="584"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210"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 and conditions in the industries we serve, including current market volatility, inflation and rising interest rates and the ongoing economic impact of the COVID-19 pandemic;</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business conditions faced by customers, or bankruptcies or store closures of our customers resulting from adverse economic conditions due to inflation, resurgences or new variants of COVID-19 or otherwise;</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or strategic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or reduced analyst coverage.</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analyst coverage or a reduction in analyst coverage of our common stock may adversely affect the price of our common stock.</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may publish about us, our business, our markets and our competitors. We currently have limited analyst coverage, and many investment banks no longer find it profitable to provide securities research on micro-cap and small-cap companies. If securities analysts do not cover our common stock in the future, the lack of research coverage may adversely affect the market price of our common stock. Furthermore, if one or more of the analysts who cover us downgrade our stock, or if those analysts issue other unfavorable commentary about us or our business, our stock price may decline.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traded on the Nasdaq Global Market. During the year ended December 31, 2022, the average daily trading volume for our common stock as reported by the Nasdaq Global Market was approximately 38,000 shares. We are uncertain whether a more active trading market in our common stock will develop. As a result, relatively small trades may have a significant impact on the market price of our common stock, which could increase the volatility and depress the price of our common stock.</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is thinly traded, and investors may be unable to sell their shares at their desired prices, or at all, and sales of large blocks of shares may adversely affect the price of our common stock.</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has historically been sporadically or “thinly” traded, meaning that the number of persons interested in purchasing shares of our common stock at prevailing prices at any given time may be relatively small. This could lead to wide fluctuations in our share price. Investors may be unable to sell their common stock at or above their purchase price, which may result in substantial losses.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stock are sold on the market without commensurate demand, while an issuer with a more robust daily trading volume for its common stock might better absorb those sales without an adverse impact on its share price.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raise additional capital in the future, existing shareholder ownership interest in the Company could be diluted or otherwise adversely impacted, and future sales of our common stock or other financing arrangements may cause our stock price to decline.</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future, we may sell additional shares of our common stock in public or private offerings, or we may obtain funds through a credit facility or by issuing debt or preferred securities. We may also issue additional shares of our common stock to finance future acquisitions. Shares of our common stock are also available for future issuance and sale pursuant to stock options and other equity awards that we have granted to our employees, and in the future, we may grant additional stock options, restricted stock units and other forms of equity compensation to our employees. Any issuance of equity we may undertake in the future to raise additional capital could cause the price of our common stock to decline, or require us to issue shares at a price that is lower than that paid by holders of our common stock in the past, which would result in those newly issued shares being dilutive. Sales of our common stock or the perception that such sales could occur may adversely affect prevailing market prices for shares of our common stock and could impair our ability to raise capital through future offerings. The lender under our existing debt agreement has rights that are senior to your rights as a common stockholder, and if we obtain funds in the future through a credit facility or through the issuance of debt or preferred securities, the lenders of such facility or the holders of such securities would likely also have rights senior to the rights of our common stockholders, which could impair the value of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 so investors must rely on price appreciation to realize a gain on their investment.</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2020, we announced the cessation of our quarterly cash dividend to accelerate our investment in BOHA!. We have not declared or paid cash dividends on our capital stock since November 2019 and do not intend to pay any cash dividends in the foreseeable future. We currently intend to retain any future earnings to finance the operation and expansion of our food service technology business, and we do not anticipate declaring or paying any dividends to holders of our common stock in the foreseeable future. Any determination to pay dividends in the future will be at the discretion of our board of directors. Accordingly, investors must rely on sales of their common stock after price appreciation, which may never occur, as the only way to realize future gains on their investments.</w:t>
      </w:r>
    </w:p>
    <w:p>
      <w:pPr>
        <w:sectPr>
          <w:pgSz w:w="11900" w:h="16838" w:orient="portrait"/>
          <w:cols w:equalWidth="0" w:num="1">
            <w:col w:w="11240"/>
          </w:cols>
          <w:pgMar w:left="320" w:top="368"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subject to laws, rules, regulations, including environmental regulations, government policies and other requirements in a variety of jurisdictions, including those which we conduct business. Changes in such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take advantage of specified scaled disclosure requirements applicable to a “smaller reporting company” under Regulation S-K, and the information that we provide to stockholders may therefore be different than they might receive from other public companies. If some investors find our shares of common stock less attractive as a result of this scaled disclosure, there may be a less active trading market for our shares of common stock, which may increase the volatility of the market price of our common stock.</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a “smaller reporting company,” as defined in Item 10(f)(1) of Regulation S-K. As a smaller reporting company, we take advantage of specified scaled disclosure and other requirements that are otherwise applicable generally to public companies.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intend to continue to take advantage of certain of the scaled disclosure requirements of smaller reporting companies and may continue to do so until we are no longer a smaller reporting company. We will cease to be a smaller reporting company if we have (i) equal or greater than $250 million in market value of our shares held by non-affiliates as of the last business day of our second fiscal quarter and (ii) if the market value of our shares held by non-affiliates does not exceed $700 million as of the last business day of our second fiscal quarter, equal or greater than $100 million of annual revenues in our most recent fiscal year. We choose to take advantage of some but not all of these scaled disclosure requirements; therefore, the information that we provide stockholders may be different than one might get from other public companies. If some investors find our shares of common stock less attractive as a result, there may be a less active trading market for our shares of common stock and the market price of such shares of common stock may be more volatile.</w:t>
      </w:r>
    </w:p>
    <w:p>
      <w:pPr>
        <w:spacing w:after="0" w:line="13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designate certain Delaware courts as the sole and exclusive forum for certain types of actions and proceedings that may be initiated by our stockholders, which could limit our stockholders’ ability to obtain a favorable judicial forum for disputes with us or our directors, officers or stockholders.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Amended and Restated By-Laws (the “By-Laws”) provide that, unless we consent in writing to the selection of an alternative forum, to the fullest extent permitted by law, all Internal Corporate Claims must be brought solely and exclusively in the Court of Chancery of the State of Delaware (or, if such court declines to accept jurisdiction, the Superior Court of the State of Delaware, or, if such other court declines to accept jurisdiction, the United States District Court for the District of Delaware). The By-Laws define “Internal Corporate Claims” to mean claims, including claims in the right of the Company, brought by a current or former stockholder (including a current or former beneficial owner) (i) that are based upon a violation of a duty by a current or former director or officer or stockholder in such capacity or (ii) as to which the General Corporation Law of the State of Delaware confers jurisdiction upon the Court of Chancery of the State of Delaware.</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choice of forum provision may increase costs to bring a claim, discourage claims or limit a stockholder’s ability to bring a claim in a judicial forum that it finds favorable for disputes with us or our directors, officers or other stockholders, which may discourage such lawsuits against us and our directors, officers and stockholders.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 The choice of forum provision in the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principal facilities as of December 31, 2022 are listed below. We believe that all facilities generally are in good condition, adequately maintained and suitable for their present and currently contemplated uses.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Size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Lease Expiration</w:t>
            </w:r>
          </w:p>
        </w:tc>
      </w:tr>
      <w:tr>
        <w:trPr>
          <w:trHeight w:val="241"/>
        </w:trPr>
        <w:tc>
          <w:tcPr>
            <w:tcW w:w="212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160" w:type="dxa"/>
            <w:vAlign w:val="bottom"/>
          </w:tcPr>
          <w:p>
            <w:pPr>
              <w:spacing w:after="0"/>
              <w:rPr>
                <w:sz w:val="20"/>
                <w:szCs w:val="20"/>
                <w:color w:val="auto"/>
              </w:rPr>
            </w:pPr>
          </w:p>
        </w:tc>
        <w:tc>
          <w:tcPr>
            <w:tcW w:w="4160" w:type="dxa"/>
            <w:vAlign w:val="bottom"/>
          </w:tcPr>
          <w:p>
            <w:pPr>
              <w:ind w:left="1200"/>
              <w:spacing w:after="0"/>
              <w:rPr>
                <w:sz w:val="20"/>
                <w:szCs w:val="20"/>
                <w:color w:val="auto"/>
              </w:rPr>
            </w:pPr>
            <w:r>
              <w:rPr>
                <w:rFonts w:ascii="Arial" w:cs="Arial" w:eastAsia="Arial" w:hAnsi="Arial"/>
                <w:sz w:val="18"/>
                <w:szCs w:val="18"/>
                <w:b w:val="1"/>
                <w:bCs w:val="1"/>
                <w:color w:val="auto"/>
              </w:rPr>
              <w:t>Operations Conducted</w:t>
            </w:r>
          </w:p>
        </w:tc>
        <w:tc>
          <w:tcPr>
            <w:tcW w:w="18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 Sq. Ft.)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6"/>
              </w:rPr>
              <w:t>or Leased</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Hamden, Connecticut</w:t>
            </w:r>
          </w:p>
        </w:tc>
        <w:tc>
          <w:tcPr>
            <w:tcW w:w="160" w:type="dxa"/>
            <w:vAlign w:val="bottom"/>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Executive offices and sales office</w:t>
            </w:r>
          </w:p>
        </w:tc>
        <w:tc>
          <w:tcPr>
            <w:tcW w:w="18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4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October 31, 2025</w:t>
            </w:r>
          </w:p>
        </w:tc>
      </w:tr>
      <w:tr>
        <w:trPr>
          <w:trHeight w:val="202"/>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w w:val="89"/>
              </w:rPr>
              <w:t>Hardware design and development, assembly and service</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Ithaca, New York</w:t>
            </w:r>
          </w:p>
        </w:tc>
        <w:tc>
          <w:tcPr>
            <w:tcW w:w="1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facility</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73,900</w:t>
            </w:r>
          </w:p>
        </w:tc>
        <w:tc>
          <w:tcPr>
            <w:tcW w:w="2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May 31, 2025</w:t>
            </w:r>
          </w:p>
        </w:tc>
      </w:tr>
      <w:tr>
        <w:trPr>
          <w:trHeight w:val="202"/>
        </w:trPr>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Software design and development and casino and gaming</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Las Vegas, Nevada</w:t>
            </w:r>
          </w:p>
        </w:tc>
        <w:tc>
          <w:tcPr>
            <w:tcW w:w="160" w:type="dxa"/>
            <w:vAlign w:val="bottom"/>
            <w:shd w:val="clear" w:color="auto" w:fill="CCEEFF"/>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sales office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30, 2025</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Doncaster, UK</w:t>
            </w:r>
          </w:p>
        </w:tc>
        <w:tc>
          <w:tcPr>
            <w:tcW w:w="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Sales office and service center</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August 26, 2026</w:t>
            </w:r>
          </w:p>
        </w:tc>
      </w:tr>
      <w:tr>
        <w:trPr>
          <w:trHeight w:val="223"/>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Macau, China</w:t>
            </w:r>
          </w:p>
        </w:tc>
        <w:tc>
          <w:tcPr>
            <w:tcW w:w="160" w:type="dxa"/>
            <w:vAlign w:val="bottom"/>
            <w:tcBorders>
              <w:bottom w:val="single" w:sz="8" w:color="CCEEFF"/>
            </w:tcBorders>
            <w:shd w:val="clear" w:color="auto" w:fill="CCEEFF"/>
          </w:tcPr>
          <w:p>
            <w:pPr>
              <w:spacing w:after="0"/>
              <w:rPr>
                <w:sz w:val="19"/>
                <w:szCs w:val="19"/>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office</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30, 2023</w:t>
            </w:r>
          </w:p>
        </w:tc>
      </w:tr>
      <w:tr>
        <w:trPr>
          <w:trHeight w:val="223"/>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110,780</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in the ordinary course of business, become a party to litigation involving collection matters, contract claims and other legal proceedings relating to the conduct of its business. As of December 31, 2022, we are unaware of any material legal proceedings pending or threatened against us, or any material legal proceedings contemplated by governmental authorities.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common stock is traded on the Nasdaq Global Market under the symbol TACT. As of February 28, 2023, there were 211 holders of record of the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2022, we did not repurchase any shares of our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pay cash dividends and does not intend to do so in the foreseeable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year ended December 31, 2022, we continued to experience recovery from the negative impacts COVID-19 had on our business during 2021 and 2020. While we have experienced recovery in most of our markets, there are still uncertainties on how any future variants of COVID-19 and global supply chain disruptions may continue to impact our business, operations, supply chain, customers and vendors. During 2022, we continued to focus our efforts on sales execution, operating and engineering adjustments to react to global supply chain disruptions and expansion of our market share. We successfully navigated the supply chain disruptions, and thanks to a significant market share gain in our casino and gaming market, we returned to bottom line profitability in the third and fourth quarters of 2022.</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2022, our total net sales increased 48% to approximately $58.1 million compared to the year ended December 31, 2021. See the table below for a breakdown of our sales by market: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2022</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8"/>
              </w:rPr>
              <w:t>December 31, 2021</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Food service technology (“FST”)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12,625</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POS automation</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10,659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4,825</w:t>
            </w:r>
          </w:p>
        </w:tc>
        <w:tc>
          <w:tcPr>
            <w:tcW w:w="6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5,834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120.9%</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Casino and gaming</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15,302</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8"/>
                <w:szCs w:val="18"/>
                <w:color w:val="auto"/>
              </w:rPr>
            </w:pPr>
          </w:p>
        </w:tc>
        <w:tc>
          <w:tcPr>
            <w:tcW w:w="16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631</w:t>
            </w:r>
          </w:p>
        </w:tc>
        <w:tc>
          <w:tcPr>
            <w:tcW w:w="6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6,003</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3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3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58,139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39,386</w:t>
            </w:r>
          </w:p>
        </w:tc>
        <w:tc>
          <w:tcPr>
            <w:tcW w:w="6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$18,753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r>
      <w:tr>
        <w:trPr>
          <w:trHeight w:val="20"/>
        </w:trPr>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Sales of our food service technology products remained relatively flat (decreasing 2%) in the year ended December 31, 2022 compared to the year ended December 31, 2021. In the food service technology market, we focus on providing hardware products, which include terminals/WorkStations, temperature probes, temperature sensors and gateways in addition to cloud-based software applications, labels and other recurring revenue items. Food service technology sales decreased in 2022 primarily due to a 30% decrease in FST hardware sales to one of our largest customers. Our total installed base increased by 2,362 terminals and WorkStations during 2022 resulting in a total installed base of 12,180 terminals at the end of 2022. This was partially offset by record sales and an 18% increase in BOHA! recurring revenue. Recurring revenue increased 18% primarily due to higher label sales, as well as record sales of BOHA! software (largely from our labeling software application) recognized on a SaaS subscription basis due principally to the continued growth of the installed base of our BOHA! Terminals and WorkStations.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our POS automation products increased 121% in the year ended December 31, 2022 compared to the year ended December 31, 2021. In the POS automation market, we focus primarily on supplying printers that print receipts or linerless labels to customers in the restaurant and quick serve markets. During the year ended December 31, 2022, sales of our Ithaca 9000 printer benefitted from market share gain resulting from a competitor’s supply chain issues, as well as a special project for our largest customer. Sales in 2021 were unusually low due to the significant negative impact of the COVID-19 pandemic on the POS automation market.</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Sales of our casino and gaming products increased 96% in 2022 compared to 2021. In our casino and gaming market, our focus lies primarily in supplying printers worldwide for use in slot machines at casinos and racetracks, as well as in other electronic gaming devices that print tickets or receipts. Additionally, we supplement these printer sales with revenue from EPICENTRAL which is our promotional printing system that enables casino operators to create promotional coupons and marketing messages and print them in real time at the slot machine. The increase of casino and gaming printers was due to the recovery of the domestic and international casino and gaming market during 2022 as well as our expanding market share, as our largest competitor experienced supply chain issues and casinos continued to reopen compared to 2021 when the market was severely impacted by the COVID-19 pandemic and the related closures of casinos.</w:t>
      </w:r>
    </w:p>
    <w:p>
      <w:pPr>
        <w:sectPr>
          <w:pgSz w:w="11900" w:h="16838" w:orient="portrait"/>
          <w:cols w:equalWidth="0" w:num="1">
            <w:col w:w="11240"/>
          </w:cols>
          <w:pgMar w:left="320" w:top="364"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Sales of our Printrex branded printers included wide format, rack-mounted and vehicle-mounted thermal printers used by customers to log and plot oil field and down hole well drilling data in the oil and gas exploration industry. There were no Printrex sales in 2022 as we fulfilled last buy orders to legacy customers during the fourth quarter of 2021 and exited this market as of December 31, 2021 to focus towards our higher value, technology-enabled food service technology terminals and casino and gaming products.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TSG, which sells service, replacement parts and consumable products, including receipt paper, ribbons and other printing supplies for our non-FST products, continues to offer a recurring revenue stream from mostly our legacy products. TSG sales decreased 15% in 2022 compared to 2021, primarily due to declining service revenue from a legacy banking customer whose service contract ended during 2022, as well as lower replacement part and consumable product sales.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Operationally, our gross margin rose to 42.0% in 2022, an increase of 290 basis points from 39.1% in 2021, due largely to higher volume of sales overall of our gaming and casino printers which have a higher margin, partially offset by higher material and shipping costs resulting from worldwide supply disruptions.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2022, our operating margin improved to (13.2%) compared to (23.8%) in 2021 as the 48% increase in sales helped increase gross margin by 290 basis points, offset by an increase of $7.3 million of operating expenses. Operating expenses increased by 30% as we gradually returned to more normalized pre-COVID-19 spending levels.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reported a net loss of $5.9 million and a net loss per diluted share of $0.60 for 2022, compared to a net loss of $4.0 million and net loss per diluted share of $0.43 for 2021. In terms of cash flow, for 2022 we used $12.2 million of cash in operating activities. We ended the year with cash and cash equivalents of $7.9 million and we had $2.3 million of outstanding borrowings under the Siena Credit Facility on our Consolidated Balance Sheet at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requires management to make use of estimates, judgments and assumptions that affect both Balance Sheet items and Statement of Operations categories. Such estimates and judgments are based upon historical experience and certain assumptions that are believed to be reasonable in the particular circumstances; however, due to the inherent uncertainties in developing estimates, actual results could differ from the original estimates, requiring adjustments to these balances in future periods.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Refer to Note 2 – Summary of significant accounting policies in the accompanying Consolidated Financial Statements for a complete listing of our significant accounting policies.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Application of GAAP related to the measurement and recognition of revenue requires us to make judgments and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Specifically, the determination of whether revenues related to our revenue contracts should be recognized over time or at a point in time. Other significant judgments include contracts that contain multiple performance obligations (most commonly when contracts include a hardware product, software, financing and extended warranties) which require a contract’s transaction price to be allocated to each distinct performance obligation and recognized as revenue when, or as, the performance obligation is satisfied. Both of these determinations impact the timing and amount of our reported revenues and net income and loss.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2022 was $351 thousand, or 2.5% of outstanding accounts receivable, which we believe is appropriate considering the overall quality of our accounts receivable. Although credit losses have historically been within expectations and the reserves established, there is no assurance that our credit loss experience will continue to be consistent with historical experience.</w:t>
      </w:r>
    </w:p>
    <w:p>
      <w:pPr>
        <w:spacing w:after="0" w:line="22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 Our inventories are stated at the lower of average cost or net realizable value. We review net realizable value based on estimated selling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prices in the ordinary course of business less estimated costs of completion, disposal and transportation,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net realizable value. Should circumstances change and we determine that additional inventory is subject to obsolescence, additional write-downs of inventory could result in a charge to income.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April 1, 2022, TransAct changed its method of inventory valuation from standard costing which approximated the “first-in, first-out” (“FIFO”) costing methodology to the average costing methodology. We believe this methodology is preferable because it reflects a better estimate of inventory cost as we do not typically perform intensive manufacturing of our finished products, which are therefore better measured under average cost. In addition, our business is projected to include an increasing sales volume of software going forward, which better aligns with average costing. See Note 16 for further details.</w:t>
      </w:r>
    </w:p>
    <w:p>
      <w:pPr>
        <w:sectPr>
          <w:pgSz w:w="11900" w:h="16838" w:orient="portrait"/>
          <w:cols w:equalWidth="0" w:num="1">
            <w:col w:w="11240"/>
          </w:cols>
          <w:pgMar w:left="320" w:top="368"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3" w:name="page24"/>
    <w:bookmarkEnd w:id="23"/>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 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We perform a fair value-based impairment test to the carrying value of goodwill and indefinite-lived intangible assets on an annual basis and, if certain events or circumstances indicate that an impairment loss may have been incurred, on an interim basis.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which reflects management’s cash flow projections, and also evaluates the fair value using the market approach.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upon the completion of our annual assessment for impairment, we have determined that no goodwill or intangible asset impairment has occurred and the fair value of the Company was substantially higher than our carrying value.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evaluated the recoverability of the assets on our Consolidated Balance Sheet as of December 31, 2022 in accordance with relevant authoritative accounting literature. We have considered the effects caused by the COVID-19 pandemic, the global supply chain disruptions, inflation and macroeconomic factors potentially impacting accounts receivable, inventory, investments, intangible assets, goodwill and other assets and liabilities. Where forward-looking estimates are required, we made a good-faith estimate based on information available as of the balance sheet date. We have continued to monitor for indicators of impairment through the date of this Annual Report on Form 10-K and reflected accordingly in the accompanying consolidated financial statements.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reflected in our Consolidated Balance Sheets. We then assess the likelihood that the deferred tax assets will be realized from future taxable income, and to the extent that we believe that realization is not likely, we establish a valuation allowance.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Although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account for income taxes in accordance with ASC 740, “Income Taxes” (“ASC 740”).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 We calculate share-based compensation expense in accordance with ASC 718, “Compensation – Stock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Black-Scholes option-pricing model to calculate the fair value of share-based awards. The key assumptions for this valuation method include the expected term of an option grant, stock price volatility, risk-free interest rate, and dividend yield. We account for forfeitures as they occur.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 Year Ended December 31, 2022 Compared to Year Ended December 31, 2021</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years ended December 31, 2022 and 2021 are detailed in the below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2022</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8"/>
              </w:rPr>
              <w:t>December 31, 2021</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 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Food service technology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12,625</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POS automation</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10,659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4,825</w:t>
            </w:r>
          </w:p>
        </w:tc>
        <w:tc>
          <w:tcPr>
            <w:tcW w:w="6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5,834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120.9%</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Casino and gaming</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15,302</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8"/>
                <w:szCs w:val="18"/>
                <w:color w:val="auto"/>
              </w:rPr>
            </w:pPr>
          </w:p>
        </w:tc>
        <w:tc>
          <w:tcPr>
            <w:tcW w:w="1660" w:type="dxa"/>
            <w:vAlign w:val="bottom"/>
            <w:gridSpan w:val="3"/>
          </w:tcPr>
          <w:p>
            <w:pPr>
              <w:ind w:left="7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631</w:t>
            </w:r>
          </w:p>
        </w:tc>
        <w:tc>
          <w:tcPr>
            <w:tcW w:w="6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6,003</w:t>
            </w: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3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3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58,139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39,386</w:t>
            </w:r>
          </w:p>
        </w:tc>
        <w:tc>
          <w:tcPr>
            <w:tcW w:w="6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$18,753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r>
      <w:tr>
        <w:trPr>
          <w:trHeight w:val="21"/>
        </w:trPr>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09"/>
        </w:trPr>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14,105</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6,986</w:t>
            </w:r>
          </w:p>
        </w:tc>
        <w:tc>
          <w:tcPr>
            <w:tcW w:w="6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$7,119</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r>
      <w:tr>
        <w:trPr>
          <w:trHeight w:val="21"/>
        </w:trPr>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to domestic distributors or other customers who in turn ship those products to international destinations.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sales for 2022 increased $18.8 million, or 48%, from 2021. Printer, terminal and other hardware sales volume increased by 63% to approximately 134,000 units for 2022, driven by large unit volume increases in all casino and gaming and POS automation, partially offset by unit volume declines in FST and Printrex (the oil and gas market which we exited in 2021). The primary volume increases were an 80% increase in unit volume from the casino and gaming market, as the casino market continued to rebound from the impact of COVID-19 shutdowns and our market share increased due to our efforts to navigate supply chain restraints that prevented certain other suppliers from fully meeting customer demand and, to a lesser extent, a 60% unit volume increase in our POS automation market. We experienced a 32% decrease in hardware unit volume from the FST market, driven by a year-over-year reduction in sales from a large convenience store. The average selling price of our printers, terminals and other hardware increased 4% during 2022 compared to 2021, mainly due to price increases instituted during 2022 in response to product cost increases related to supply chain issues. Additionally, sales of our software, labels and other recurring revenue from our FST market increased $1.3 million, or 18%, during 2022 compared to 2021. International sales for 2022 increased $7.1 million, or 102%, compared to 2022, primarily due to a 141% increase in international casino and gaming sales due to unit volume increases noted above, partially offset by increased materials and shipping costs in the face of global supply chain disruptions.</w:t>
      </w:r>
    </w:p>
    <w:p>
      <w:pPr>
        <w:spacing w:after="0" w:line="19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Food service technology</w:t>
      </w:r>
      <w:r>
        <w:rPr>
          <w:rFonts w:ascii="Arial" w:cs="Arial" w:eastAsia="Arial" w:hAnsi="Arial"/>
          <w:sz w:val="16"/>
          <w:szCs w:val="16"/>
          <w:color w:val="auto"/>
        </w:rPr>
        <w:t>. Our primary offering in the food service technology market is our line of BOHA! products, which can combine our latest</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generation terminal and workstation which includes one or two printers and our BOHA! Labeling, timers, and media software. In addition, customers may individually purchase cloud-based software applications that connect to a separate application on a separate mobile device into a solution to automate back-of-house operations in restaurants, convenience stores and food service operations. The additional software offering of BOHA! consists of a variety of individually purchased software-as-a-service (“SaaS”)-based applications for both Android and iOS operating systems, including applications for, temperature monitoring, temperature taking and checklists and task lists. These applications are sold separately, and customers purchase the applications they need for their back-of-house operations. Customers may also purchase associated hardware, such as handheld devices, tablets, temperature probes and temperature sensors and gateways. The BOHA! Terminal combines an operating system and hardware components in a device that includes a touchscreen and one or two thermal print mechanisms that print easy-to-read food rotation labels, grab-and-go labels, and nutritional labels for prepared foods, and “enjoy by” date labels. The BOHA! WorkStation uses an iPad or Android tablet instead of an integrated touchscreen. The BOHA! Terminal and the BOHA! WorkStation are equipped with the TransAct Enterprise Management System to ensure that only approved touchscreen functions are available on the touchscreen device and to allow over-the-air updates to the operating system. BOHA! helps food service establishments and restaurants (including fine dining, casual dining, fast casual and quick-service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typically charged to customers annually on a per-application basis, as well as sales of labels, extended warranty and service contracts, and technical support services. Sales of our worldwide food service technology products for the years ended December 31, 2022 and 2021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2022</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11,738</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887</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36"/>
        </w:trPr>
        <w:tc>
          <w:tcPr>
            <w:tcW w:w="3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681"/>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2022</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Hardware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5,226</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Software,  labels  and  other  recurring</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8,711</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7,399</w:t>
            </w:r>
          </w:p>
        </w:tc>
        <w:tc>
          <w:tcPr>
            <w:tcW w:w="6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1,312</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37"/>
        </w:trPr>
        <w:tc>
          <w:tcPr>
            <w:tcW w:w="3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Sales in food service technology decreased 2.1% in 2022 compared to 2021. This was driven by a decrease in sales of hardware, partially offset by an increase in BOHA! software, labels and other recurring revenue. Hardware sales decreased 30% during 2022 compared to 2021 due largely to a reduction in sales to a large retail customer. Recurring revenue increased 18% primarily due to higher label sales, as well as record sales Of BOHA! software (largely from our labeling software application) recognized on a SaaS subscription basis due principally to the continued growth of the installed base of our BOHA! Terminals and WorkStations.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FST revenue to be higher in 2023 than in 2022 as we continue to grow our installed base of paid terminals and the related recurring revenue (primarily the sale of labels and subscription software revenue from our labeling software application).</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POS automation</w:t>
      </w:r>
      <w:r>
        <w:rPr>
          <w:rFonts w:ascii="Arial" w:cs="Arial" w:eastAsia="Arial" w:hAnsi="Arial"/>
          <w:sz w:val="18"/>
          <w:szCs w:val="18"/>
          <w:color w:val="auto"/>
        </w:rPr>
        <w:t>. Revenue from the POS automation market includes sales of our Ithaca 9000 thermal printer used primarily by McDonald’s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quick-service restaurants located either at the checkout counter or within self-service kiosks to print receipts for consumers or print liner-less labels. Sales of our worldwide POS automation products for the years ended December 31, 2022 and 2021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2022</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4,817</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37"/>
        </w:trPr>
        <w:tc>
          <w:tcPr>
            <w:tcW w:w="3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10,659</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POS automation product revenue during 2022 compared to 2021 was driven by a 121% increase in sales of our Ithaca® 9000 printer, primarily to McDonald’s, as we benefited from market share gains resulting from a competitor’s supply chain issues as well as a special project for McDonald’s that utilized our printer. Sales for 2021 were unusually low due to the significant negative impact from the COVID-19 pandemic on POS automation sales during 2021. Due to the completion of the special project in 2022, we expect POS automation sales to be lower in 2023 compared to 2022.</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Casino and gaming</w:t>
      </w:r>
      <w:r>
        <w:rPr>
          <w:rFonts w:ascii="Arial" w:cs="Arial" w:eastAsia="Arial" w:hAnsi="Arial"/>
          <w:sz w:val="17"/>
          <w:szCs w:val="17"/>
          <w:color w:val="auto"/>
        </w:rPr>
        <w:t>. Revenue from the casino and gaming market includes sales of thermal ticket printers used in slot machines, video lottery terminals,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gaming machines that print tickets or receipts instead of issuing coins at casinos, racetracks and other gaming venues worldwide. Revenue from this market also includes sales of thermal roll-fed printers used in the international off-premise gaming market in gaming machines such as Amusement with Prizes, Skills with Prizes and Fixed Odds Betting Terminals and kiosks for sports betting at non-casino gaming and sports betting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in real time at the slot machine. Sales of our worldwide casino and gaming products for the years ended December 31, 2022 and 2021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December 31, 2022</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10,173</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12,343</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5,129</w:t>
            </w:r>
          </w:p>
        </w:tc>
        <w:tc>
          <w:tcPr>
            <w:tcW w:w="6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140.7%</w:t>
            </w:r>
          </w:p>
        </w:tc>
      </w:tr>
      <w:tr>
        <w:trPr>
          <w:trHeight w:val="27"/>
        </w:trPr>
        <w:tc>
          <w:tcPr>
            <w:tcW w:w="3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37"/>
        </w:trPr>
        <w:tc>
          <w:tcPr>
            <w:tcW w:w="3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15,302</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increase in domestic sales of our casino and gaming products during 2022 compared to 2021 was primarily due to a 74% increase in domestic sales of our thermal casino printers, as our business experienced a strong recovery from the COVID-19 pandemic during 2022 compared to 2021 and we increased our overall market share due largely to our largest competitor’s inability to supply product due to supply chain issues. The overall increase in casino and gaming domestic sales was also driven by a 410% increase in domestic EPICENTRAL sales during 2022 as we completed several EPICENTRAL installations/expansions during 2022. EPICENTRAL sales are project based, and as a result, may fluctuate significantly quarter-to-quarter and year-to-year.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sales of our casino and gaming products increased during 2022 compared to 2021, primarily due to a 155% increase in sales of our thermal casino printers. Similar to the domestic market, we experienced significant recovery during 2022 from the COVID-19 pandemic in the international gaming markets and increased our market share due largely to our competitor’s inability to supply product due to supply chain issues. The substantial increase in international gaming sales was predominantly driven by the European and Australian markets while the Asian market still remained negatively impacted from the COVID-19 pandemic.</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both domestic and international sales of our casino printers to continue to be strong and higher in 2023 as compared to 2022 as we work to fulfil our large backlog of orders and continue to capitalize on our increasing market share in the industry.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Printrex branded printers were sold into markets that include wide format, desktop and rack-mounted and vehicle-mounted black/white thermal</w:t>
      </w:r>
      <w:r>
        <w:rPr>
          <w:rFonts w:ascii="Arial" w:cs="Arial" w:eastAsia="Arial" w:hAnsi="Arial"/>
          <w:sz w:val="18"/>
          <w:szCs w:val="18"/>
          <w:i w:val="1"/>
          <w:iCs w:val="1"/>
          <w:color w:val="auto"/>
        </w:rPr>
        <w:t xml:space="preserve"> </w:t>
      </w:r>
      <w:r>
        <w:rPr>
          <w:rFonts w:ascii="Arial" w:cs="Arial" w:eastAsia="Arial" w:hAnsi="Arial"/>
          <w:sz w:val="18"/>
          <w:szCs w:val="18"/>
          <w:color w:val="auto"/>
        </w:rPr>
        <w:t>printers used by customers to log and plot oil field, seismic and down hole well drilling data in the oil and gas exploration industry. Sales of our worldwide Printrex printers for the years ended December 31, 2022 and 2021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88"/>
              </w:rPr>
              <w:t>Year Ended</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December 31, 2022</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Change</w:t>
            </w: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80" w:type="dxa"/>
            <w:vAlign w:val="bottom"/>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6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6"/>
              </w:rPr>
              <w:t>(171)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820" w:type="dxa"/>
            <w:vAlign w:val="bottom"/>
          </w:tcPr>
          <w:p>
            <w:pPr>
              <w:ind w:left="72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6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72.9%</w:t>
            </w:r>
          </w:p>
        </w:tc>
        <w:tc>
          <w:tcPr>
            <w:tcW w:w="34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(460)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7"/>
        </w:trPr>
        <w:tc>
          <w:tcPr>
            <w:tcW w:w="3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237"/>
        </w:trPr>
        <w:tc>
          <w:tcPr>
            <w:tcW w:w="3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w w:val="79"/>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6"/>
              </w:rPr>
              <w:t>(631)</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made a strategic decision to exit the Printrex market as of December 31, 2021 and have had no sales, and expect to have no future sales in this market beyond 2021.</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Revenue generated by TSG includes sales of consumable products (POS receipt paper, inkjet cartridges, ribbons and other printing supplies for non-FST legacy products), replacement parts and accessories, maintenance and repair services, refurbished printers, and shipping and handling charges. Sales in our worldwide TSG market for the years ended December 31, 2022 and 2021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i w:val="1"/>
                <w:iCs w:val="1"/>
                <w:color w:val="auto"/>
              </w:rPr>
              <w:t>(In thousands, except percentages)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2022</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9"/>
              </w:rPr>
              <w:t>December 31, 2021</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Change</w:t>
            </w:r>
          </w:p>
        </w:tc>
        <w:tc>
          <w:tcPr>
            <w:tcW w:w="22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5,501</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998</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98.8%</w:t>
            </w:r>
          </w:p>
        </w:tc>
      </w:tr>
      <w:tr>
        <w:trPr>
          <w:trHeight w:val="27"/>
        </w:trPr>
        <w:tc>
          <w:tcPr>
            <w:tcW w:w="3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37"/>
        </w:trPr>
        <w:tc>
          <w:tcPr>
            <w:tcW w:w="3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decrease in domestic revenue from TSG during 2022 as compared to 2021 on significantly lower legacy lottery printer part sales was due primarily to lower sales of replacement parts. Replacement part sales decreased 34%. Service revenue and consumable sales also declined 8% and 19%, respectively.</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Internationally, TSG revenue increased during 2022 compared to 2021, due primarily to a 136% increase in sales of replacement parts and accessories to international casino and gaming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expect TSG sales for 2023 to be higher than 2022.</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2022 and 2021 is summarized below (in thousands, except percentages):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23"/>
        </w:trPr>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1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Sales - 2022</w:t>
            </w:r>
          </w:p>
        </w:tc>
        <w:tc>
          <w:tcPr>
            <w:tcW w:w="44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Sales - 2021</w:t>
            </w:r>
          </w:p>
        </w:tc>
        <w:tc>
          <w:tcPr>
            <w:tcW w:w="240" w:type="dxa"/>
            <w:vAlign w:val="bottom"/>
          </w:tcPr>
          <w:p>
            <w:pPr>
              <w:spacing w:after="0"/>
              <w:rPr>
                <w:sz w:val="19"/>
                <w:szCs w:val="19"/>
                <w:color w:val="auto"/>
              </w:rPr>
            </w:pPr>
          </w:p>
        </w:tc>
      </w:tr>
      <w:tr>
        <w:trPr>
          <w:trHeight w:val="216"/>
        </w:trPr>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15,382</w:t>
            </w:r>
          </w:p>
        </w:tc>
        <w:tc>
          <w:tcPr>
            <w:tcW w:w="3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58.7%</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expenses associated with installations and support of our EPICENTRAL print system and our line of BOHA! products and royalty payments to third-parties, including to the third party licensor of our food service technology software products. Gross profit increased $9.0 million, or 59%, in 2022 compared to 2021, primarily due to the 48% sales increase in 2022 compared to 2021. Gross margin increased to 42.0% in 2022 compared to 39.1% in 2021 due largely to a favorable change in product sales mix and the effect from two rounds of price increases we instituted during 2022 to mitigate higher product and shipping costs related to the worldwide supply chain disruptions.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Expenses - Engineering, Design and Product Development.  </w:t>
      </w:r>
      <w:r>
        <w:rPr>
          <w:rFonts w:ascii="Arial" w:cs="Arial" w:eastAsia="Arial" w:hAnsi="Arial"/>
          <w:sz w:val="16"/>
          <w:szCs w:val="16"/>
          <w:color w:val="auto"/>
        </w:rPr>
        <w:t>Engineering, design and product development information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and 2021 is summarized below (in thousands, except percentages):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23"/>
        </w:trPr>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1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Sales - 2022</w:t>
            </w:r>
          </w:p>
        </w:tc>
        <w:tc>
          <w:tcPr>
            <w:tcW w:w="44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Sales - 2021</w:t>
            </w:r>
          </w:p>
        </w:tc>
        <w:tc>
          <w:tcPr>
            <w:tcW w:w="240" w:type="dxa"/>
            <w:vAlign w:val="bottom"/>
          </w:tcPr>
          <w:p>
            <w:pPr>
              <w:spacing w:after="0"/>
              <w:rPr>
                <w:sz w:val="19"/>
                <w:szCs w:val="19"/>
                <w:color w:val="auto"/>
              </w:rPr>
            </w:pPr>
          </w:p>
        </w:tc>
      </w:tr>
      <w:tr>
        <w:trPr>
          <w:trHeight w:val="216"/>
        </w:trPr>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3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Engineering, design and product development expenses primarily include salary and payroll-related expenses for our hardware and software engineering staff, depreciation and design expenses (including prototype printer expenses, outside design, development and testing services, supplies and contract software development expenses including those to the third party licensor of our food service technology software products). Engineering, design and product development expenses increased $1.1 million, or 15%, in 2022 compared to 2021 resulting from an increase in expenses related to reconfiguring unavailable parts and qualifying new parts, as well as a gradual return to more normalized pre-COVID-19 spending levels and from the full effect (in 2022) of hiring additional software developers in late 2021 to continue development of our food service technology products.</w:t>
      </w:r>
    </w:p>
    <w:p>
      <w:pPr>
        <w:sectPr>
          <w:pgSz w:w="11900" w:h="16838" w:orient="portrait"/>
          <w:cols w:equalWidth="0" w:num="1">
            <w:col w:w="11240"/>
          </w:cols>
          <w:pgMar w:left="320" w:top="368" w:right="33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7" w:name="page28"/>
    <w:bookmarkEnd w:id="27"/>
    <w:p>
      <w:pPr>
        <w:jc w:val="both"/>
        <w:spacing w:after="0" w:line="282"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2022 and 2021 is summarized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23"/>
        </w:trPr>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1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Sales - 2022</w:t>
            </w:r>
          </w:p>
        </w:tc>
        <w:tc>
          <w:tcPr>
            <w:tcW w:w="44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Sales - 2021</w:t>
            </w:r>
          </w:p>
        </w:tc>
        <w:tc>
          <w:tcPr>
            <w:tcW w:w="240" w:type="dxa"/>
            <w:vAlign w:val="bottom"/>
          </w:tcPr>
          <w:p>
            <w:pPr>
              <w:spacing w:after="0"/>
              <w:rPr>
                <w:sz w:val="19"/>
                <w:szCs w:val="19"/>
                <w:color w:val="auto"/>
              </w:rPr>
            </w:pPr>
          </w:p>
        </w:tc>
      </w:tr>
      <w:tr>
        <w:trPr>
          <w:trHeight w:val="216"/>
        </w:trPr>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3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and marketing expenses primarily include salaries and payroll-related expenses for our sales, marketing and customer success staff, sales commissions, travel expenses, expenses associated with the lease of sales offices, advertising, trade show expenses, public relations, e-commerce and other promotional marketing expenses. Selling and marketing expenses increased $3.7 million, or 48%, during 2022 compared to 2021 primarily due to higher trade show expenses, expanded marketing expenses as we returned to more normalized pre-COVID-19 levels of sales and marketing expense during 2022 compared to lower costs during 2021 due to cost saving measures implemented during 2020 that carried into 2021, payroll expenses for the expanded sales and marketing staff and increased commissions on higher sales in the casino and gaming market.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2022 and 2021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p>
        </w:tc>
        <w:tc>
          <w:tcPr>
            <w:tcW w:w="4020" w:type="dxa"/>
            <w:vAlign w:val="bottom"/>
            <w:gridSpan w:val="5"/>
          </w:tcPr>
          <w:p>
            <w:pPr>
              <w:ind w:left="68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80"/>
              <w:spacing w:after="0"/>
              <w:rPr>
                <w:sz w:val="20"/>
                <w:szCs w:val="20"/>
                <w:color w:val="auto"/>
              </w:rPr>
            </w:pPr>
            <w:r>
              <w:rPr>
                <w:rFonts w:ascii="Arial" w:cs="Arial" w:eastAsia="Arial" w:hAnsi="Arial"/>
                <w:sz w:val="18"/>
                <w:szCs w:val="18"/>
                <w:color w:val="auto"/>
              </w:rPr>
              <w:t>Percent</w:t>
            </w:r>
          </w:p>
        </w:tc>
        <w:tc>
          <w:tcPr>
            <w:tcW w:w="23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Percent of</w:t>
            </w: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Percent of</w:t>
            </w:r>
          </w:p>
        </w:tc>
      </w:tr>
      <w:tr>
        <w:trPr>
          <w:trHeight w:val="223"/>
        </w:trPr>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1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Sales - 2022</w:t>
            </w:r>
          </w:p>
        </w:tc>
        <w:tc>
          <w:tcPr>
            <w:tcW w:w="44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Sales - 2021</w:t>
            </w:r>
          </w:p>
        </w:tc>
        <w:tc>
          <w:tcPr>
            <w:tcW w:w="240" w:type="dxa"/>
            <w:vAlign w:val="bottom"/>
          </w:tcPr>
          <w:p>
            <w:pPr>
              <w:spacing w:after="0"/>
              <w:rPr>
                <w:sz w:val="19"/>
                <w:szCs w:val="19"/>
                <w:color w:val="auto"/>
              </w:rPr>
            </w:pPr>
          </w:p>
        </w:tc>
      </w:tr>
      <w:tr>
        <w:trPr>
          <w:trHeight w:val="216"/>
        </w:trPr>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3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w:t>
            </w:r>
          </w:p>
        </w:tc>
        <w:tc>
          <w:tcPr>
            <w:tcW w:w="2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2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expenses primarily include salaries, incentive compensation, and other payroll-related expenses for our executive, accounting, human resources, business development and information technology staff, expenses for our corporate headquarters, professional and legal expenses, information technology expenses, and other expenses related to being a publicly traded company. General and administrative expenses increased $2.6 million, or 27%, during 2022 compared to 2021 due to higher recruiting fees and employee compensation, as well as higher consulting fees and depreciation related to the implementation of a new ERP system that we completed in early 2022. Legal fees also increased year-over-year related to a shareholder matter that was resolved on March 30, 2022 when we entered into a Cooperation Agreement with two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Loss. </w:t>
      </w:r>
      <w:r>
        <w:rPr>
          <w:rFonts w:ascii="Arial" w:cs="Arial" w:eastAsia="Arial" w:hAnsi="Arial"/>
          <w:sz w:val="16"/>
          <w:szCs w:val="16"/>
          <w:color w:val="auto"/>
        </w:rPr>
        <w:t>Operating loss information for the years ended December 31, 2022 and 2021 is summarized below (in thousands, except percentages):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 w:type="dxa"/>
            <w:vAlign w:val="bottom"/>
          </w:tcPr>
          <w:p>
            <w:pPr>
              <w:spacing w:after="0"/>
              <w:rPr>
                <w:sz w:val="20"/>
                <w:szCs w:val="20"/>
                <w:color w:val="auto"/>
              </w:rPr>
            </w:pPr>
          </w:p>
        </w:tc>
        <w:tc>
          <w:tcPr>
            <w:tcW w:w="3980" w:type="dxa"/>
            <w:vAlign w:val="bottom"/>
            <w:gridSpan w:val="5"/>
          </w:tcPr>
          <w:p>
            <w:pPr>
              <w:ind w:left="660"/>
              <w:spacing w:after="0"/>
              <w:rPr>
                <w:sz w:val="20"/>
                <w:szCs w:val="20"/>
                <w:color w:val="auto"/>
              </w:rPr>
            </w:pPr>
            <w:r>
              <w:rPr>
                <w:rFonts w:ascii="Arial" w:cs="Arial" w:eastAsia="Arial" w:hAnsi="Arial"/>
                <w:sz w:val="18"/>
                <w:szCs w:val="18"/>
                <w:color w:val="auto"/>
              </w:rPr>
              <w:t>Year Ended December 31,</w:t>
            </w:r>
          </w:p>
        </w:tc>
        <w:tc>
          <w:tcPr>
            <w:tcW w:w="2300" w:type="dxa"/>
            <w:vAlign w:val="bottom"/>
            <w:gridSpan w:val="2"/>
          </w:tcPr>
          <w:p>
            <w:pPr>
              <w:ind w:left="660"/>
              <w:spacing w:after="0"/>
              <w:rPr>
                <w:sz w:val="20"/>
                <w:szCs w:val="20"/>
                <w:color w:val="auto"/>
              </w:rPr>
            </w:pPr>
            <w:r>
              <w:rPr>
                <w:rFonts w:ascii="Arial" w:cs="Arial" w:eastAsia="Arial" w:hAnsi="Arial"/>
                <w:sz w:val="18"/>
                <w:szCs w:val="18"/>
                <w:color w:val="auto"/>
              </w:rPr>
              <w:t>Percent</w:t>
            </w:r>
          </w:p>
        </w:tc>
        <w:tc>
          <w:tcPr>
            <w:tcW w:w="23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Percent of</w:t>
            </w:r>
          </w:p>
        </w:tc>
        <w:tc>
          <w:tcPr>
            <w:tcW w:w="2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Percent of</w:t>
            </w:r>
          </w:p>
        </w:tc>
      </w:tr>
      <w:tr>
        <w:trPr>
          <w:trHeight w:val="223"/>
        </w:trPr>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2022</w:t>
            </w:r>
          </w:p>
        </w:tc>
        <w:tc>
          <w:tcPr>
            <w:tcW w:w="36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9"/>
                <w:szCs w:val="19"/>
                <w:color w:val="auto"/>
              </w:rPr>
            </w:pPr>
          </w:p>
        </w:tc>
        <w:tc>
          <w:tcPr>
            <w:tcW w:w="1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Change</w:t>
            </w:r>
          </w:p>
        </w:tc>
        <w:tc>
          <w:tcPr>
            <w:tcW w:w="460" w:type="dxa"/>
            <w:vAlign w:val="bottom"/>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Total Sales – 2022</w:t>
            </w:r>
          </w:p>
        </w:tc>
        <w:tc>
          <w:tcPr>
            <w:tcW w:w="46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Total Sales – 2021</w:t>
            </w:r>
          </w:p>
        </w:tc>
        <w:tc>
          <w:tcPr>
            <w:tcW w:w="300" w:type="dxa"/>
            <w:vAlign w:val="bottom"/>
          </w:tcPr>
          <w:p>
            <w:pPr>
              <w:spacing w:after="0"/>
              <w:rPr>
                <w:sz w:val="19"/>
                <w:szCs w:val="19"/>
                <w:color w:val="auto"/>
              </w:rPr>
            </w:pPr>
          </w:p>
        </w:tc>
      </w:tr>
      <w:tr>
        <w:trPr>
          <w:trHeight w:val="216"/>
        </w:trPr>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3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2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operating loss decreased $1.7 million, or 18%, during 2022 compared to 2021 as a $9.0 million, or 59% increase in gross profit on 48% higher sales was largely offset by a $7.3 million or 30% increase in operating expenses during 2022 compared to 2021..</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Interest, net. </w:t>
      </w:r>
      <w:r>
        <w:rPr>
          <w:rFonts w:ascii="Arial" w:cs="Arial" w:eastAsia="Arial" w:hAnsi="Arial"/>
          <w:sz w:val="17"/>
          <w:szCs w:val="17"/>
          <w:color w:val="auto"/>
        </w:rPr>
        <w:t>We recorded net interest expense of $208 thousand in 2022 compared to $96 thousand in 2021. The increase in net interest expense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lower interest income earned from the note receivable to a third party software developer that was collected in March 2021. Interest expense also increased during 2022 and we expect will continue to increase during 2023 due to required minimum borrowings pursuant to the terms of the July 2022 Siena Credit Facility Amendment No. 2 along with expected interest rate increases in the broader financial markets.</w:t>
      </w:r>
    </w:p>
    <w:p>
      <w:pPr>
        <w:spacing w:after="0" w:line="19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Other, net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recorded other expense of $16 thousand in 2022 compared to other expense of $283 thousand in 2021 primarily due to higher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losses recorded by our UK subsidiary during 2021. Going forward, we may continue to experience more foreign exchange gains or losses depending on the level of sales to European customers through our UK subsidiary and the fluctuation in exchange rates of the Euro and Pound Sterling against the U.S. Dollar, which may be impacted by volatility in global economic conditions and political instability such as the Russia-Ukraine conflict.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Gain from Employee Retention Credit. </w:t>
      </w:r>
      <w:r>
        <w:rPr>
          <w:rFonts w:ascii="Arial" w:cs="Arial" w:eastAsia="Arial" w:hAnsi="Arial"/>
          <w:sz w:val="18"/>
          <w:szCs w:val="18"/>
          <w:color w:val="auto"/>
        </w:rPr>
        <w:t>We recorded a $1.5 million gain during 2021 resulting from the recognition of the employee retention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CARES Act upon meeting the conditions required to claim the credit.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Gain on Forgiveness of Long-Term Debt. </w:t>
      </w:r>
      <w:r>
        <w:rPr>
          <w:rFonts w:ascii="Arial" w:cs="Arial" w:eastAsia="Arial" w:hAnsi="Arial"/>
          <w:sz w:val="17"/>
          <w:szCs w:val="17"/>
          <w:color w:val="auto"/>
        </w:rPr>
        <w:t>We recorded a $2.2 million gain in 2021 resulting from the forgiveness of the PPP Loan in July 2021.</w:t>
      </w:r>
    </w:p>
    <w:p>
      <w:pPr>
        <w:spacing w:after="0" w:line="2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an income tax benefit during 2022 of $2.0 million at an effective tax rate of 24.9%, compared to an income tax benefit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of $2.0 million at an effective tax rate of 33.6%. The tax benefit recorded for 2021 was higher as it included the recognition of the gain on the forgiveness of the PPP Loan which was not taxable.</w:t>
      </w:r>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Loss. </w:t>
      </w:r>
      <w:r>
        <w:rPr>
          <w:rFonts w:ascii="Arial" w:cs="Arial" w:eastAsia="Arial" w:hAnsi="Arial"/>
          <w:sz w:val="18"/>
          <w:szCs w:val="18"/>
          <w:color w:val="auto"/>
        </w:rPr>
        <w:t>We reported a net loss for the year ended December 31, 2022 of $5.9 million, or $0.60 per basic and diluted share, compared to a net loss of $4.0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$0.43 per basic and diluted share, in 2021.</w:t>
      </w:r>
    </w:p>
    <w:p>
      <w:pPr>
        <w:sectPr>
          <w:pgSz w:w="11900" w:h="16838" w:orient="portrait"/>
          <w:cols w:equalWidth="0" w:num="1">
            <w:col w:w="11240"/>
          </w:cols>
          <w:pgMar w:left="320" w:top="364"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access to bank lines of credit and our ability to attract long-term capital with satisfactory terms.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Internal cash generation together with currently available cash and cash equivalents, available borrowing facilities and an ability to access credit lines at market-competitive rates, if needed, are expected to be sufficient to fund operations, capital expenditures, and any increase in working capital that would be required to accommodate a higher level of business activity for the 2023 fiscal year and beyond.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2022, our cash balance decreased $11.5 million (versus an increase of $9.1 million in 2021) due primarily to operating activities, including an increase in inventories of $4.4 million to support the growing demand of our products and an increase of $6.4 million in receivables, reflecting stronger sales in 2022. We had $7.9 million in cash and cash equivalents as of December 31, 2022, of which $219 thousand was held by our UK subsidiary.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used in operating activities of $12.2 million in 2022 as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operating activities of $2.5 million in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2022:</w:t>
      </w:r>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reported a net loss of $5.9 million.</w:t>
      </w:r>
    </w:p>
    <w:p>
      <w:pPr>
        <w:spacing w:after="0" w:line="23" w:lineRule="exact"/>
        <w:rPr>
          <w:rFonts w:ascii="Arial" w:cs="Arial" w:eastAsia="Arial" w:hAnsi="Arial"/>
          <w:sz w:val="18"/>
          <w:szCs w:val="18"/>
          <w:color w:val="auto"/>
        </w:rPr>
      </w:pPr>
    </w:p>
    <w:p>
      <w:pPr>
        <w:ind w:left="760" w:hanging="42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depreciation and amortization of $1.3 million and share-based compensation expense of $1.2 million.</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an increase in our deferred tax assets of $2.2 million due to our net loss in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receivable increased $6.4 million primarily due to increased sales volume during the fourth quarter of 2022.</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 increased $4.4 million primarily due to strategic purchases of electronic and other parts to support our sales growth.</w:t>
      </w:r>
    </w:p>
    <w:p>
      <w:pPr>
        <w:spacing w:after="0" w:line="9" w:lineRule="exact"/>
        <w:rPr>
          <w:rFonts w:ascii="Arial" w:cs="Arial" w:eastAsia="Arial" w:hAnsi="Arial"/>
          <w:sz w:val="18"/>
          <w:szCs w:val="18"/>
          <w:color w:val="auto"/>
        </w:rPr>
      </w:pPr>
    </w:p>
    <w:p>
      <w:pPr>
        <w:ind w:left="760" w:hanging="42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Accounts payable provided $3.2 million in cash due to increased inventory purchases and the timing of cash disbursements.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During 2021:</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reported a net loss of $4.0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recorded depreciation and amortization of $1.0 million and share-based compensation expense of $1.2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recorded a gain of $2.2 million from the forgiveness of the PPP loan.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receivable increased $4.2 million, or 125%, primarily due to increased sales volume during the fourth quarter of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recorded a receivable of $1.5 million for the employee retention credit.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Inventories decreased $3.4 million primarily due to the utilization of inventory on hand to fulfill sales and significantly reduced inventory purchases resulting from the supply chain disruptions caused by the COVID-19 pandemic.</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Prepaid income taxes decreased $2.2 million due to receiving an income tax refund in 2021 related to the net operating loss reported for 2020 that was carried back to prior years as permitted by the CARES Act.</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payable increased $2.5 million, or 150%, due to inventory purchases made towards the end of the fourth quarter of 2021 to support expected 2022 sales.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$0.6 million, or 7%, due primarily to increased deferred revenue.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Our capital expenditures were $1.3 million and $1.4 million in 2022 and 2021, respectively. Expenditures in both 2022 and 2021 were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related to the implementation of a new ERP system which was completed in early 2022, new product tooling and computer and networking equipment. Investing activities also provided $1.6 million in 2021 upon the collection of the remaining $1.6 million note receivable balance during the first quarter of 2021 from an unaffiliated third party software developer from whom we license our food service technology software.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provided $2.1 million of cash during 2022 due primarily to required minimum borrowing on our Siena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During 2021, financing activities provided $11.5 million of cash primarily from the completion of an underwritten public offering which raised net proceeds of $11.2 million, after deducting underwriting discounts, commissions and offering expenses and, to a lesser extent, proceeds of $0.4 million from stock option exercises.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Sufficiency</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early 2020, the COVID-19 pandemic has continued to cause uncertainty and disruption in the global economy and financial markets. We have also been impacted by global supply chain issues, increased shipping costs and inflationary pressures. Given the unprecedented uncertainty related to the impact of these external factors on the food service and casino industries, the Company continues to monitor its cash generation, usage and preservation including the management of working capital to generate cash.</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our cash and cash equivalents on hand, our expected cash flows generated from operating activities, and borrowings available under our Siena Credit Facility will provide sufficient resources to meet our working capital needs, finance our capital expenditures and meet our liquidity requirements through at least the next twelve months. Notwithstanding this belief, the duration and extent of these global economic pressures and the future of pandemic variants remain uncertain and the ultimate impact of these global pressures is unknown.</w:t>
      </w:r>
    </w:p>
    <w:p>
      <w:pPr>
        <w:sectPr>
          <w:pgSz w:w="11900" w:h="16838" w:orient="portrait"/>
          <w:cols w:equalWidth="0" w:num="1">
            <w:col w:w="11240"/>
          </w:cols>
          <w:pgMar w:left="320" w:top="364" w:right="33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Credit Facility and Borrowings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2020, we entered into the Loan and Security Agreement (the “Siena Credit Facility”) with Siena Lending Group LLC (the “Lender”) and terminated our credit facility with TD Bank N.A. The Siena Credit Facility provides for a revolving credit line of up to $10.0 million and was originally scheduled to expire on March 13, 2023. Borrowings under the Siena Credit Facility bear a floating rate of interest equal to the greatest of (i) the prime rate plus 1.75%, (ii) the federal funds rate plus 2.25%, and (iii) 6.50%. The total deferred financing costs related to expenses incurred to complete the Siena Credit Facility were $245 thousand. We also pay a fee of 0.50% on unused borrowings under the Siena Credit Facility. Borrowings under the Siena Credit Facility are secured by a lien on substantially all the assets of the Company. Borrowings under the Siena Credit Facility are subject to a borrowing base based on (i) 85% of eligible accounts receivable plus the lesser of (a) $5.0 million and (b) 50% of eligible raw material and 60% of finished goods inventory.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Siena Credit Facility imposes a financial covenant on the Company and restricts, among other things, our ability to incur additional indebtedness and the creation of other liens. The three-month period from April 1, 2020 to June 30, 2020 was the first period we were subject to the original financial covenant, which required the Company to maintain a minimum EBITDA and continued through the 12-month period from April 1, 2020 to March 31, 2021. On July 21, 2021, the Company entered into an amendment (“Siena Credit Facility Amendment No. 1”) to the Siena Credit Facility. Siena Credit Facility Amendment No. 1 changed the financial covenant under the Siena Credit Facility from a minimum EBITDA covenant to an excess availability covenant requiring that the Company maintain excess availability of at least $750 thousand under the Siena Credit Facility, tested as of the end of each calendar month, beginning with the calendar month ended July 31, 2021. From July 31, 2021 through December 31, 2022, we have been in compliance with our excess availability covenant. As of December 31, 2022, we had $2.3 million in outstanding borrowings under the Siena Credit Facility and $3.9 million of net available borrowing capacity under the Siena Credit Facility.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2022, the Company and the Lender entered into Amendment No. 2 (“Siena Credit Facility Amendment No. 2”) to the Siena Credit Facility as amended by Siena Credit Facility Amendment No. 1. Also on July 19, 2022, the Company and the Lender entered into an Amended and Restated Fee Letter (the “Amended Fee Letter”) in connection with Siena Credit Facility Amendment No. 2. Siena Credit Facility Amendment No. 2 did not modify the aggregate amount of the revolving commitment or the interest rate applicable to the loans.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changes to Siena Credit Facility provided for in Siena Credit Facility Amendment No. 2 included, among other things, the following:</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extension of the maturity date from March 13, 2023 to March 13, 2025; and</w:t>
      </w:r>
    </w:p>
    <w:p>
      <w:pPr>
        <w:spacing w:after="0" w:line="306"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termination of the existing blocked account control agreement and entry into a new “springing” deposit account control agreement, permitting the Company to direct the use of funds in its deposit account until such time as (a) the sum of excess availability under the Siena Credit Facility and unrestricted cash is less than $5 million for 3 consecutive business days or (b) an event of default occurs and is continuing.</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Amended Fee Letter requires the Company, while it retains the ability to direct the use of funds in the deposit account, to maintain outstanding borrowings of at least $2,250,000 in principal amount. If the Company does not have the ability to direct the use of funds in the deposit account, then the Amended Fee Letter requires the Company to pay interest on at least $2,250,000 principal amount of loans, whether or not such amount of loans is actually outstanding.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May 1, 2020 (the “Loan Date”), the Company was granted the PPP Loan from Berkshire Bank in the aggregate amount of $2.2 million, pursuant to the</w:t>
      </w:r>
    </w:p>
    <w:p>
      <w:pPr>
        <w:spacing w:after="0" w:line="46" w:lineRule="exact"/>
        <w:rPr>
          <w:sz w:val="20"/>
          <w:szCs w:val="20"/>
          <w:color w:val="auto"/>
        </w:rPr>
      </w:pPr>
    </w:p>
    <w:p>
      <w:pPr>
        <w:jc w:val="both"/>
        <w:ind w:firstLine="8"/>
        <w:spacing w:after="0" w:line="270" w:lineRule="auto"/>
        <w:tabs>
          <w:tab w:leader="none" w:pos="3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which is administered by the SBA and was established under Division A, Title I of the CARES Act, enacted March 27, 2020. Under the terms of the PPP, the PPP Loan would be forgiven to the extent that funds from the PPP Loan were used for payroll costs and costs to continue group health care benefits, as well as for interest on mortgage obligations incurred before February 15, 2020, rent payments under lease agreements in effect before February15, 2020, utilities for which service began before February 15, 2020 and interest on debt obligations incurred before February 15, 2020, subject to conditions and limitations provided in the CARES Act. At least 60% (under the PPP terms, as amended) of the proceeds of the PPP Loan needed to have been used for eligible payroll costs for the PPP Loan to be forgiven.</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8, 2021, the Company received notifications from Berkshire Bank and the SBA that its PPP Loan (including all interest accrued thereon) of $2.2 million had been fully forgiven by the SBA and that the forgiveness payment date was July 1, 2021. The forgiveness of the PPP Loan was reported as “Gain on forgiveness of long-term debt” in the Consolidated Statement of Operations during the year ended December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2022 and 2021, we did not repurchase any shares of our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Shareholders’ equity decreased $5.1 million, or 13%, to $33.9 million at December 31, 2022 from $39.0 million at December 31, 2021. The decrease was primarily due to the net loss of $5.9 million in 2022. This was partially offset by share-based compensation expense related to stock awards of $1.0 million (net of withholding taxes paid by relinquishment of shares) in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TransAct is a smaller reporting company, as defined in Item 10(f)(1) of Regulation S-K, and is not required to provide information under this item.</w:t>
      </w:r>
    </w:p>
    <w:p>
      <w:pPr>
        <w:sectPr>
          <w:pgSz w:w="11900" w:h="16838" w:orient="portrait"/>
          <w:cols w:equalWidth="0" w:num="1">
            <w:col w:w="11240"/>
          </w:cols>
          <w:pgMar w:left="320" w:top="368"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financial statements of the Company are annexed to this Form 10-K as pages F-4 through F-22. The “Report of Independent Registered Public Accounting Firm” is annexed to this Form 10-K as of page F-2. An index to such materials appears on page F-1.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(“CEO”) and Chief Financial Officer (“CFO”), evaluated the effectiveness of our disclosure controls and procedures, as defined in Rule 13a-15 under the Securities Exchange Act of 1934, as amended (the “Exchange Act”) as of December 31, 2022. Our management, including our CEO and CFO, has concluded that our consolidated financial statements, included in this Form 10-K, fairly present, in all material respects, our financial condition, results of operations and cash flows for the periods presented in conformity with generally accepted accounting principles, and that they can be relied upon.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w:t>
      </w:r>
    </w:p>
    <w:p>
      <w:pPr>
        <w:spacing w:after="0" w:line="2"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32" w:lineRule="exact"/>
        <w:rPr>
          <w:rFonts w:ascii="Arial" w:cs="Arial" w:eastAsia="Arial" w:hAnsi="Arial"/>
          <w:sz w:val="16"/>
          <w:szCs w:val="16"/>
          <w:color w:val="auto"/>
        </w:rPr>
      </w:pPr>
    </w:p>
    <w:p>
      <w:pPr>
        <w:jc w:val="both"/>
        <w:ind w:firstLine="8"/>
        <w:spacing w:after="0" w:line="253" w:lineRule="auto"/>
        <w:tabs>
          <w:tab w:leader="none" w:pos="2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management assessed our internal control over financial reporting as of December 31, 2022. Our management based its assessment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(“2013 COSO”). In the opinion of management, TransAct maintained effective internal control over financial reporting as of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December 31, 2022 that has materially affected, or is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Set forth in Item 1 of this Form 10-K under the heading “Information about our Executive Officers” is certain information regarding our executive officers, and information regarding our code of ethics is set forth below. The remaining information in response to this item is incorporated herein by reference to the disclosure that will be contained, as applicable, under the headings, “Delinquent Section 16(a) Reports,” “Corporate Governance,” “Proposal 1: Election of Directors,” “Audit Committee Report,” “Executive Compensation – Compensation Committee Report,” and “Procedures for Submitting Director Nominations and Recommendations” in our Proxy Statement for our 2023 Annual Meeting of Stockholders (the “Proxy Statement”), which will be filed within 120 days after the end of the year covered by this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a Standards of Business Conduct and Code of Ethics (“Standards of Business Conduct”) that includes our code of ethics that is applicable to all employees, including our Chief Executive Officer, Chief Financial Officer, Chief Accounting Officer and Controller. Our Standards of Business Conduct, which require continued observance of high ethical standards, such as honesty, integrity and compliance with the law in the conduct of our business, are available for public access on our Internet website at https://transacttech.gcs-web.com/corporate-governance. Any person may request a copy of our Standards of Business Conduct free of charge by calling (203) 859-6800. We will disclose on our website at https://transacttech.gcs-web.com/corporate-governance any amendment to or waiver of a provision of the Standards of Business Conduct as may be required and within the time period specified under the applicable Securities and Exchange Commission and Nasdaq rules.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 “Executive Compensation,”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equity compensation plans as of December 31, 2022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w:t>
            </w:r>
          </w:p>
        </w:tc>
        <w:tc>
          <w:tcPr>
            <w:tcW w:w="140" w:type="dxa"/>
            <w:vAlign w:val="bottom"/>
          </w:tcPr>
          <w:p>
            <w:pPr>
              <w:spacing w:after="0"/>
              <w:rPr>
                <w:sz w:val="18"/>
                <w:szCs w:val="18"/>
                <w:color w:val="auto"/>
              </w:rPr>
            </w:pPr>
          </w:p>
        </w:tc>
        <w:tc>
          <w:tcPr>
            <w:tcW w:w="24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w:t>
            </w: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5"/>
              </w:rPr>
              <w:t>(c)</w:t>
            </w: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Number of securities</w:t>
            </w:r>
          </w:p>
        </w:tc>
        <w:tc>
          <w:tcPr>
            <w:tcW w:w="140" w:type="dxa"/>
            <w:vAlign w:val="bottom"/>
          </w:tcPr>
          <w:p>
            <w:pPr>
              <w:spacing w:after="0"/>
              <w:rPr>
                <w:sz w:val="18"/>
                <w:szCs w:val="18"/>
                <w:color w:val="auto"/>
              </w:rPr>
            </w:pPr>
          </w:p>
        </w:tc>
        <w:tc>
          <w:tcPr>
            <w:tcW w:w="24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Weighted-average</w:t>
            </w: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Number of securities</w:t>
            </w: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to be issued upon</w:t>
            </w:r>
          </w:p>
        </w:tc>
        <w:tc>
          <w:tcPr>
            <w:tcW w:w="140" w:type="dxa"/>
            <w:vAlign w:val="bottom"/>
          </w:tcPr>
          <w:p>
            <w:pPr>
              <w:spacing w:after="0"/>
              <w:rPr>
                <w:sz w:val="18"/>
                <w:szCs w:val="18"/>
                <w:color w:val="auto"/>
              </w:rPr>
            </w:pPr>
          </w:p>
        </w:tc>
        <w:tc>
          <w:tcPr>
            <w:tcW w:w="24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exercise price</w:t>
            </w: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remaining available for future</w:t>
            </w: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exercise of outstanding</w:t>
            </w:r>
          </w:p>
        </w:tc>
        <w:tc>
          <w:tcPr>
            <w:tcW w:w="140" w:type="dxa"/>
            <w:vAlign w:val="bottom"/>
          </w:tcPr>
          <w:p>
            <w:pPr>
              <w:spacing w:after="0"/>
              <w:rPr>
                <w:sz w:val="18"/>
                <w:szCs w:val="18"/>
                <w:color w:val="auto"/>
              </w:rPr>
            </w:pPr>
          </w:p>
        </w:tc>
        <w:tc>
          <w:tcPr>
            <w:tcW w:w="24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of outstanding</w:t>
            </w:r>
          </w:p>
        </w:tc>
        <w:tc>
          <w:tcPr>
            <w:tcW w:w="328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issuance under equity compensation plans</w:t>
            </w:r>
          </w:p>
        </w:tc>
      </w:tr>
      <w:tr>
        <w:trPr>
          <w:trHeight w:val="237"/>
        </w:trPr>
        <w:tc>
          <w:tcPr>
            <w:tcW w:w="2620" w:type="dxa"/>
            <w:vAlign w:val="bottom"/>
          </w:tcPr>
          <w:p>
            <w:pPr>
              <w:spacing w:after="0"/>
              <w:rPr>
                <w:sz w:val="20"/>
                <w:szCs w:val="20"/>
                <w:color w:val="auto"/>
              </w:rPr>
            </w:pPr>
            <w:r>
              <w:rPr>
                <w:rFonts w:ascii="Arial" w:cs="Arial" w:eastAsia="Arial" w:hAnsi="Arial"/>
                <w:sz w:val="18"/>
                <w:szCs w:val="18"/>
                <w:color w:val="auto"/>
              </w:rPr>
              <w:t>Plan category</w:t>
            </w:r>
          </w:p>
        </w:tc>
        <w:tc>
          <w:tcPr>
            <w:tcW w:w="140" w:type="dxa"/>
            <w:vAlign w:val="bottom"/>
          </w:tcPr>
          <w:p>
            <w:pPr>
              <w:spacing w:after="0"/>
              <w:rPr>
                <w:sz w:val="20"/>
                <w:szCs w:val="20"/>
                <w:color w:val="auto"/>
              </w:rPr>
            </w:pPr>
          </w:p>
        </w:tc>
        <w:tc>
          <w:tcPr>
            <w:tcW w:w="26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options, warrants and rights</w:t>
            </w:r>
          </w:p>
        </w:tc>
        <w:tc>
          <w:tcPr>
            <w:tcW w:w="140" w:type="dxa"/>
            <w:vAlign w:val="bottom"/>
          </w:tcPr>
          <w:p>
            <w:pPr>
              <w:spacing w:after="0"/>
              <w:rPr>
                <w:sz w:val="20"/>
                <w:szCs w:val="20"/>
                <w:color w:val="auto"/>
              </w:rPr>
            </w:pPr>
          </w:p>
        </w:tc>
        <w:tc>
          <w:tcPr>
            <w:tcW w:w="24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options, warrants and rights</w:t>
            </w:r>
          </w:p>
        </w:tc>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2"/>
              </w:rPr>
              <w:t>(excluding securities reflected in column (a))</w:t>
            </w:r>
          </w:p>
        </w:tc>
      </w:tr>
      <w:tr>
        <w:trPr>
          <w:trHeight w:val="202"/>
        </w:trPr>
        <w:tc>
          <w:tcPr>
            <w:tcW w:w="2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Equity compensation plans</w:t>
            </w:r>
          </w:p>
        </w:tc>
        <w:tc>
          <w:tcPr>
            <w:tcW w:w="140" w:type="dxa"/>
            <w:vAlign w:val="bottom"/>
          </w:tcPr>
          <w:p>
            <w:pPr>
              <w:spacing w:after="0"/>
              <w:rPr>
                <w:sz w:val="17"/>
                <w:szCs w:val="17"/>
                <w:color w:val="auto"/>
              </w:rPr>
            </w:pPr>
          </w:p>
        </w:tc>
        <w:tc>
          <w:tcPr>
            <w:tcW w:w="2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approved by security holders:</w:t>
            </w:r>
          </w:p>
        </w:tc>
        <w:tc>
          <w:tcPr>
            <w:tcW w:w="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2005 Equity Incentive Plan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620" w:type="dxa"/>
            <w:vAlign w:val="bottom"/>
          </w:tcPr>
          <w:p>
            <w:pPr>
              <w:ind w:left="180"/>
              <w:spacing w:after="0"/>
              <w:rPr>
                <w:sz w:val="20"/>
                <w:szCs w:val="20"/>
                <w:color w:val="auto"/>
              </w:rPr>
            </w:pPr>
            <w:r>
              <w:rPr>
                <w:rFonts w:ascii="Arial" w:cs="Arial" w:eastAsia="Arial" w:hAnsi="Arial"/>
                <w:sz w:val="18"/>
                <w:szCs w:val="18"/>
                <w:color w:val="auto"/>
              </w:rPr>
              <w:t>2014 Equity Incentive Plan</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1,414,241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2"/>
          </w:tcPr>
          <w:p>
            <w:pPr>
              <w:jc w:val="right"/>
              <w:ind w:right="200"/>
              <w:spacing w:after="0"/>
              <w:rPr>
                <w:sz w:val="20"/>
                <w:szCs w:val="20"/>
                <w:color w:val="auto"/>
              </w:rPr>
            </w:pPr>
            <w:r>
              <w:rPr>
                <w:rFonts w:ascii="Arial" w:cs="Arial" w:eastAsia="Arial" w:hAnsi="Arial"/>
                <w:sz w:val="18"/>
                <w:szCs w:val="18"/>
                <w:color w:val="auto"/>
              </w:rPr>
              <w:t>7.60</w:t>
            </w:r>
          </w:p>
        </w:tc>
        <w:tc>
          <w:tcPr>
            <w:tcW w:w="3260" w:type="dxa"/>
            <w:vAlign w:val="bottom"/>
          </w:tcPr>
          <w:p>
            <w:pPr>
              <w:jc w:val="right"/>
              <w:spacing w:after="0"/>
              <w:rPr>
                <w:sz w:val="20"/>
                <w:szCs w:val="20"/>
                <w:color w:val="auto"/>
              </w:rPr>
            </w:pPr>
            <w:r>
              <w:rPr>
                <w:rFonts w:ascii="Arial" w:cs="Arial" w:eastAsia="Arial" w:hAnsi="Arial"/>
                <w:sz w:val="18"/>
                <w:szCs w:val="18"/>
                <w:color w:val="auto"/>
              </w:rPr>
              <w:t>347,652</w:t>
            </w:r>
          </w:p>
        </w:tc>
        <w:tc>
          <w:tcPr>
            <w:tcW w:w="20" w:type="dxa"/>
            <w:vAlign w:val="bottom"/>
          </w:tcPr>
          <w:p>
            <w:pPr>
              <w:spacing w:after="0"/>
              <w:rPr>
                <w:sz w:val="19"/>
                <w:szCs w:val="19"/>
                <w:color w:val="auto"/>
              </w:rPr>
            </w:pPr>
          </w:p>
        </w:tc>
      </w:tr>
      <w:tr>
        <w:trPr>
          <w:trHeight w:val="223"/>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1,570,241</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0" w:type="dxa"/>
            <w:vAlign w:val="bottom"/>
            <w:tcBorders>
              <w:bottom w:val="single" w:sz="8" w:color="CCEEFF"/>
            </w:tcBorders>
            <w:shd w:val="clear" w:color="auto" w:fill="CCEEFF"/>
          </w:tcPr>
          <w:p>
            <w:pPr>
              <w:spacing w:after="0"/>
              <w:rPr>
                <w:sz w:val="19"/>
                <w:szCs w:val="19"/>
                <w:color w:val="auto"/>
              </w:rPr>
            </w:pPr>
          </w:p>
        </w:tc>
        <w:tc>
          <w:tcPr>
            <w:tcW w:w="3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347,652</w:t>
            </w:r>
          </w:p>
        </w:tc>
        <w:tc>
          <w:tcPr>
            <w:tcW w:w="20" w:type="dxa"/>
            <w:vAlign w:val="bottom"/>
          </w:tcPr>
          <w:p>
            <w:pPr>
              <w:spacing w:after="0"/>
              <w:rPr>
                <w:sz w:val="19"/>
                <w:szCs w:val="19"/>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our stockholders approved the adoption of the 2014 Equity Incentive Plan. In May 2020, our stockholders approved an amendment to the 2014 Equity Incentive Plan to increase the number of shares of common stock which may be subject to awards granted under the plan from 1,400,000 to its current level of 2,200,000. The Company also maintains the 2005 Equity Incentive Plan; however no new awards will be available for future issuance under this plan. Both plans generally provide for awards in the form of: (i) incentive stock options, (ii) non-qualified stock options, (iii) restricted stock,</w:t>
      </w:r>
    </w:p>
    <w:p>
      <w:pPr>
        <w:spacing w:after="0" w:line="1" w:lineRule="exact"/>
        <w:rPr>
          <w:sz w:val="20"/>
          <w:szCs w:val="20"/>
          <w:color w:val="auto"/>
        </w:rPr>
      </w:pPr>
    </w:p>
    <w:p>
      <w:pPr>
        <w:ind w:firstLine="8"/>
        <w:spacing w:after="0" w:line="260" w:lineRule="auto"/>
        <w:tabs>
          <w:tab w:leader="none" w:pos="3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units (which may include performance-based vesting), (v) stock appreciation rights or (vi) limited stock appreciation rights. The Company does not have any equity plans that have not been approved by its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“Certain Relationships and Related Transactions” and “Corporate Governance-Board Leadership Structure and Independence”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The following documents are filed as part of this Form 10-K:</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Consolidated Balance Sheets as of December 31, 2022 and 2021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Consolidated Statements of Operations for the years ended December 31, 2022 and 2021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Consolidated Statements of Comprehensive Loss for the years ended December 31, 2022 and 2021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Consolidated Statements of Changes in Shareholders’ Equity for the years ended December 31, 2022 and 2021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Consolidated Statements of Cash Flows for the years ended December 31, 2022 and 2021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Notes to Consolidated Financial Statements</w:t>
      </w:r>
    </w:p>
    <w:p>
      <w:pPr>
        <w:spacing w:after="0" w:line="23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schedules are omitted because they are either inapplicable or not required, or because the information required therein is included in the Consolidated Financial Statements and Notes thereto.</w:t>
      </w:r>
    </w:p>
    <w:p>
      <w:pPr>
        <w:spacing w:after="0" w:line="19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80" w:type="dxa"/>
            <w:vAlign w:val="bottom"/>
            <w:gridSpan w:val="2"/>
          </w:tcPr>
          <w:p>
            <w:pPr>
              <w:ind w:left="4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80" w:type="dxa"/>
            <w:vAlign w:val="bottom"/>
            <w:gridSpan w:val="7"/>
            <w:shd w:val="clear" w:color="auto" w:fill="CCEEFF"/>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3.</w:t>
              </w:r>
              <w:r>
                <w:rPr>
                  <w:rFonts w:ascii="Arial" w:cs="Arial" w:eastAsia="Arial" w:hAnsi="Arial"/>
                  <w:sz w:val="18"/>
                  <w:szCs w:val="18"/>
                  <w:u w:val="single" w:color="auto"/>
                  <w:color w:val="0000EE"/>
                </w:rPr>
                <w:t>1(a)</w:t>
              </w:r>
            </w:hyperlink>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Certificate of Incorporation of TransAct Technologies Incorporated (conformed copy) (incorporated by reference to Exhibit 3.2 of the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Company’s Quarterly Report on Form 10-Q (SEC File No. 000-21121) filed with the SEC on August 18,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gridSpan w:val="7"/>
          </w:tcPr>
          <w:p>
            <w:pPr>
              <w:spacing w:after="0" w:line="176" w:lineRule="exact"/>
              <w:rPr>
                <w:rFonts w:ascii="Arial" w:cs="Arial" w:eastAsia="Arial" w:hAnsi="Arial"/>
                <w:sz w:val="18"/>
                <w:szCs w:val="18"/>
                <w:color w:val="0000EE"/>
              </w:rPr>
            </w:pPr>
            <w:hyperlink r:id="rId41">
              <w:r>
                <w:rPr>
                  <w:rFonts w:ascii="Arial" w:cs="Arial" w:eastAsia="Arial" w:hAnsi="Arial"/>
                  <w:sz w:val="18"/>
                  <w:szCs w:val="18"/>
                  <w:color w:val="0000EE"/>
                </w:rPr>
                <w:t>3.</w:t>
              </w:r>
              <w:r>
                <w:rPr>
                  <w:rFonts w:ascii="Arial" w:cs="Arial" w:eastAsia="Arial" w:hAnsi="Arial"/>
                  <w:sz w:val="18"/>
                  <w:szCs w:val="18"/>
                  <w:u w:val="single" w:color="auto"/>
                  <w:color w:val="0000EE"/>
                </w:rPr>
                <w:t>1(b)</w:t>
              </w:r>
            </w:hyperlink>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4"/>
              </w:rPr>
              <w:t>Certificate of Designation, Series A Preferred Stock, filed with the Secretary of State of Delaware on December 2, 1997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w w:val="93"/>
              </w:rPr>
              <w:t>reference to Exhibit C of the Company’s Current Report on Form 8-K (SEC File No. 000-21121) filed with the SEC on February 18, 1999).</w:t>
            </w:r>
          </w:p>
        </w:tc>
        <w:tc>
          <w:tcPr>
            <w:tcW w:w="0" w:type="dxa"/>
            <w:vAlign w:val="bottom"/>
          </w:tcPr>
          <w:p>
            <w:pPr>
              <w:spacing w:after="0"/>
              <w:rPr>
                <w:sz w:val="1"/>
                <w:szCs w:val="1"/>
                <w:color w:val="auto"/>
              </w:rPr>
            </w:pPr>
          </w:p>
        </w:tc>
      </w:tr>
      <w:tr>
        <w:trPr>
          <w:trHeight w:val="175"/>
        </w:trPr>
        <w:tc>
          <w:tcPr>
            <w:tcW w:w="780" w:type="dxa"/>
            <w:vAlign w:val="bottom"/>
            <w:gridSpan w:val="7"/>
            <w:shd w:val="clear" w:color="auto" w:fill="CCEEFF"/>
          </w:tcPr>
          <w:p>
            <w:pPr>
              <w:spacing w:after="0" w:line="176" w:lineRule="exact"/>
              <w:rPr>
                <w:rFonts w:ascii="Arial" w:cs="Arial" w:eastAsia="Arial" w:hAnsi="Arial"/>
                <w:sz w:val="18"/>
                <w:szCs w:val="18"/>
                <w:color w:val="0000EE"/>
              </w:rPr>
            </w:pPr>
            <w:hyperlink r:id="rId42">
              <w:r>
                <w:rPr>
                  <w:rFonts w:ascii="Arial" w:cs="Arial" w:eastAsia="Arial" w:hAnsi="Arial"/>
                  <w:sz w:val="18"/>
                  <w:szCs w:val="18"/>
                  <w:color w:val="0000EE"/>
                </w:rPr>
                <w:t>3.</w:t>
              </w:r>
              <w:r>
                <w:rPr>
                  <w:rFonts w:ascii="Arial" w:cs="Arial" w:eastAsia="Arial" w:hAnsi="Arial"/>
                  <w:sz w:val="18"/>
                  <w:szCs w:val="18"/>
                  <w:u w:val="single" w:color="auto"/>
                  <w:color w:val="0000EE"/>
                </w:rPr>
                <w:t>1(c)</w:t>
              </w:r>
            </w:hyperlink>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Certificate of Designation, Series B Preferred Stock, filed with the Secretary of State of Delaware on April 6, 2000 (incorporated by reference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Exhibit 3.1(c) of the Company’s Quarterly Report on Form 10-Q (SEC File No. 000-21121) filed with the SEC on May 8, 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0" w:type="dxa"/>
            <w:vAlign w:val="bottom"/>
            <w:gridSpan w:val="3"/>
          </w:tcPr>
          <w:p>
            <w:pPr>
              <w:spacing w:after="0" w:line="176" w:lineRule="exact"/>
              <w:rPr>
                <w:sz w:val="20"/>
                <w:szCs w:val="20"/>
                <w:color w:val="auto"/>
              </w:rPr>
            </w:pPr>
            <w:r>
              <w:rPr>
                <w:rFonts w:ascii="Arial" w:cs="Arial" w:eastAsia="Arial" w:hAnsi="Arial"/>
                <w:sz w:val="18"/>
                <w:szCs w:val="18"/>
                <w:color w:val="0000EE"/>
              </w:rPr>
              <w:t>3.</w:t>
            </w:r>
            <w:r>
              <w:rPr>
                <w:rFonts w:ascii="Arial" w:cs="Arial" w:eastAsia="Arial" w:hAnsi="Arial"/>
                <w:sz w:val="18"/>
                <w:szCs w:val="18"/>
                <w:u w:val="single" w:color="auto"/>
                <w:color w:val="0000EE"/>
              </w:rPr>
              <w:t>2</w:t>
            </w:r>
            <w:r>
              <w:rPr>
                <w:rFonts w:ascii="Arial" w:cs="Arial" w:eastAsia="Arial" w:hAnsi="Arial"/>
                <w:sz w:val="18"/>
                <w:szCs w:val="18"/>
                <w:color w:val="000000"/>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rPr>
              <w:t>Amended and Restated By-Laws of TransAct Technologies Incorporated.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Specimen Common Stock Certificate (incorporated by reference to Exhibit 4.1 of the Company’s Registration Statement on Form S-1/A (No.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333-06895) filed with the SEC on August 1, 1996).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rPr>
              <w:t>Description of Securities (incorporated by reference to Exhibit 4.2 of the Company’s Annual Report on Form 10-K (SEC File No.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rPr>
              <w:t>000-21121) filed with the SEC on March 16, 2020).</w:t>
            </w:r>
          </w:p>
        </w:tc>
        <w:tc>
          <w:tcPr>
            <w:tcW w:w="0" w:type="dxa"/>
            <w:vAlign w:val="bottom"/>
          </w:tcPr>
          <w:p>
            <w:pPr>
              <w:spacing w:after="0"/>
              <w:rPr>
                <w:sz w:val="1"/>
                <w:szCs w:val="1"/>
                <w:color w:val="auto"/>
              </w:rPr>
            </w:pPr>
          </w:p>
        </w:tc>
      </w:tr>
      <w:tr>
        <w:trPr>
          <w:trHeight w:val="176"/>
        </w:trPr>
        <w:tc>
          <w:tcPr>
            <w:tcW w:w="780" w:type="dxa"/>
            <w:vAlign w:val="bottom"/>
            <w:gridSpan w:val="7"/>
            <w:shd w:val="clear" w:color="auto" w:fill="CCEEFF"/>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2005 Equity Incentive Plan (incorporated by reference to Exhibit 99.1 of the Company’s Current Report on Form 8-K (SEC File No. 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21121) filed with the SEC on June 1, 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gridSpan w:val="7"/>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4"/>
              </w:rPr>
              <w:t>TransAct Technologies Incorporated 2014 Equity Incentive Plan, as Amended and Restated (incorporated by reference to Exhibit I to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rPr>
              <w:t>Definitive Proxy Statement on Schedule 14A filed with the Commission on April 23, 2020, File No. 000-21121).</w:t>
            </w:r>
          </w:p>
        </w:tc>
        <w:tc>
          <w:tcPr>
            <w:tcW w:w="0" w:type="dxa"/>
            <w:vAlign w:val="bottom"/>
          </w:tcPr>
          <w:p>
            <w:pPr>
              <w:spacing w:after="0"/>
              <w:rPr>
                <w:sz w:val="1"/>
                <w:szCs w:val="1"/>
                <w:color w:val="auto"/>
              </w:rPr>
            </w:pPr>
          </w:p>
        </w:tc>
      </w:tr>
      <w:tr>
        <w:trPr>
          <w:trHeight w:val="175"/>
        </w:trPr>
        <w:tc>
          <w:tcPr>
            <w:tcW w:w="780" w:type="dxa"/>
            <w:vAlign w:val="bottom"/>
            <w:gridSpan w:val="7"/>
            <w:shd w:val="clear" w:color="auto" w:fill="CCEEFF"/>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2014 Equity Incentive Plan Time-based Restricted Stock Unit Agreement (incorporated by reference to Exhibit 10.2 of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Quarterly Report on Form 10-Q (SEC File No. 000-21121) filed with the SEC on May 6,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gridSpan w:val="7"/>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4</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1"/>
              </w:rPr>
              <w:t>2014 Equity Incentive Plan Performance-based Restricted Stock Unit Agreement (incorporated by reference to Exhibit 10.1 of the Company’s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rPr>
              <w:t>Quarterly Report on Form 10-Q (SEC File No. 000-211121) filed with the SEC on August 8, 2016).</w:t>
            </w:r>
          </w:p>
        </w:tc>
        <w:tc>
          <w:tcPr>
            <w:tcW w:w="0" w:type="dxa"/>
            <w:vAlign w:val="bottom"/>
          </w:tcPr>
          <w:p>
            <w:pPr>
              <w:spacing w:after="0"/>
              <w:rPr>
                <w:sz w:val="1"/>
                <w:szCs w:val="1"/>
                <w:color w:val="auto"/>
              </w:rPr>
            </w:pPr>
          </w:p>
        </w:tc>
      </w:tr>
      <w:tr>
        <w:trPr>
          <w:trHeight w:val="176"/>
        </w:trPr>
        <w:tc>
          <w:tcPr>
            <w:tcW w:w="780" w:type="dxa"/>
            <w:vAlign w:val="bottom"/>
            <w:gridSpan w:val="7"/>
            <w:shd w:val="clear" w:color="auto" w:fill="CCEEFF"/>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5</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2014 Equity Incentive Plan Non-statutory Stock Option Agreement (incorporated by reference to Exhibit 10.2 of the Company’s current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 on Form 8-K (SEC File No. 000-21121) filed with the SEC on May 19,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gridSpan w:val="7"/>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10.</w:t>
              </w:r>
              <w:r>
                <w:rPr>
                  <w:rFonts w:ascii="Arial" w:cs="Arial" w:eastAsia="Arial" w:hAnsi="Arial"/>
                  <w:sz w:val="18"/>
                  <w:szCs w:val="18"/>
                  <w:u w:val="single" w:color="auto"/>
                  <w:color w:val="0000EE"/>
                </w:rPr>
                <w:t>6</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1"/>
              </w:rPr>
              <w:t>Employment Agreement, dated July 31, 1996, by and between TransAct and Bart C. Shuldman (incorporated by reference to Exhibit 10.20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rPr>
              <w:t>the Company’s Registration Statement on Form S-1/A (No. 333-06895) filed with the SEC on August 1, 1996).</w:t>
            </w:r>
          </w:p>
        </w:tc>
        <w:tc>
          <w:tcPr>
            <w:tcW w:w="0" w:type="dxa"/>
            <w:vAlign w:val="bottom"/>
          </w:tcPr>
          <w:p>
            <w:pPr>
              <w:spacing w:after="0"/>
              <w:rPr>
                <w:sz w:val="1"/>
                <w:szCs w:val="1"/>
                <w:color w:val="auto"/>
              </w:rPr>
            </w:pPr>
          </w:p>
        </w:tc>
      </w:tr>
      <w:tr>
        <w:trPr>
          <w:trHeight w:val="175"/>
        </w:trPr>
        <w:tc>
          <w:tcPr>
            <w:tcW w:w="780" w:type="dxa"/>
            <w:vAlign w:val="bottom"/>
            <w:gridSpan w:val="7"/>
            <w:shd w:val="clear" w:color="auto" w:fill="CCEEFF"/>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7</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Severance Agreement by and between TransAct and Steven A. DeMartino, dated June 1, 2004 (incorporated by reference to Exhibit 10.8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Company’s Annual Report on Form 10-K (SEC File No. 000-21121) filed with the SEC on March 16, 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gridSpan w:val="7"/>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10.</w:t>
              </w:r>
              <w:r>
                <w:rPr>
                  <w:rFonts w:ascii="Arial" w:cs="Arial" w:eastAsia="Arial" w:hAnsi="Arial"/>
                  <w:sz w:val="18"/>
                  <w:szCs w:val="18"/>
                  <w:u w:val="single" w:color="auto"/>
                  <w:color w:val="0000EE"/>
                </w:rPr>
                <w:t>8</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7"/>
              </w:rPr>
              <w:t>Amendment to Employment Agreement, effective January 1, 2008, by and between TransAct and Bart C. Shuldman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w w:val="92"/>
              </w:rPr>
              <w:t>reference to Exhibit 10.10 of the Company’s Annual Report on Form 10-K (SEC File No. 000-21121) filed with the SEC on March 16, 2009).</w:t>
            </w:r>
          </w:p>
        </w:tc>
        <w:tc>
          <w:tcPr>
            <w:tcW w:w="0" w:type="dxa"/>
            <w:vAlign w:val="bottom"/>
          </w:tcPr>
          <w:p>
            <w:pPr>
              <w:spacing w:after="0"/>
              <w:rPr>
                <w:sz w:val="1"/>
                <w:szCs w:val="1"/>
                <w:color w:val="auto"/>
              </w:rPr>
            </w:pPr>
          </w:p>
        </w:tc>
      </w:tr>
      <w:tr>
        <w:trPr>
          <w:trHeight w:val="176"/>
        </w:trPr>
        <w:tc>
          <w:tcPr>
            <w:tcW w:w="780" w:type="dxa"/>
            <w:vAlign w:val="bottom"/>
            <w:gridSpan w:val="7"/>
            <w:shd w:val="clear" w:color="auto" w:fill="CCEEFF"/>
          </w:tcPr>
          <w:p>
            <w:pPr>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10.</w:t>
              </w:r>
              <w:r>
                <w:rPr>
                  <w:rFonts w:ascii="Arial" w:cs="Arial" w:eastAsia="Arial" w:hAnsi="Arial"/>
                  <w:sz w:val="18"/>
                  <w:szCs w:val="18"/>
                  <w:u w:val="single" w:color="auto"/>
                  <w:color w:val="0000EE"/>
                </w:rPr>
                <w:t>9</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Amendment to Severance Agreement by and between TransAct and Steven A. DeMartino, effective January 1, 2008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reference to Exhibit 10.12 of the Company’s Annual Report on Form 10-K (SEC File No. 000-21121) filed with the SEC on March 16,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gridSpan w:val="7"/>
          </w:tcPr>
          <w:p>
            <w:pPr>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5"/>
              </w:rPr>
              <w:t>Severance Agreement by and between TransAct and Andrew J. Hoffman (as amended), effective December 23, 2008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w w:val="92"/>
              </w:rPr>
              <w:t>reference to Exhibit 10.10 of the Company’s Annual Report on Form 10-K (SEC File No. 000-21121) filed with the SEC on March 24, 2022).</w:t>
            </w:r>
          </w:p>
        </w:tc>
        <w:tc>
          <w:tcPr>
            <w:tcW w:w="0" w:type="dxa"/>
            <w:vAlign w:val="bottom"/>
          </w:tcPr>
          <w:p>
            <w:pPr>
              <w:spacing w:after="0"/>
              <w:rPr>
                <w:sz w:val="1"/>
                <w:szCs w:val="1"/>
                <w:color w:val="auto"/>
              </w:rPr>
            </w:pPr>
          </w:p>
        </w:tc>
      </w:tr>
      <w:tr>
        <w:trPr>
          <w:trHeight w:val="176"/>
        </w:trPr>
        <w:tc>
          <w:tcPr>
            <w:tcW w:w="780" w:type="dxa"/>
            <w:vAlign w:val="bottom"/>
            <w:gridSpan w:val="7"/>
            <w:shd w:val="clear" w:color="auto" w:fill="CCEEFF"/>
          </w:tcPr>
          <w:p>
            <w:pPr>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Second Amendment to Severance Agreement by and between TransAct and Steven A. DeMartino, effective April 29, 2021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reference to Exhibit 10.11 of the Company’s Annual Report on Form 10-K (SEC File No. 000-21121) filed with the SEC on March 24, 2022).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gridSpan w:val="7"/>
          </w:tcPr>
          <w:p>
            <w:pPr>
              <w:spacing w:after="0" w:line="176" w:lineRule="exact"/>
              <w:rPr>
                <w:rFonts w:ascii="Arial" w:cs="Arial" w:eastAsia="Arial" w:hAnsi="Arial"/>
                <w:sz w:val="18"/>
                <w:szCs w:val="18"/>
                <w:color w:val="0000EE"/>
              </w:rPr>
            </w:pPr>
            <w:hyperlink r:id="rId55">
              <w:r>
                <w:rPr>
                  <w:rFonts w:ascii="Arial" w:cs="Arial" w:eastAsia="Arial" w:hAnsi="Arial"/>
                  <w:sz w:val="18"/>
                  <w:szCs w:val="18"/>
                  <w:color w:val="0000EE"/>
                </w:rPr>
                <w:t>10.</w:t>
              </w:r>
              <w:r>
                <w:rPr>
                  <w:rFonts w:ascii="Arial" w:cs="Arial" w:eastAsia="Arial" w:hAnsi="Arial"/>
                  <w:sz w:val="18"/>
                  <w:szCs w:val="18"/>
                  <w:u w:val="single" w:color="auto"/>
                  <w:color w:val="0000EE"/>
                </w:rPr>
                <w:t>12(x)</w:t>
              </w:r>
            </w:hyperlink>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1"/>
              </w:rPr>
              <w:t>Amended and Restated Employment Agreement, dated as of December 14, 2022, by and between TransAct Technologies Incorporated 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w w:val="93"/>
              </w:rPr>
              <w:t>Bart C. Shuldman (incorporated by reference to Exhibit 10.1 of the Company’s Current Report on Form 8-K (SEC File No. 000-21121) filed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80" w:type="dxa"/>
            <w:vAlign w:val="bottom"/>
            <w:gridSpan w:val="2"/>
          </w:tcPr>
          <w:p>
            <w:pPr>
              <w:ind w:left="180"/>
              <w:spacing w:after="0"/>
              <w:rPr>
                <w:sz w:val="20"/>
                <w:szCs w:val="20"/>
                <w:color w:val="auto"/>
              </w:rPr>
            </w:pPr>
            <w:r>
              <w:rPr>
                <w:rFonts w:ascii="Arial" w:cs="Arial" w:eastAsia="Arial" w:hAnsi="Arial"/>
                <w:sz w:val="18"/>
                <w:szCs w:val="18"/>
                <w:color w:val="auto"/>
              </w:rPr>
              <w:t>with the SEC on December 27, 2022).</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240"/>
          </w:cols>
          <w:pgMar w:left="320" w:top="364" w:right="339" w:bottom="1440" w:gutter="0" w:footer="0" w:header="0"/>
        </w:sect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3" w:name="page34"/>
    <w:bookmarkEnd w:id="33"/>
    <w:p>
      <w:pPr>
        <w:jc w:val="both"/>
        <w:ind w:left="960" w:right="20" w:hanging="944"/>
        <w:spacing w:after="0" w:line="258" w:lineRule="auto"/>
        <w:tabs>
          <w:tab w:leader="none" w:pos="940" w:val="left"/>
        </w:tabs>
        <w:rPr>
          <w:rFonts w:ascii="Arial" w:cs="Arial" w:eastAsia="Arial" w:hAnsi="Arial"/>
          <w:sz w:val="18"/>
          <w:szCs w:val="18"/>
          <w:color w:val="0000EE"/>
        </w:rPr>
      </w:pPr>
      <w:hyperlink r:id="rId57">
        <w:r>
          <w:rPr>
            <w:rFonts w:ascii="Arial" w:cs="Arial" w:eastAsia="Arial" w:hAnsi="Arial"/>
            <w:sz w:val="18"/>
            <w:szCs w:val="18"/>
            <w:u w:val="single" w:color="auto"/>
            <w:color w:val="0000EE"/>
          </w:rPr>
          <w:t>10.13</w:t>
        </w:r>
      </w:hyperlink>
      <w:r>
        <w:rPr>
          <w:rFonts w:ascii="Arial" w:cs="Arial" w:eastAsia="Arial" w:hAnsi="Arial"/>
          <w:sz w:val="18"/>
          <w:szCs w:val="18"/>
          <w:color w:val="0000EE"/>
        </w:rPr>
        <w:tab/>
        <w:t>Lease Agreement by and between Bomax Properties and Ithaca, dated as of March 23, 1992 (incorporated by reference to Exhibit 10.14 of the Company’s Registration Statement on Form S-1 (No. 333-06895) filed with the SEC on June 26,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940" w:val="left"/>
        </w:tabs>
        <w:rPr>
          <w:rFonts w:ascii="Arial" w:cs="Arial" w:eastAsia="Arial" w:hAnsi="Arial"/>
          <w:sz w:val="18"/>
          <w:szCs w:val="18"/>
          <w:color w:val="0000EE"/>
        </w:rPr>
      </w:pPr>
      <w:hyperlink r:id="rId59">
        <w:r>
          <w:rPr>
            <w:rFonts w:ascii="Arial" w:cs="Arial" w:eastAsia="Arial" w:hAnsi="Arial"/>
            <w:sz w:val="18"/>
            <w:szCs w:val="18"/>
            <w:u w:val="single" w:color="auto"/>
            <w:color w:val="0000EE"/>
          </w:rPr>
          <w:t>10.14</w:t>
        </w:r>
      </w:hyperlink>
      <w:r>
        <w:rPr>
          <w:rFonts w:ascii="Arial" w:cs="Arial" w:eastAsia="Arial" w:hAnsi="Arial"/>
          <w:sz w:val="18"/>
          <w:szCs w:val="18"/>
          <w:color w:val="0000EE"/>
        </w:rPr>
        <w:tab/>
      </w:r>
      <w:r>
        <w:rPr>
          <w:rFonts w:ascii="Arial" w:cs="Arial" w:eastAsia="Arial" w:hAnsi="Arial"/>
          <w:sz w:val="16"/>
          <w:szCs w:val="16"/>
          <w:color w:val="0000EE"/>
        </w:rPr>
        <w:t>Second Amendment to Lease Agreement by and between Bomax Properties and Ithaca, dated December 2, 1996 (incorporated by reference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10.27 of the Company’s Annual Report on Form 10-K (SEC File No. 000-21121) filed with the SEC on March 31,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60" w:hanging="944"/>
        <w:spacing w:after="0" w:line="250" w:lineRule="auto"/>
        <w:tabs>
          <w:tab w:leader="none" w:pos="940" w:val="left"/>
        </w:tabs>
        <w:rPr>
          <w:rFonts w:ascii="Arial" w:cs="Arial" w:eastAsia="Arial" w:hAnsi="Arial"/>
          <w:sz w:val="18"/>
          <w:szCs w:val="18"/>
          <w:color w:val="0000EE"/>
        </w:rPr>
      </w:pPr>
      <w:hyperlink r:id="rId61">
        <w:r>
          <w:rPr>
            <w:rFonts w:ascii="Arial" w:cs="Arial" w:eastAsia="Arial" w:hAnsi="Arial"/>
            <w:sz w:val="18"/>
            <w:szCs w:val="18"/>
            <w:u w:val="single" w:color="auto"/>
            <w:color w:val="0000EE"/>
          </w:rPr>
          <w:t>10.15</w:t>
        </w:r>
      </w:hyperlink>
      <w:r>
        <w:rPr>
          <w:rFonts w:ascii="Arial" w:cs="Arial" w:eastAsia="Arial" w:hAnsi="Arial"/>
          <w:sz w:val="18"/>
          <w:szCs w:val="18"/>
          <w:color w:val="0000EE"/>
        </w:rPr>
        <w:tab/>
        <w:t>Agreement regarding the Continuation and Renewal of Lease by and between Bomax Properties, LLC and TransAct, dated July 18, 2001 (incorporated by reference to Exhibit 10.8 of the Company’s Annual Report on Form 10-K (SEC File No. 000-21121) filed with the SEC on March 29, 2002).</w:t>
      </w:r>
    </w:p>
    <w:p>
      <w:pPr>
        <w:spacing w:after="0" w:line="1" w:lineRule="exact"/>
        <w:rPr>
          <w:sz w:val="20"/>
          <w:szCs w:val="20"/>
          <w:color w:val="auto"/>
        </w:rPr>
      </w:pPr>
    </w:p>
    <w:p>
      <w:pPr>
        <w:jc w:val="both"/>
        <w:ind w:left="960" w:hanging="944"/>
        <w:spacing w:after="0" w:line="250" w:lineRule="auto"/>
        <w:tabs>
          <w:tab w:leader="none" w:pos="940" w:val="left"/>
        </w:tabs>
        <w:rPr>
          <w:rFonts w:ascii="Arial" w:cs="Arial" w:eastAsia="Arial" w:hAnsi="Arial"/>
          <w:sz w:val="18"/>
          <w:szCs w:val="18"/>
          <w:color w:val="0000EE"/>
        </w:rPr>
      </w:pPr>
      <w:hyperlink r:id="rId62">
        <w:r>
          <w:rPr>
            <w:rFonts w:ascii="Arial" w:cs="Arial" w:eastAsia="Arial" w:hAnsi="Arial"/>
            <w:sz w:val="18"/>
            <w:szCs w:val="18"/>
            <w:u w:val="single" w:color="auto"/>
            <w:color w:val="0000EE"/>
          </w:rPr>
          <w:t>10.16</w:t>
        </w:r>
      </w:hyperlink>
      <w:r>
        <w:rPr>
          <w:rFonts w:ascii="Arial" w:cs="Arial" w:eastAsia="Arial" w:hAnsi="Arial"/>
          <w:sz w:val="18"/>
          <w:szCs w:val="18"/>
          <w:color w:val="0000EE"/>
        </w:rPr>
        <w:tab/>
        <w:t>Amendment No. 1 to Lease Agreement between Bomax Properties, LLC and TransAct (incorporated by reference to Exhibit 10.16 of the Company’s Quarterly Report on Form 10-Q (SEC File No. 000-21121) filed with the SEC on May 10,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940" w:val="left"/>
        </w:tabs>
        <w:rPr>
          <w:rFonts w:ascii="Arial" w:cs="Arial" w:eastAsia="Arial" w:hAnsi="Arial"/>
          <w:sz w:val="18"/>
          <w:szCs w:val="18"/>
          <w:color w:val="0000EE"/>
        </w:rPr>
      </w:pPr>
      <w:hyperlink r:id="rId64">
        <w:r>
          <w:rPr>
            <w:rFonts w:ascii="Arial" w:cs="Arial" w:eastAsia="Arial" w:hAnsi="Arial"/>
            <w:sz w:val="18"/>
            <w:szCs w:val="18"/>
            <w:u w:val="single" w:color="auto"/>
            <w:color w:val="0000EE"/>
          </w:rPr>
          <w:t>10.17</w:t>
        </w:r>
      </w:hyperlink>
      <w:r>
        <w:rPr>
          <w:rFonts w:ascii="Arial" w:cs="Arial" w:eastAsia="Arial" w:hAnsi="Arial"/>
          <w:sz w:val="18"/>
          <w:szCs w:val="18"/>
          <w:color w:val="0000EE"/>
        </w:rPr>
        <w:tab/>
      </w:r>
      <w:r>
        <w:rPr>
          <w:rFonts w:ascii="Arial" w:cs="Arial" w:eastAsia="Arial" w:hAnsi="Arial"/>
          <w:sz w:val="16"/>
          <w:szCs w:val="16"/>
          <w:color w:val="0000EE"/>
        </w:rPr>
        <w:t>Amendment No. 2 to Lease Agreement between Bomax Properties, LLC and TransAct, dated January 14, 2016 (incorporated by reference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10.13 of the Company’s Annual Report on Form 10-K (SEC File No. 000-21121) filed with the SEC on March 11, 2016).</w:t>
      </w:r>
    </w:p>
    <w:p>
      <w:pPr>
        <w:spacing w:after="0" w:line="9" w:lineRule="exact"/>
        <w:rPr>
          <w:sz w:val="20"/>
          <w:szCs w:val="20"/>
          <w:color w:val="auto"/>
        </w:rPr>
      </w:pPr>
    </w:p>
    <w:p>
      <w:pPr>
        <w:jc w:val="both"/>
        <w:ind w:left="960" w:hanging="944"/>
        <w:spacing w:after="0" w:line="265" w:lineRule="auto"/>
        <w:tabs>
          <w:tab w:leader="none" w:pos="940" w:val="left"/>
        </w:tabs>
        <w:rPr>
          <w:rFonts w:ascii="Arial" w:cs="Arial" w:eastAsia="Arial" w:hAnsi="Arial"/>
          <w:sz w:val="18"/>
          <w:szCs w:val="18"/>
          <w:color w:val="0000EE"/>
        </w:rPr>
      </w:pPr>
      <w:hyperlink r:id="rId65">
        <w:r>
          <w:rPr>
            <w:rFonts w:ascii="Arial" w:cs="Arial" w:eastAsia="Arial" w:hAnsi="Arial"/>
            <w:sz w:val="18"/>
            <w:szCs w:val="18"/>
            <w:u w:val="single" w:color="auto"/>
            <w:color w:val="0000EE"/>
          </w:rPr>
          <w:t>10.18</w:t>
        </w:r>
      </w:hyperlink>
      <w:r>
        <w:rPr>
          <w:rFonts w:ascii="Arial" w:cs="Arial" w:eastAsia="Arial" w:hAnsi="Arial"/>
          <w:sz w:val="18"/>
          <w:szCs w:val="18"/>
          <w:color w:val="0000EE"/>
        </w:rPr>
        <w:tab/>
      </w:r>
      <w:r>
        <w:rPr>
          <w:rFonts w:ascii="Arial" w:cs="Arial" w:eastAsia="Arial" w:hAnsi="Arial"/>
          <w:sz w:val="17"/>
          <w:szCs w:val="17"/>
          <w:color w:val="0000EE"/>
        </w:rPr>
        <w:t>Amendment No. 3 to Lease Agreement between Bomax Properties, LLC and TransAct, dated February 28, 2020 (incorporated by reference to Exhibit 10.1 to the Company’s Current Report on Form 8-K (SEC File No. 000-21121) filed with the SEC on March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940" w:val="left"/>
        </w:tabs>
        <w:rPr>
          <w:rFonts w:ascii="Arial" w:cs="Arial" w:eastAsia="Arial" w:hAnsi="Arial"/>
          <w:sz w:val="18"/>
          <w:szCs w:val="18"/>
          <w:color w:val="0000EE"/>
        </w:rPr>
      </w:pPr>
      <w:hyperlink r:id="rId67">
        <w:r>
          <w:rPr>
            <w:rFonts w:ascii="Arial" w:cs="Arial" w:eastAsia="Arial" w:hAnsi="Arial"/>
            <w:sz w:val="18"/>
            <w:szCs w:val="18"/>
            <w:u w:val="single" w:color="auto"/>
            <w:color w:val="0000EE"/>
          </w:rPr>
          <w:t>10.19</w:t>
        </w:r>
      </w:hyperlink>
      <w:r>
        <w:rPr>
          <w:rFonts w:ascii="Arial" w:cs="Arial" w:eastAsia="Arial" w:hAnsi="Arial"/>
          <w:sz w:val="18"/>
          <w:szCs w:val="18"/>
          <w:color w:val="0000EE"/>
        </w:rPr>
        <w:tab/>
      </w:r>
      <w:r>
        <w:rPr>
          <w:rFonts w:ascii="Arial" w:cs="Arial" w:eastAsia="Arial" w:hAnsi="Arial"/>
          <w:sz w:val="16"/>
          <w:szCs w:val="16"/>
          <w:color w:val="0000EE"/>
        </w:rPr>
        <w:t>Lease Agreement by and between Las Vegas Airport Properties LLC and TransAct dated December 2, 2004 (incorporated by reference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10.13 of the Company’s Annual Report on Form 10-K (SEC File No. 000-21121) filed with the SEC on March 16, 2005).</w:t>
      </w:r>
    </w:p>
    <w:p>
      <w:pPr>
        <w:spacing w:after="0" w:line="9" w:lineRule="exact"/>
        <w:rPr>
          <w:sz w:val="20"/>
          <w:szCs w:val="20"/>
          <w:color w:val="auto"/>
        </w:rPr>
      </w:pPr>
    </w:p>
    <w:p>
      <w:pPr>
        <w:jc w:val="both"/>
        <w:ind w:left="960" w:hanging="944"/>
        <w:spacing w:after="0" w:line="281" w:lineRule="auto"/>
        <w:tabs>
          <w:tab w:leader="none" w:pos="940" w:val="left"/>
        </w:tabs>
        <w:rPr>
          <w:rFonts w:ascii="Arial" w:cs="Arial" w:eastAsia="Arial" w:hAnsi="Arial"/>
          <w:sz w:val="18"/>
          <w:szCs w:val="18"/>
          <w:color w:val="0000EE"/>
        </w:rPr>
      </w:pPr>
      <w:hyperlink r:id="rId68">
        <w:r>
          <w:rPr>
            <w:rFonts w:ascii="Arial" w:cs="Arial" w:eastAsia="Arial" w:hAnsi="Arial"/>
            <w:sz w:val="18"/>
            <w:szCs w:val="18"/>
            <w:u w:val="single" w:color="auto"/>
            <w:color w:val="0000EE"/>
          </w:rPr>
          <w:t>10.20</w:t>
        </w:r>
      </w:hyperlink>
      <w:r>
        <w:rPr>
          <w:rFonts w:ascii="Arial" w:cs="Arial" w:eastAsia="Arial" w:hAnsi="Arial"/>
          <w:sz w:val="18"/>
          <w:szCs w:val="18"/>
          <w:color w:val="0000EE"/>
        </w:rPr>
        <w:tab/>
      </w:r>
      <w:r>
        <w:rPr>
          <w:rFonts w:ascii="Arial" w:cs="Arial" w:eastAsia="Arial" w:hAnsi="Arial"/>
          <w:sz w:val="16"/>
          <w:szCs w:val="16"/>
          <w:color w:val="0000EE"/>
        </w:rPr>
        <w:t>First Amendment to Lease Agreement by and between CIP Hughes Center LLC and TransAct dated August 24, 2009 (incorporated by reference to Exhibit 10.19 of the Company’s Annual Report on Form 10-K (SEC File No. 000-21121) filed with the SEC on March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60" w:hanging="944"/>
        <w:spacing w:after="0" w:line="250" w:lineRule="auto"/>
        <w:tabs>
          <w:tab w:leader="none" w:pos="940" w:val="left"/>
        </w:tabs>
        <w:rPr>
          <w:rFonts w:ascii="Arial" w:cs="Arial" w:eastAsia="Arial" w:hAnsi="Arial"/>
          <w:sz w:val="18"/>
          <w:szCs w:val="18"/>
          <w:color w:val="0000EE"/>
        </w:rPr>
      </w:pPr>
      <w:hyperlink r:id="rId70">
        <w:r>
          <w:rPr>
            <w:rFonts w:ascii="Arial" w:cs="Arial" w:eastAsia="Arial" w:hAnsi="Arial"/>
            <w:sz w:val="18"/>
            <w:szCs w:val="18"/>
            <w:u w:val="single" w:color="auto"/>
            <w:color w:val="0000EE"/>
          </w:rPr>
          <w:t>10.21</w:t>
        </w:r>
      </w:hyperlink>
      <w:r>
        <w:rPr>
          <w:rFonts w:ascii="Arial" w:cs="Arial" w:eastAsia="Arial" w:hAnsi="Arial"/>
          <w:sz w:val="18"/>
          <w:szCs w:val="18"/>
          <w:color w:val="0000EE"/>
        </w:rPr>
        <w:tab/>
        <w:t>Second Amendment to Lease Agreement by and between The Realty Associates Fund IX LP and TransAct dated June 30, 2015 (incorporated by reference to Exhibit 10.2 of the Company’s Quarterly Report on Form 10-Q (SEC File No. 000-21121) filed with the SEC on August 7, 2015).</w:t>
      </w:r>
    </w:p>
    <w:p>
      <w:pPr>
        <w:spacing w:after="0" w:line="1" w:lineRule="exact"/>
        <w:rPr>
          <w:sz w:val="20"/>
          <w:szCs w:val="20"/>
          <w:color w:val="auto"/>
        </w:rPr>
      </w:pPr>
    </w:p>
    <w:p>
      <w:pPr>
        <w:spacing w:after="0"/>
        <w:tabs>
          <w:tab w:leader="none" w:pos="940" w:val="left"/>
        </w:tabs>
        <w:rPr>
          <w:rFonts w:ascii="Arial" w:cs="Arial" w:eastAsia="Arial" w:hAnsi="Arial"/>
          <w:sz w:val="18"/>
          <w:szCs w:val="18"/>
          <w:color w:val="0000EE"/>
        </w:rPr>
      </w:pPr>
      <w:hyperlink r:id="rId71">
        <w:r>
          <w:rPr>
            <w:rFonts w:ascii="Arial" w:cs="Arial" w:eastAsia="Arial" w:hAnsi="Arial"/>
            <w:sz w:val="18"/>
            <w:szCs w:val="18"/>
            <w:u w:val="single" w:color="auto"/>
            <w:color w:val="0000EE"/>
          </w:rPr>
          <w:t>10.22</w:t>
        </w:r>
      </w:hyperlink>
      <w:r>
        <w:rPr>
          <w:rFonts w:ascii="Arial" w:cs="Arial" w:eastAsia="Arial" w:hAnsi="Arial"/>
          <w:sz w:val="18"/>
          <w:szCs w:val="18"/>
          <w:color w:val="0000EE"/>
        </w:rPr>
        <w:tab/>
      </w:r>
      <w:r>
        <w:rPr>
          <w:rFonts w:ascii="Arial" w:cs="Arial" w:eastAsia="Arial" w:hAnsi="Arial"/>
          <w:sz w:val="17"/>
          <w:szCs w:val="17"/>
          <w:color w:val="0000EE"/>
        </w:rPr>
        <w:t>Lease Agreement by and between 2319 Hamden Center I, L.L.C. and TransAct dated November 27, 2006 (incorporated by reference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10.14 of the Company’s Annual Report on Form 10-K (SEC File No. 000-21121) filed with the SEC on March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940" w:val="left"/>
        </w:tabs>
        <w:rPr>
          <w:rFonts w:ascii="Arial" w:cs="Arial" w:eastAsia="Arial" w:hAnsi="Arial"/>
          <w:sz w:val="18"/>
          <w:szCs w:val="18"/>
          <w:color w:val="0000EE"/>
        </w:rPr>
      </w:pPr>
      <w:hyperlink r:id="rId73">
        <w:r>
          <w:rPr>
            <w:rFonts w:ascii="Arial" w:cs="Arial" w:eastAsia="Arial" w:hAnsi="Arial"/>
            <w:sz w:val="18"/>
            <w:szCs w:val="18"/>
            <w:u w:val="single" w:color="auto"/>
            <w:color w:val="0000EE"/>
          </w:rPr>
          <w:t>10.23</w:t>
        </w:r>
      </w:hyperlink>
      <w:r>
        <w:rPr>
          <w:rFonts w:ascii="Arial" w:cs="Arial" w:eastAsia="Arial" w:hAnsi="Arial"/>
          <w:sz w:val="18"/>
          <w:szCs w:val="18"/>
          <w:color w:val="0000EE"/>
        </w:rPr>
        <w:tab/>
      </w:r>
      <w:r>
        <w:rPr>
          <w:rFonts w:ascii="Arial" w:cs="Arial" w:eastAsia="Arial" w:hAnsi="Arial"/>
          <w:sz w:val="16"/>
          <w:szCs w:val="16"/>
          <w:color w:val="0000EE"/>
        </w:rPr>
        <w:t>First Amendment to Lease by and between 2319 Hamden Center I, L.L.C. and TransAct dated January 3, 2017 (incorporated by reference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10.20 of the Company’s Annual Report on Form 10-K (SEC File No. 000-21121) filed with the SEC on March 16, 2017).</w:t>
      </w:r>
    </w:p>
    <w:p>
      <w:pPr>
        <w:spacing w:after="0" w:line="9" w:lineRule="exact"/>
        <w:rPr>
          <w:sz w:val="20"/>
          <w:szCs w:val="20"/>
          <w:color w:val="auto"/>
        </w:rPr>
      </w:pPr>
    </w:p>
    <w:p>
      <w:pPr>
        <w:jc w:val="both"/>
        <w:ind w:left="960" w:hanging="944"/>
        <w:spacing w:after="0" w:line="250" w:lineRule="auto"/>
        <w:tabs>
          <w:tab w:leader="none" w:pos="940" w:val="left"/>
        </w:tabs>
        <w:rPr>
          <w:rFonts w:ascii="Arial" w:cs="Arial" w:eastAsia="Arial" w:hAnsi="Arial"/>
          <w:sz w:val="18"/>
          <w:szCs w:val="18"/>
          <w:color w:val="0000EE"/>
        </w:rPr>
      </w:pPr>
      <w:hyperlink r:id="rId74">
        <w:r>
          <w:rPr>
            <w:rFonts w:ascii="Arial" w:cs="Arial" w:eastAsia="Arial" w:hAnsi="Arial"/>
            <w:sz w:val="18"/>
            <w:szCs w:val="18"/>
            <w:u w:val="single" w:color="auto"/>
            <w:color w:val="0000EE"/>
          </w:rPr>
          <w:t>10.24</w:t>
        </w:r>
      </w:hyperlink>
      <w:r>
        <w:rPr>
          <w:rFonts w:ascii="Arial" w:cs="Arial" w:eastAsia="Arial" w:hAnsi="Arial"/>
          <w:sz w:val="18"/>
          <w:szCs w:val="18"/>
          <w:color w:val="0000EE"/>
        </w:rPr>
        <w:tab/>
        <w:t>Second Amendment to Lease by and between 2319 Hamden Center I, L.L.C. and TransAct Technologies dated April 30, 2021 (incorporated by reference to Exhibit 10.1 of the Company’s Quarterly Report on Form 10-Q (SEC File No. 000-21121) filed with the SEC on May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60" w:hanging="944"/>
        <w:spacing w:after="0" w:line="250" w:lineRule="auto"/>
        <w:tabs>
          <w:tab w:leader="none" w:pos="940" w:val="left"/>
        </w:tabs>
        <w:rPr>
          <w:rFonts w:ascii="Arial" w:cs="Arial" w:eastAsia="Arial" w:hAnsi="Arial"/>
          <w:sz w:val="18"/>
          <w:szCs w:val="18"/>
          <w:color w:val="0000EE"/>
        </w:rPr>
      </w:pPr>
      <w:hyperlink r:id="rId76">
        <w:r>
          <w:rPr>
            <w:rFonts w:ascii="Arial" w:cs="Arial" w:eastAsia="Arial" w:hAnsi="Arial"/>
            <w:sz w:val="18"/>
            <w:szCs w:val="18"/>
            <w:u w:val="single" w:color="auto"/>
            <w:color w:val="0000EE"/>
          </w:rPr>
          <w:t>10.25</w:t>
        </w:r>
      </w:hyperlink>
      <w:r>
        <w:rPr>
          <w:rFonts w:ascii="Arial" w:cs="Arial" w:eastAsia="Arial" w:hAnsi="Arial"/>
          <w:sz w:val="18"/>
          <w:szCs w:val="18"/>
          <w:color w:val="0000EE"/>
        </w:rPr>
        <w:tab/>
        <w:t>Loan and Security Agreement, dated as of March 13, 2020, among Siena Lending Group LLC, TransAct Technologies Incorporated and the other Loan Parties from time to time party thereto (incorporated by reference to Exhibit 10.2 of the Company’s Quarterly Report on Form 10-Q (SEC File No. 000-21121) filed with the SEC on May 22, 2020).</w:t>
      </w:r>
    </w:p>
    <w:p>
      <w:pPr>
        <w:spacing w:after="0" w:line="1" w:lineRule="exact"/>
        <w:rPr>
          <w:sz w:val="20"/>
          <w:szCs w:val="20"/>
          <w:color w:val="auto"/>
        </w:rPr>
      </w:pPr>
    </w:p>
    <w:p>
      <w:pPr>
        <w:jc w:val="both"/>
        <w:ind w:left="960" w:hanging="944"/>
        <w:spacing w:after="0" w:line="250" w:lineRule="auto"/>
        <w:tabs>
          <w:tab w:leader="none" w:pos="940" w:val="left"/>
        </w:tabs>
        <w:rPr>
          <w:rFonts w:ascii="Arial" w:cs="Arial" w:eastAsia="Arial" w:hAnsi="Arial"/>
          <w:sz w:val="18"/>
          <w:szCs w:val="18"/>
          <w:color w:val="0000EE"/>
        </w:rPr>
      </w:pPr>
      <w:hyperlink r:id="rId77">
        <w:r>
          <w:rPr>
            <w:rFonts w:ascii="Arial" w:cs="Arial" w:eastAsia="Arial" w:hAnsi="Arial"/>
            <w:sz w:val="18"/>
            <w:szCs w:val="18"/>
            <w:u w:val="single" w:color="auto"/>
            <w:color w:val="0000EE"/>
          </w:rPr>
          <w:t>10.26</w:t>
        </w:r>
      </w:hyperlink>
      <w:r>
        <w:rPr>
          <w:rFonts w:ascii="Arial" w:cs="Arial" w:eastAsia="Arial" w:hAnsi="Arial"/>
          <w:sz w:val="18"/>
          <w:szCs w:val="18"/>
          <w:color w:val="0000EE"/>
        </w:rPr>
        <w:tab/>
        <w:t>Amendment No. 1 To Loan and Security Agreement, dated as of July 21, 2021, among Siena Lending Group and TransAct Technologies Incorporated (incorporated by reference to Exhibit 99.1 to the Company’s Current Report on Form 8-K (SEC File No. 000-21121) filed with the SEC on July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960" w:hanging="944"/>
        <w:spacing w:after="0" w:line="250" w:lineRule="auto"/>
        <w:tabs>
          <w:tab w:leader="none" w:pos="940" w:val="left"/>
        </w:tabs>
        <w:rPr>
          <w:rFonts w:ascii="Arial" w:cs="Arial" w:eastAsia="Arial" w:hAnsi="Arial"/>
          <w:sz w:val="18"/>
          <w:szCs w:val="18"/>
          <w:color w:val="0000EE"/>
        </w:rPr>
      </w:pPr>
      <w:hyperlink r:id="rId79">
        <w:r>
          <w:rPr>
            <w:rFonts w:ascii="Arial" w:cs="Arial" w:eastAsia="Arial" w:hAnsi="Arial"/>
            <w:sz w:val="18"/>
            <w:szCs w:val="18"/>
            <w:u w:val="single" w:color="auto"/>
            <w:color w:val="0000EE"/>
          </w:rPr>
          <w:t>10.27</w:t>
        </w:r>
      </w:hyperlink>
      <w:r>
        <w:rPr>
          <w:rFonts w:ascii="Arial" w:cs="Arial" w:eastAsia="Arial" w:hAnsi="Arial"/>
          <w:sz w:val="18"/>
          <w:szCs w:val="18"/>
          <w:color w:val="0000EE"/>
        </w:rPr>
        <w:tab/>
        <w:t>Amendment No. 2 To Loan and Security Agreement, dated as of July 19, 2022, between Siena Lending Group LLC and TransAct Technologies Incorporated (incorporated by reference to Exhibit 10.1 to the Company’s Current Report on Form 8-K (SEC File No. 000-21121) filed with the SEC on July 25, 2022).</w:t>
      </w:r>
    </w:p>
    <w:p>
      <w:pPr>
        <w:spacing w:after="0" w:line="1" w:lineRule="exact"/>
        <w:rPr>
          <w:sz w:val="20"/>
          <w:szCs w:val="20"/>
          <w:color w:val="auto"/>
        </w:rPr>
      </w:pPr>
    </w:p>
    <w:p>
      <w:pPr>
        <w:jc w:val="both"/>
        <w:ind w:left="960" w:hanging="944"/>
        <w:spacing w:after="0" w:line="250" w:lineRule="auto"/>
        <w:tabs>
          <w:tab w:leader="none" w:pos="940" w:val="left"/>
        </w:tabs>
        <w:rPr>
          <w:rFonts w:ascii="Arial" w:cs="Arial" w:eastAsia="Arial" w:hAnsi="Arial"/>
          <w:sz w:val="18"/>
          <w:szCs w:val="18"/>
          <w:color w:val="0000EE"/>
        </w:rPr>
      </w:pPr>
      <w:hyperlink r:id="rId80">
        <w:r>
          <w:rPr>
            <w:rFonts w:ascii="Arial" w:cs="Arial" w:eastAsia="Arial" w:hAnsi="Arial"/>
            <w:sz w:val="18"/>
            <w:szCs w:val="18"/>
            <w:u w:val="single" w:color="auto"/>
            <w:color w:val="0000EE"/>
          </w:rPr>
          <w:t>10.28</w:t>
        </w:r>
      </w:hyperlink>
      <w:r>
        <w:rPr>
          <w:rFonts w:ascii="Arial" w:cs="Arial" w:eastAsia="Arial" w:hAnsi="Arial"/>
          <w:sz w:val="18"/>
          <w:szCs w:val="18"/>
          <w:color w:val="0000EE"/>
        </w:rPr>
        <w:tab/>
        <w:t>Amended and Restated Fee Letter, dated as of July 19, 2022, between Siena Lending Group LLC and TransAct Technologies Incorporated (incorporated by reference to Exhibit 10.2 to the Company’s Current Report on Form 8-K (SEC File No. 000-21121) filed with the SEC on July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960" w:right="20" w:hanging="944"/>
        <w:spacing w:after="0" w:line="250" w:lineRule="auto"/>
        <w:tabs>
          <w:tab w:leader="none" w:pos="940" w:val="left"/>
        </w:tabs>
        <w:rPr>
          <w:rFonts w:ascii="Arial" w:cs="Arial" w:eastAsia="Arial" w:hAnsi="Arial"/>
          <w:sz w:val="18"/>
          <w:szCs w:val="18"/>
          <w:color w:val="0000EE"/>
        </w:rPr>
      </w:pPr>
      <w:hyperlink r:id="rId82">
        <w:r>
          <w:rPr>
            <w:rFonts w:ascii="Arial" w:cs="Arial" w:eastAsia="Arial" w:hAnsi="Arial"/>
            <w:sz w:val="18"/>
            <w:szCs w:val="18"/>
            <w:u w:val="single" w:color="auto"/>
            <w:color w:val="0000EE"/>
          </w:rPr>
          <w:t>10.29</w:t>
        </w:r>
      </w:hyperlink>
      <w:r>
        <w:rPr>
          <w:rFonts w:ascii="Arial" w:cs="Arial" w:eastAsia="Arial" w:hAnsi="Arial"/>
          <w:sz w:val="18"/>
          <w:szCs w:val="18"/>
          <w:color w:val="000000"/>
        </w:rPr>
        <w:t>†</w:t>
      </w:r>
      <w:r>
        <w:rPr>
          <w:rFonts w:ascii="Arial" w:cs="Arial" w:eastAsia="Arial" w:hAnsi="Arial"/>
          <w:sz w:val="18"/>
          <w:szCs w:val="18"/>
          <w:color w:val="0000EE"/>
        </w:rPr>
        <w:tab/>
        <w:t>Master License Agreement dated February 22, 2019 and amendments thereto (incorporated by reference to Exhibit 10.24 to the Company’s Annual Report on Form 10-K (SEC File No. 000-21121) filed with the SEC on March 12, 2021).</w:t>
      </w:r>
    </w:p>
    <w:p>
      <w:pPr>
        <w:spacing w:after="0" w:line="1" w:lineRule="exact"/>
        <w:rPr>
          <w:sz w:val="20"/>
          <w:szCs w:val="20"/>
          <w:color w:val="auto"/>
        </w:rPr>
      </w:pPr>
    </w:p>
    <w:p>
      <w:pPr>
        <w:ind w:left="960" w:right="520" w:hanging="944"/>
        <w:spacing w:after="0" w:line="260" w:lineRule="auto"/>
        <w:tabs>
          <w:tab w:leader="none" w:pos="940" w:val="left"/>
        </w:tabs>
        <w:rPr>
          <w:rFonts w:ascii="Arial" w:cs="Arial" w:eastAsia="Arial" w:hAnsi="Arial"/>
          <w:sz w:val="18"/>
          <w:szCs w:val="18"/>
          <w:color w:val="0000EE"/>
        </w:rPr>
      </w:pPr>
      <w:hyperlink r:id="rId83">
        <w:r>
          <w:rPr>
            <w:rFonts w:ascii="Arial" w:cs="Arial" w:eastAsia="Arial" w:hAnsi="Arial"/>
            <w:sz w:val="18"/>
            <w:szCs w:val="18"/>
            <w:u w:val="single" w:color="auto"/>
            <w:color w:val="0000EE"/>
          </w:rPr>
          <w:t>10.30</w:t>
        </w:r>
      </w:hyperlink>
      <w:r>
        <w:rPr>
          <w:rFonts w:ascii="Arial" w:cs="Arial" w:eastAsia="Arial" w:hAnsi="Arial"/>
          <w:sz w:val="18"/>
          <w:szCs w:val="18"/>
          <w:color w:val="000000"/>
        </w:rPr>
        <w:t>†</w:t>
      </w:r>
      <w:r>
        <w:rPr>
          <w:rFonts w:ascii="Arial" w:cs="Arial" w:eastAsia="Arial" w:hAnsi="Arial"/>
          <w:sz w:val="18"/>
          <w:szCs w:val="18"/>
          <w:color w:val="0000EE"/>
        </w:rPr>
        <w:tab/>
        <w:t>Master Development and License Agreement dated July 20, 2018 (incorporated by reference to Exhibit 10.25 to the Company’s Annual Report on Form 10-K (SEC File No. 000-21121) filed with the SEC on March 12, 2021).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both"/>
        <w:ind w:left="960" w:hanging="944"/>
        <w:spacing w:after="0" w:line="255" w:lineRule="auto"/>
        <w:tabs>
          <w:tab w:leader="none" w:pos="940" w:val="left"/>
        </w:tabs>
        <w:rPr>
          <w:rFonts w:ascii="Arial" w:cs="Arial" w:eastAsia="Arial" w:hAnsi="Arial"/>
          <w:sz w:val="18"/>
          <w:szCs w:val="18"/>
          <w:color w:val="0000EE"/>
        </w:rPr>
      </w:pPr>
      <w:hyperlink r:id="rId85">
        <w:r>
          <w:rPr>
            <w:rFonts w:ascii="Arial" w:cs="Arial" w:eastAsia="Arial" w:hAnsi="Arial"/>
            <w:sz w:val="18"/>
            <w:szCs w:val="18"/>
            <w:u w:val="single" w:color="auto"/>
            <w:color w:val="0000EE"/>
          </w:rPr>
          <w:t>10.31</w:t>
        </w:r>
      </w:hyperlink>
      <w:r>
        <w:rPr>
          <w:rFonts w:ascii="Arial" w:cs="Arial" w:eastAsia="Arial" w:hAnsi="Arial"/>
          <w:sz w:val="18"/>
          <w:szCs w:val="18"/>
          <w:color w:val="0000EE"/>
        </w:rPr>
        <w:tab/>
        <w:t>Cooperation Agreement, dated as of March 30, 2022, by and among TransAct Technologies Incorporated, 325 Capital Master Fund LP and Harbert Discovery Fund, L.P. (incorporated by reference to Exhibit 10.1 to the Company’s Current Report on Form 8-K (SEC File No. 000-21121) filed with the SEC on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960" w:right="20" w:hanging="952"/>
        <w:spacing w:after="0" w:line="260" w:lineRule="auto"/>
        <w:tabs>
          <w:tab w:leader="none" w:pos="960" w:val="left"/>
        </w:tabs>
        <w:numPr>
          <w:ilvl w:val="0"/>
          <w:numId w:val="21"/>
        </w:numPr>
        <w:rPr>
          <w:rFonts w:ascii="Arial" w:cs="Arial" w:eastAsia="Arial" w:hAnsi="Arial"/>
          <w:sz w:val="18"/>
          <w:szCs w:val="18"/>
          <w:u w:val="single" w:color="auto"/>
          <w:color w:val="0000EE"/>
        </w:rPr>
      </w:pPr>
      <w:r>
        <w:rPr>
          <w:rFonts w:ascii="Arial" w:cs="Arial" w:eastAsia="Arial" w:hAnsi="Arial"/>
          <w:sz w:val="18"/>
          <w:szCs w:val="18"/>
          <w:color w:val="auto"/>
        </w:rPr>
        <w:t>Subsidiaries of the Company (incorporated by reference to Exhibit 21 to the Company’s Annual Report on Form 10-K (SEC File No. 000-21121) filed with the SEC on March 12, 2021)</w:t>
      </w:r>
    </w:p>
    <w:tbl>
      <w:tblPr>
        <w:tblLayout w:type="fixed"/>
        <w:tblInd w:w="0" w:type="dxa"/>
        <w:tblCellMar>
          <w:top w:w="0" w:type="dxa"/>
          <w:left w:w="0" w:type="dxa"/>
          <w:bottom w:w="0" w:type="dxa"/>
          <w:right w:w="0" w:type="dxa"/>
        </w:tblCellMar>
      </w:tblPr>
      <w:tr>
        <w:trPr>
          <w:trHeight w:val="159"/>
        </w:trPr>
        <w:tc>
          <w:tcPr>
            <w:tcW w:w="820" w:type="dxa"/>
            <w:vAlign w:val="bottom"/>
            <w:gridSpan w:val="3"/>
            <w:shd w:val="clear" w:color="auto" w:fill="CCEEFF"/>
          </w:tcPr>
          <w:p>
            <w:pPr>
              <w:spacing w:after="0" w:line="159"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10420" w:type="dxa"/>
            <w:vAlign w:val="bottom"/>
            <w:shd w:val="clear" w:color="auto" w:fill="CCEEFF"/>
          </w:tcPr>
          <w:p>
            <w:pPr>
              <w:ind w:left="140"/>
              <w:spacing w:after="0" w:line="159" w:lineRule="exact"/>
              <w:rPr>
                <w:sz w:val="20"/>
                <w:szCs w:val="20"/>
                <w:color w:val="auto"/>
              </w:rPr>
            </w:pPr>
            <w:r>
              <w:rPr>
                <w:rFonts w:ascii="Arial" w:cs="Arial" w:eastAsia="Arial" w:hAnsi="Arial"/>
                <w:sz w:val="18"/>
                <w:szCs w:val="18"/>
                <w:color w:val="auto"/>
              </w:rPr>
              <w:t>Consent of Marcum LLP</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20" w:type="dxa"/>
            <w:vAlign w:val="bottom"/>
            <w:gridSpan w:val="3"/>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r>
              <w:rPr>
                <w:rFonts w:ascii="Arial" w:cs="Arial" w:eastAsia="Arial" w:hAnsi="Arial"/>
                <w:sz w:val="18"/>
                <w:szCs w:val="18"/>
                <w:color w:val="000000"/>
              </w:rPr>
              <w:t>*</w:t>
            </w:r>
          </w:p>
        </w:tc>
        <w:tc>
          <w:tcPr>
            <w:tcW w:w="10420" w:type="dxa"/>
            <w:vAlign w:val="bottom"/>
          </w:tcPr>
          <w:p>
            <w:pPr>
              <w:ind w:left="140"/>
              <w:spacing w:after="0" w:line="176" w:lineRule="exact"/>
              <w:rPr>
                <w:sz w:val="20"/>
                <w:szCs w:val="20"/>
                <w:color w:val="auto"/>
              </w:rPr>
            </w:pPr>
            <w:r>
              <w:rPr>
                <w:rFonts w:ascii="Arial" w:cs="Arial" w:eastAsia="Arial" w:hAnsi="Arial"/>
                <w:sz w:val="18"/>
                <w:szCs w:val="18"/>
                <w:color w:val="auto"/>
              </w:rPr>
              <w:t>Rule 13a-14(a) Certification of Chief Executive Officer in accordance with Section 302 of the Sarbanes-Oxley Act of 2002.</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r>
      <w:tr>
        <w:trPr>
          <w:trHeight w:val="196"/>
        </w:trPr>
        <w:tc>
          <w:tcPr>
            <w:tcW w:w="8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r>
              <w:rPr>
                <w:rFonts w:ascii="Arial" w:cs="Arial" w:eastAsia="Arial" w:hAnsi="Arial"/>
                <w:sz w:val="18"/>
                <w:szCs w:val="18"/>
                <w:color w:val="000000"/>
              </w:rPr>
              <w:t>*</w:t>
            </w:r>
          </w:p>
        </w:tc>
        <w:tc>
          <w:tcPr>
            <w:tcW w:w="104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Rule 13a-14(a) Certification of Chief Financial Officer in accordance with Section 302 of the Sarbanes-Oxley Act of 2002.</w:t>
            </w:r>
          </w:p>
        </w:tc>
      </w:tr>
      <w:tr>
        <w:trPr>
          <w:trHeight w:val="176"/>
        </w:trPr>
        <w:tc>
          <w:tcPr>
            <w:tcW w:w="32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99"/>
              </w:rPr>
              <w:t>32</w:t>
            </w:r>
            <w:r>
              <w:rPr>
                <w:rFonts w:ascii="Arial" w:cs="Arial" w:eastAsia="Arial" w:hAnsi="Arial"/>
                <w:sz w:val="18"/>
                <w:szCs w:val="18"/>
                <w:color w:val="000000"/>
                <w:w w:val="99"/>
              </w:rPr>
              <w:t>‡</w:t>
            </w:r>
          </w:p>
        </w:tc>
        <w:tc>
          <w:tcPr>
            <w:tcW w:w="500" w:type="dxa"/>
            <w:vAlign w:val="bottom"/>
            <w:tcBorders>
              <w:top w:val="single" w:sz="8" w:color="CCEEFF"/>
            </w:tcBorders>
          </w:tcPr>
          <w:p>
            <w:pPr>
              <w:spacing w:after="0"/>
              <w:rPr>
                <w:sz w:val="15"/>
                <w:szCs w:val="15"/>
                <w:color w:val="auto"/>
              </w:rPr>
            </w:pPr>
          </w:p>
        </w:tc>
        <w:tc>
          <w:tcPr>
            <w:tcW w:w="10420" w:type="dxa"/>
            <w:vAlign w:val="bottom"/>
            <w:tcBorders>
              <w:top w:val="single" w:sz="8" w:color="CCEEFF"/>
            </w:tcBorders>
          </w:tcPr>
          <w:p>
            <w:pPr>
              <w:ind w:left="140"/>
              <w:spacing w:after="0" w:line="176" w:lineRule="exact"/>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 906 of</w:t>
            </w:r>
          </w:p>
        </w:tc>
      </w:tr>
      <w:tr>
        <w:trPr>
          <w:trHeight w:val="237"/>
        </w:trPr>
        <w:tc>
          <w:tcPr>
            <w:tcW w:w="1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20" w:type="dxa"/>
            <w:vAlign w:val="bottom"/>
          </w:tcPr>
          <w:p>
            <w:pPr>
              <w:ind w:left="140"/>
              <w:spacing w:after="0"/>
              <w:rPr>
                <w:sz w:val="20"/>
                <w:szCs w:val="20"/>
                <w:color w:val="auto"/>
              </w:rPr>
            </w:pPr>
            <w:r>
              <w:rPr>
                <w:rFonts w:ascii="Arial" w:cs="Arial" w:eastAsia="Arial" w:hAnsi="Arial"/>
                <w:sz w:val="18"/>
                <w:szCs w:val="18"/>
                <w:color w:val="auto"/>
              </w:rPr>
              <w:t>the Sarbanes-Oxley Act of 2002.</w:t>
            </w:r>
          </w:p>
        </w:tc>
      </w:tr>
      <w:tr>
        <w:trPr>
          <w:trHeight w:val="202"/>
        </w:trPr>
        <w:tc>
          <w:tcPr>
            <w:tcW w:w="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04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 XBRL tags are embedded</w:t>
            </w:r>
          </w:p>
        </w:tc>
      </w:tr>
      <w:tr>
        <w:trPr>
          <w:trHeight w:val="230"/>
        </w:trPr>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8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14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8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1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8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104</w:t>
            </w:r>
          </w:p>
        </w:tc>
        <w:tc>
          <w:tcPr>
            <w:tcW w:w="500" w:type="dxa"/>
            <w:vAlign w:val="bottom"/>
            <w:shd w:val="clear" w:color="auto" w:fill="CCEEFF"/>
          </w:tcPr>
          <w:p>
            <w:pPr>
              <w:spacing w:after="0"/>
              <w:rPr>
                <w:sz w:val="18"/>
                <w:szCs w:val="18"/>
                <w:color w:val="auto"/>
              </w:rPr>
            </w:pPr>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sz w:val="20"/>
          <w:szCs w:val="20"/>
          <w:color w:val="auto"/>
        </w:rPr>
      </w:pPr>
    </w:p>
    <w:p>
      <w:pPr>
        <w:ind w:right="6480" w:firstLine="8"/>
        <w:spacing w:after="0" w:line="258" w:lineRule="auto"/>
        <w:tabs>
          <w:tab w:leader="none" w:pos="32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 These exhibits are filed herewith.</w:t>
      </w:r>
    </w:p>
    <w:p>
      <w:pPr>
        <w:spacing w:after="0" w:line="1"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Certain portions of this exhibit (indicated by “[***]”) have been omitted pursuant to Item (601)(b)(10) of Regulation S-K.</w:t>
      </w:r>
    </w:p>
    <w:p>
      <w:pPr>
        <w:spacing w:after="0" w:line="9"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These exhibits are furnished herewith.</w:t>
      </w:r>
    </w:p>
    <w:p>
      <w:pPr>
        <w:spacing w:after="0" w:line="233" w:lineRule="exact"/>
        <w:rPr>
          <w:rFonts w:ascii="Arial" w:cs="Arial" w:eastAsia="Arial" w:hAnsi="Arial"/>
          <w:sz w:val="18"/>
          <w:szCs w:val="18"/>
          <w:i w:val="1"/>
          <w:iCs w:val="1"/>
          <w:color w:val="auto"/>
        </w:rPr>
      </w:pPr>
    </w:p>
    <w:p>
      <w:pPr>
        <w:ind w:left="660" w:hanging="328"/>
        <w:spacing w:after="0"/>
        <w:tabs>
          <w:tab w:leader="none" w:pos="66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Exhibits required by Item 601 of Regulation S-K under the Exchange Act are included in the Exhibit Index above under a(3) of this Item 15.</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 included in this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TRANSACT TECHNOLOGIES INCORPORATED</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Bart C. Shuldman</w:t>
            </w:r>
          </w:p>
        </w:tc>
      </w:tr>
      <w:tr>
        <w:trPr>
          <w:trHeight w:val="198"/>
        </w:trPr>
        <w:tc>
          <w:tcPr>
            <w:tcW w:w="580" w:type="dxa"/>
            <w:vAlign w:val="bottom"/>
          </w:tcPr>
          <w:p>
            <w:pPr>
              <w:spacing w:after="0" w:line="198" w:lineRule="exact"/>
              <w:rPr>
                <w:sz w:val="20"/>
                <w:szCs w:val="20"/>
                <w:color w:val="auto"/>
              </w:rPr>
            </w:pPr>
            <w:r>
              <w:rPr>
                <w:rFonts w:ascii="Arial" w:cs="Arial" w:eastAsia="Arial" w:hAnsi="Arial"/>
                <w:sz w:val="18"/>
                <w:szCs w:val="18"/>
                <w:color w:val="auto"/>
              </w:rPr>
              <w:t>Name:</w:t>
            </w:r>
          </w:p>
        </w:tc>
        <w:tc>
          <w:tcPr>
            <w:tcW w:w="6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Bart C. Shuldman</w:t>
            </w:r>
          </w:p>
        </w:tc>
      </w:t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p>
        </w:tc>
        <w:tc>
          <w:tcPr>
            <w:tcW w:w="28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Signature</w:t>
            </w:r>
          </w:p>
        </w:tc>
        <w:tc>
          <w:tcPr>
            <w:tcW w:w="4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820" w:type="dxa"/>
            <w:vAlign w:val="bottom"/>
          </w:tcPr>
          <w:p>
            <w:pPr>
              <w:spacing w:after="0"/>
              <w:rPr>
                <w:sz w:val="20"/>
                <w:szCs w:val="20"/>
                <w:color w:val="auto"/>
              </w:rPr>
            </w:pPr>
          </w:p>
        </w:tc>
      </w:tr>
      <w:tr>
        <w:trPr>
          <w:trHeight w:val="439"/>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Bart C. Shuldman</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Bart C. Shuldman</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(Principal Executive Officer)</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1"/>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w w:val="95"/>
              </w:rPr>
              <w:t>President, Chief Financial Officer, Treasurer and Secretary</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Steven A. DeMartino</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(Principal Financial Officer)</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1"/>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DeFrances</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Vice President and Chief Accounting Officer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William J. DeFrances</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(Principal Accounting Officer)</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1"/>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Haydee Ortiz Olinger</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Chair of the Board</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Haydee Ortiz Olinger</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1"/>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Dillon</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John M. Dillon</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1"/>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Audrey P. Dunning</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Audrey P. Dunning</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1"/>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 Friedberg</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Daniel M. Friedberg</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1"/>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Randall S. Friedman</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Randall S. Friedman</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21"/>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s/ Emanuel P. N. Hilario</w:t>
            </w:r>
          </w:p>
        </w:tc>
        <w:tc>
          <w:tcPr>
            <w:tcW w:w="492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27, 2023</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Emanuel P.N. Hilario</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31"/>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920" w:type="dxa"/>
            <w:vAlign w:val="bottom"/>
            <w:gridSpan w:val="2"/>
          </w:tcPr>
          <w:p>
            <w:pPr>
              <w:ind w:left="1740"/>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0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1860" w:type="dxa"/>
            <w:vAlign w:val="bottom"/>
          </w:tcPr>
          <w:p>
            <w:pPr>
              <w:spacing w:after="0"/>
              <w:rPr>
                <w:sz w:val="20"/>
                <w:szCs w:val="20"/>
                <w:color w:val="auto"/>
              </w:rPr>
            </w:pPr>
          </w:p>
        </w:tc>
      </w:tr>
      <w:tr>
        <w:trPr>
          <w:trHeight w:val="216"/>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 of Independent Registered Public Accounting Firm (PCAOB ID 688)</w:t>
            </w:r>
          </w:p>
        </w:tc>
        <w:tc>
          <w:tcPr>
            <w:tcW w:w="18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F-2</w:t>
            </w:r>
          </w:p>
        </w:tc>
      </w:tr>
      <w:tr>
        <w:trPr>
          <w:trHeight w:val="216"/>
        </w:trPr>
        <w:tc>
          <w:tcPr>
            <w:tcW w:w="9380" w:type="dxa"/>
            <w:vAlign w:val="bottom"/>
          </w:tcPr>
          <w:p>
            <w:pPr>
              <w:ind w:left="180"/>
              <w:spacing w:after="0"/>
              <w:rPr>
                <w:sz w:val="20"/>
                <w:szCs w:val="20"/>
                <w:color w:val="auto"/>
              </w:rPr>
            </w:pPr>
            <w:r>
              <w:rPr>
                <w:rFonts w:ascii="Arial" w:cs="Arial" w:eastAsia="Arial" w:hAnsi="Arial"/>
                <w:sz w:val="18"/>
                <w:szCs w:val="18"/>
                <w:color w:val="auto"/>
              </w:rPr>
              <w:t>Consolidated Balance Sheets as of December 31, 2022 and 2021</w:t>
            </w:r>
          </w:p>
        </w:tc>
        <w:tc>
          <w:tcPr>
            <w:tcW w:w="1860" w:type="dxa"/>
            <w:vAlign w:val="bottom"/>
          </w:tcPr>
          <w:p>
            <w:pPr>
              <w:ind w:left="1220"/>
              <w:spacing w:after="0"/>
              <w:rPr>
                <w:sz w:val="20"/>
                <w:szCs w:val="20"/>
                <w:color w:val="auto"/>
              </w:rPr>
            </w:pPr>
            <w:r>
              <w:rPr>
                <w:rFonts w:ascii="Arial" w:cs="Arial" w:eastAsia="Arial" w:hAnsi="Arial"/>
                <w:sz w:val="18"/>
                <w:szCs w:val="18"/>
                <w:color w:val="auto"/>
              </w:rPr>
              <w:t>F-4</w:t>
            </w:r>
          </w:p>
        </w:tc>
      </w:tr>
      <w:tr>
        <w:trPr>
          <w:trHeight w:val="216"/>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Operations for the years ended December 31, 2022 and 2021</w:t>
            </w:r>
          </w:p>
        </w:tc>
        <w:tc>
          <w:tcPr>
            <w:tcW w:w="18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F-5</w:t>
            </w:r>
          </w:p>
        </w:tc>
      </w:tr>
      <w:tr>
        <w:trPr>
          <w:trHeight w:val="216"/>
        </w:trPr>
        <w:tc>
          <w:tcPr>
            <w:tcW w:w="938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Loss for the years ended December 31, 2022 and 2021</w:t>
            </w:r>
          </w:p>
        </w:tc>
        <w:tc>
          <w:tcPr>
            <w:tcW w:w="1860" w:type="dxa"/>
            <w:vAlign w:val="bottom"/>
          </w:tcPr>
          <w:p>
            <w:pPr>
              <w:ind w:left="1220"/>
              <w:spacing w:after="0"/>
              <w:rPr>
                <w:sz w:val="20"/>
                <w:szCs w:val="20"/>
                <w:color w:val="auto"/>
              </w:rPr>
            </w:pPr>
            <w:r>
              <w:rPr>
                <w:rFonts w:ascii="Arial" w:cs="Arial" w:eastAsia="Arial" w:hAnsi="Arial"/>
                <w:sz w:val="18"/>
                <w:szCs w:val="18"/>
                <w:color w:val="auto"/>
              </w:rPr>
              <w:t>F-6</w:t>
            </w:r>
          </w:p>
        </w:tc>
      </w:tr>
      <w:tr>
        <w:trPr>
          <w:trHeight w:val="216"/>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Statements of Changes in Shareholders’ Equity for the years ended December 31, 2022 and 2021</w:t>
            </w:r>
          </w:p>
        </w:tc>
        <w:tc>
          <w:tcPr>
            <w:tcW w:w="18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F-7</w:t>
            </w:r>
          </w:p>
        </w:tc>
      </w:tr>
      <w:tr>
        <w:trPr>
          <w:trHeight w:val="216"/>
        </w:trPr>
        <w:tc>
          <w:tcPr>
            <w:tcW w:w="938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years ended December 31, 2022 and 2021</w:t>
            </w:r>
          </w:p>
        </w:tc>
        <w:tc>
          <w:tcPr>
            <w:tcW w:w="1860" w:type="dxa"/>
            <w:vAlign w:val="bottom"/>
          </w:tcPr>
          <w:p>
            <w:pPr>
              <w:ind w:left="1220"/>
              <w:spacing w:after="0"/>
              <w:rPr>
                <w:sz w:val="20"/>
                <w:szCs w:val="20"/>
                <w:color w:val="auto"/>
              </w:rPr>
            </w:pPr>
            <w:r>
              <w:rPr>
                <w:rFonts w:ascii="Arial" w:cs="Arial" w:eastAsia="Arial" w:hAnsi="Arial"/>
                <w:sz w:val="18"/>
                <w:szCs w:val="18"/>
                <w:color w:val="auto"/>
              </w:rPr>
              <w:t>F-8</w:t>
            </w:r>
          </w:p>
        </w:tc>
      </w:tr>
      <w:tr>
        <w:trPr>
          <w:trHeight w:val="216"/>
        </w:trPr>
        <w:tc>
          <w:tcPr>
            <w:tcW w:w="9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8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F-9</w:t>
            </w:r>
          </w:p>
        </w:tc>
      </w:tr>
      <w:tr>
        <w:trPr>
          <w:trHeight w:val="825"/>
        </w:trPr>
        <w:tc>
          <w:tcPr>
            <w:tcW w:w="9380" w:type="dxa"/>
            <w:vAlign w:val="bottom"/>
          </w:tcPr>
          <w:p>
            <w:pPr>
              <w:ind w:left="5520"/>
              <w:spacing w:after="0"/>
              <w:rPr>
                <w:sz w:val="20"/>
                <w:szCs w:val="20"/>
                <w:color w:val="auto"/>
              </w:rPr>
            </w:pPr>
            <w:r>
              <w:rPr>
                <w:rFonts w:ascii="Arial" w:cs="Arial" w:eastAsia="Arial" w:hAnsi="Arial"/>
                <w:sz w:val="14"/>
                <w:szCs w:val="14"/>
                <w:color w:val="auto"/>
              </w:rPr>
              <w:t>F-1</w:t>
            </w:r>
          </w:p>
        </w:tc>
        <w:tc>
          <w:tcPr>
            <w:tcW w:w="1860" w:type="dxa"/>
            <w:vAlign w:val="bottom"/>
          </w:tcPr>
          <w:p>
            <w:pPr>
              <w:spacing w:after="0"/>
              <w:rPr>
                <w:sz w:val="24"/>
                <w:szCs w:val="24"/>
                <w:color w:val="auto"/>
              </w:rPr>
            </w:pPr>
          </w:p>
        </w:tc>
      </w:tr>
      <w:tr>
        <w:trPr>
          <w:trHeight w:val="46"/>
        </w:trPr>
        <w:tc>
          <w:tcPr>
            <w:tcW w:w="93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 Technologies Incorporated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TransAct Technologies Incorporated (the “Company”) as of December 31, 2022 and 2021, and the related consolidated statements of operations, comprehensive loss, changes in shareholders’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Change in Accounting Principle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16 to the consolidated financial statements, effective April 1, 2022, the Company changed its method of inventory valuation from standard cost (which approximated actual cost on a “first-in, first-out” basis) to the average cost method of inventory accounting. Comparative financial statements of prior periods have been adjusted to apply the new method retrospectively.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Inventories - Change in Accounting Principle</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described in Note 16 to the consolidated financial statements, effective April 1, 2022, the Company changed its method of inventory valuation from standard costing (which approximated the “first-in, first-out” costing methodology) to the average costing methodology, and comparative financial statements of prior periods were adjusted to apply the new method retrospectively. Management determined that this change in accounting principle was preferable because it reflects a better estimate of inventory cost. At December 31, 2022, the Company’s inventory balance was approximately $12.0 million. As discussed in Note 2 to the consolidated financial statements, inventories are stated at the lower of average cost or net realizable value.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considerations for our determination that the Company’s change in accounting principle related to inventory valuation was a critical audit matter included the following: (1) management identifies inventories as a critical accounting estimate, and this change in accounting principle was considered to be a significant transaction during the year; (2) there were significant judgments made by management with respect to the change, including the explanation of why the change in accounting principle was preferable and the estimation of the retrospective adjustment to apply the new method of inventory valuation; and (3) management’s calculation to estimate the adjustment was intricate, due to the complexities of the manual calculations involved and the magnitude of transactions flowing through the analysis. This complexity led to a high degree of auditor effort in performing our audit procedures, which were designed to evaluate the reasonableness of management’s calculation and application of the retrospective inventory valuation adjustment.</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Addressing the critical audit matter involved performing procedures and evaluating audit evidence in connection with forming our overall opinion on the consolidated financial statements. These procedures included, among others, (i) obtaining an understanding of why the Company changed its accounting principle to the average costing methodology; (ii) evaluating management’s methodology and process for estimating the retrospective average costing adjustment; (iii) testing management’s calculation of the retrospective adjustment, which included evaluating the completeness and accuracy of management’s input data used in the manual calculation, principally inputs such as historical purchases and sales transactions; (iv) and evaluating the reasonableness of significant judgments used by management, principally management’s determination that one year of historical costing data was sufficient to adjust the opening balance for the retrospective adjustment.</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88"/>
              </w:rPr>
              <w:t>(As adjusted, in thousands, except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680" w:type="dxa"/>
            <w:vAlign w:val="bottom"/>
          </w:tcPr>
          <w:p>
            <w:pPr>
              <w:spacing w:after="0"/>
              <w:rPr>
                <w:sz w:val="24"/>
                <w:szCs w:val="24"/>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w w:val="91"/>
              </w:rPr>
              <w:t>December 31,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7,593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retention credit receivable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7,711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2,553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5,143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51,832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50,934</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revolving loan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3,894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 liability, net of current portion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2,154</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Notes 9 and 14)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Preferred stock, $0.01 value, 4,800,000 authorized, none issued and outstanding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Common stock, $0.01 par value, 20,000,000 authorized at December 31, 2022 and 2021; 13,956,725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w w:val="98"/>
              </w:rPr>
              <w:t>13,917,731 shares issued; 9,911,883 and 9,872,889 shares outstanding, at December 31, 2022 and 2021,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55,246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15,566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 net of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Treasury stock, 4,044,842 shares, at cost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(32,110)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(32,110)</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51,832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50,934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adjusted,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360"/>
              <w:spacing w:after="0"/>
              <w:rPr>
                <w:sz w:val="20"/>
                <w:szCs w:val="20"/>
                <w:color w:val="auto"/>
              </w:rPr>
            </w:pPr>
            <w:r>
              <w:rPr>
                <w:rFonts w:ascii="Arial" w:cs="Arial" w:eastAsia="Arial" w:hAnsi="Arial"/>
                <w:sz w:val="18"/>
                <w:szCs w:val="18"/>
                <w:color w:val="auto"/>
                <w:w w:val="90"/>
              </w:rPr>
              <w:t>Years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33,727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24,004</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24,412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15,382</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design and product development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7,658</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32,089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24,759</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(7,677)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(9,377)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employee retention credit</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Gain on forgiveness of long-term debt</w:t>
            </w:r>
          </w:p>
        </w:tc>
        <w:tc>
          <w:tcPr>
            <w:tcW w:w="16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2,173</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2,042</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(0.60)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9,298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adjusted,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8"/>
                <w:szCs w:val="18"/>
                <w:color w:val="auto"/>
                <w:w w:val="90"/>
              </w:rPr>
              <w:t>Years Ended 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(6,158)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3340"/>
              <w:spacing w:after="0"/>
              <w:rPr>
                <w:sz w:val="20"/>
                <w:szCs w:val="20"/>
                <w:color w:val="auto"/>
              </w:rPr>
            </w:pPr>
            <w:r>
              <w:rPr>
                <w:rFonts w:ascii="Arial" w:cs="Arial" w:eastAsia="Arial" w:hAnsi="Arial"/>
                <w:sz w:val="18"/>
                <w:szCs w:val="18"/>
                <w:color w:val="auto"/>
              </w:rPr>
              <w:t>See accompanying notes to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jc w:val="center"/>
        <w:spacing w:after="0" w:line="266"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(As adjusted,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640" w:type="dxa"/>
            <w:vAlign w:val="bottom"/>
            <w:gridSpan w:val="6"/>
            <w:vMerge w:val="restart"/>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26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Paid-in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w w:val="97"/>
              </w:rPr>
              <w:t>Retained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w w:val="98"/>
              </w:rPr>
              <w:t>Treasury</w:t>
            </w:r>
          </w:p>
        </w:tc>
        <w:tc>
          <w:tcPr>
            <w:tcW w:w="1400" w:type="dxa"/>
            <w:vAlign w:val="bottom"/>
            <w:gridSpan w:val="4"/>
          </w:tcPr>
          <w:p>
            <w:pPr>
              <w:jc w:val="center"/>
              <w:ind w:right="140"/>
              <w:spacing w:after="0" w:line="203" w:lineRule="exact"/>
              <w:rPr>
                <w:sz w:val="20"/>
                <w:szCs w:val="20"/>
                <w:color w:val="auto"/>
              </w:rPr>
            </w:pPr>
            <w:r>
              <w:rPr>
                <w:rFonts w:ascii="Arial" w:cs="Arial" w:eastAsia="Arial" w:hAnsi="Arial"/>
                <w:sz w:val="18"/>
                <w:szCs w:val="18"/>
                <w:color w:val="auto"/>
                <w:w w:val="90"/>
              </w:rPr>
              <w:t>Comprehensive</w:t>
            </w:r>
          </w:p>
        </w:tc>
        <w:tc>
          <w:tcPr>
            <w:tcW w:w="200" w:type="dxa"/>
            <w:vAlign w:val="bottom"/>
          </w:tcPr>
          <w:p>
            <w:pPr>
              <w:spacing w:after="0"/>
              <w:rPr>
                <w:sz w:val="18"/>
                <w:szCs w:val="18"/>
                <w:color w:val="auto"/>
              </w:rPr>
            </w:pPr>
          </w:p>
        </w:tc>
        <w:tc>
          <w:tcPr>
            <w:tcW w:w="102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Earnings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19"/>
                <w:szCs w:val="19"/>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(Loss) Income</w:t>
            </w:r>
          </w:p>
        </w:tc>
        <w:tc>
          <w:tcPr>
            <w:tcW w:w="2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January 1,</w:t>
            </w: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8,931,385</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19,607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(32,110)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30,125</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stock from exercise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97,000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on restricted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stock, net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issuance cost</w:t>
            </w:r>
          </w:p>
        </w:tc>
        <w:tc>
          <w:tcPr>
            <w:tcW w:w="1140" w:type="dxa"/>
            <w:vAlign w:val="bottom"/>
          </w:tcPr>
          <w:p>
            <w:pPr>
              <w:jc w:val="right"/>
              <w:spacing w:after="0"/>
              <w:rPr>
                <w:sz w:val="20"/>
                <w:szCs w:val="20"/>
                <w:color w:val="auto"/>
              </w:rPr>
            </w:pPr>
            <w:r>
              <w:rPr>
                <w:rFonts w:ascii="Arial" w:cs="Arial" w:eastAsia="Arial" w:hAnsi="Arial"/>
                <w:sz w:val="18"/>
                <w:szCs w:val="18"/>
                <w:color w:val="auto"/>
              </w:rPr>
              <w:t>842,375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11,201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Relinquishment of</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awards and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stock units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 pay withholding</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Share-based</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expense</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Foreign currency</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net of</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19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(4,041)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December 31,</w:t>
            </w: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55,246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(32,110)</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38,984</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stock from exercise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of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17,500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on restricted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Relinquishment of</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stock awards and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deferred stock units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to pay withholding</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taxes</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(26,437)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Share-based</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Foreign currency</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translation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40"/>
              <w:spacing w:after="0"/>
              <w:rPr>
                <w:sz w:val="20"/>
                <w:szCs w:val="20"/>
                <w:color w:val="auto"/>
              </w:rPr>
            </w:pPr>
            <w:r>
              <w:rPr>
                <w:rFonts w:ascii="Arial" w:cs="Arial" w:eastAsia="Arial" w:hAnsi="Arial"/>
                <w:sz w:val="18"/>
                <w:szCs w:val="18"/>
                <w:color w:val="auto"/>
              </w:rPr>
              <w:t>adjustment, net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340"/>
              <w:spacing w:after="0"/>
              <w:rPr>
                <w:sz w:val="20"/>
                <w:szCs w:val="20"/>
                <w:color w:val="auto"/>
              </w:rPr>
            </w:pPr>
            <w:r>
              <w:rPr>
                <w:rFonts w:ascii="Arial" w:cs="Arial" w:eastAsia="Arial" w:hAnsi="Arial"/>
                <w:sz w:val="18"/>
                <w:szCs w:val="18"/>
                <w:color w:val="auto"/>
              </w:rPr>
              <w:t>tax</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02"/>
        </w:trPr>
        <w:tc>
          <w:tcPr>
            <w:tcW w:w="19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December 31,</w:t>
            </w: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2022</w:t>
            </w:r>
          </w:p>
        </w:tc>
        <w:tc>
          <w:tcPr>
            <w:tcW w:w="1140" w:type="dxa"/>
            <w:vAlign w:val="bottom"/>
          </w:tcPr>
          <w:p>
            <w:pPr>
              <w:jc w:val="right"/>
              <w:spacing w:after="0"/>
              <w:rPr>
                <w:sz w:val="20"/>
                <w:szCs w:val="20"/>
                <w:color w:val="auto"/>
              </w:rPr>
            </w:pPr>
            <w:r>
              <w:rPr>
                <w:rFonts w:ascii="Arial" w:cs="Arial" w:eastAsia="Arial" w:hAnsi="Arial"/>
                <w:sz w:val="18"/>
                <w:szCs w:val="18"/>
                <w:color w:val="auto"/>
              </w:rPr>
              <w:t>9,911,883</w:t>
            </w:r>
          </w:p>
        </w:tc>
        <w:tc>
          <w:tcPr>
            <w:tcW w:w="1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56,282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9,630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(32,110)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33,862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adjusted,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7"/>
          </w:tcPr>
          <w:p>
            <w:pPr>
              <w:jc w:val="right"/>
              <w:ind w:right="360"/>
              <w:spacing w:after="0"/>
              <w:rPr>
                <w:sz w:val="20"/>
                <w:szCs w:val="20"/>
                <w:color w:val="auto"/>
              </w:rPr>
            </w:pPr>
            <w:r>
              <w:rPr>
                <w:rFonts w:ascii="Arial" w:cs="Arial" w:eastAsia="Arial" w:hAnsi="Arial"/>
                <w:sz w:val="18"/>
                <w:szCs w:val="18"/>
                <w:color w:val="auto"/>
                <w:w w:val="90"/>
              </w:rPr>
              <w:t>Years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Loss on the disposal of fixed assets</w:t>
            </w: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 losses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Gain on forgiveness of long-term debt</w:t>
            </w:r>
          </w:p>
        </w:tc>
        <w:tc>
          <w:tcPr>
            <w:tcW w:w="16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(2,173)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(6,421)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(4,217)</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Employee retention credit receivable</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(4,378)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3,440</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income taxes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Other current and long-term assets</w:t>
            </w:r>
          </w:p>
        </w:tc>
        <w:tc>
          <w:tcPr>
            <w:tcW w:w="1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w:t>
            </w: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Accrued liabilities and other liabilities</w:t>
            </w:r>
          </w:p>
        </w:tc>
        <w:tc>
          <w:tcPr>
            <w:tcW w:w="16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(12,220)</w:t>
            </w:r>
          </w:p>
        </w:tc>
        <w:tc>
          <w:tcPr>
            <w:tcW w:w="1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fixed assets</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Collection of note receivable</w:t>
            </w:r>
          </w:p>
        </w:tc>
        <w:tc>
          <w:tcPr>
            <w:tcW w:w="160" w:type="dxa"/>
            <w:vAlign w:val="bottom"/>
          </w:tcPr>
          <w:p>
            <w:pPr>
              <w:spacing w:after="0"/>
              <w:rPr>
                <w:sz w:val="19"/>
                <w:szCs w:val="19"/>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1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bank borrowings</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option exercises</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12,214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common stock issuance costs</w:t>
            </w: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Withholding taxes paid on stock issuance</w:t>
            </w:r>
          </w:p>
        </w:tc>
        <w:tc>
          <w:tcPr>
            <w:tcW w:w="1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bank financing costs</w:t>
            </w:r>
          </w:p>
        </w:tc>
        <w:tc>
          <w:tcPr>
            <w:tcW w:w="16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23"/>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20" w:type="dxa"/>
            <w:vAlign w:val="bottom"/>
            <w:tcBorders>
              <w:top w:val="single" w:sz="8" w:color="CCEEFF"/>
              <w:bottom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19"/>
                <w:szCs w:val="19"/>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gridSpan w:val="3"/>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160" w:type="dxa"/>
            <w:vAlign w:val="bottom"/>
          </w:tcPr>
          <w:p>
            <w:pPr>
              <w:spacing w:after="0"/>
              <w:rPr>
                <w:sz w:val="18"/>
                <w:szCs w:val="18"/>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color w:val="auto"/>
              </w:rPr>
              <w:t>(11,511)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9,098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19,457</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19,457</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capital expenditure items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TransAct Technologies Incorporated (together with its subsidiaries, “TransAct,” the “Company,” “we,” “us,” or “our”), which has its headquarters in Hamden, Connecticut and its primary operating facility in Ithaca, New York, operates in one operating segment: software-driven technology and printing solutions for high growth markets including food service technology, casino and gaming and “point of sale” (“POS”) automation markets. Our solutions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are designed from the ground up based on market and customer requirements and are sold under the BOHA!</w:t>
      </w:r>
      <w:r>
        <w:rPr>
          <w:rFonts w:ascii="Arial" w:cs="Arial" w:eastAsia="Arial" w:hAnsi="Arial"/>
          <w:sz w:val="28"/>
          <w:szCs w:val="28"/>
          <w:color w:val="auto"/>
          <w:vertAlign w:val="superscript"/>
        </w:rPr>
        <w:t>TM</w:t>
      </w:r>
      <w:r>
        <w:rPr>
          <w:rFonts w:ascii="Arial" w:cs="Arial" w:eastAsia="Arial" w:hAnsi="Arial"/>
          <w:sz w:val="17"/>
          <w:szCs w:val="17"/>
          <w:color w:val="auto"/>
        </w:rPr>
        <w:t>, AccuDate™, Epic, Ithaca®, and EPICENTRAL product brands. We sell our products to original equipment manufacturers, value-added resellers, select distributors, and directly to end-users. Our product distribution spans across the Americas, Europe, the Middle East, Africa, Asia, Australia, New Zealand, the Caribbean Islands and the South Pacific. TransAct also provides world-class service, spare parts, accessories and printing supplies to its growing worldwide installed base of products. We also generate revenue from the after-market side of the business, providing printer and terminal service, consumables and spare parts in addition to revenue from our two software solutions; (i) our line of BOHA! software applications used to automate the back-of-house operations of restaurants, convenience stores and food service operators and (ii) the EPICENTRAL Print System (“EPICENTRAL”), that enables casino operators to create promotional coupons and marketing messages and print them in real time at the slot machine.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 and Global Supply Chain Disruptions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early 2020, the COVID-19 pandemic has continued to cause uncertainty and disruption in the global economy and financial markets. We have also been impacted by global supply chain issues, increased shipping costs and inflationary pressures, which have increased our costs and, in some instances, slowed our ability to deliver products to our customers. During 2021, our inventory levels decreased significantly as a result of these supply chain disruptions, and we experienced significantly lower sales levels. However, during 2022 we were able to increase our inventory levels and minimize the impact to our customers by successfully modifying our products that were affected by supply chain disruptions, as well as sourcing component parts from alternate suppliers. Although we were able to increase inventory levels during 2022 and expect to continue to do so in 2023, there can be no assurance that new or continuing supply chain disruptions will not affect our products or that we will be able to make timely modifications to address any future supply chain issues that arise. Further, while we have offset most of our cost increases by increasing prices of our products, there can be no guarantee that we will be able to offset any future cost increases should they arise. After a slowdown in the first quarter of 2022 resulting from the Omicron and other variants of COVID-19, we continued to experience demand recovery during the remainder of 2022. Based on our strong backlog position and continued market expansion, we expect this recovery to continue into 2023, though the exact timing and pace of recovery may be impacted by global economic conditions.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Balance Sheet, Cash Flow and Liquidity. </w:t>
      </w:r>
      <w:r>
        <w:rPr>
          <w:rFonts w:ascii="Arial" w:cs="Arial" w:eastAsia="Arial" w:hAnsi="Arial"/>
          <w:sz w:val="18"/>
          <w:szCs w:val="18"/>
          <w:color w:val="auto"/>
        </w:rPr>
        <w:t>We have taken the following actions to increase liquidity and strengthen our financial position in an effort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the negative impacts from the COVID-19 pandemic, supply chain disruptions and inflationary pressures:</w:t>
      </w:r>
    </w:p>
    <w:p>
      <w:pPr>
        <w:spacing w:after="0" w:line="197" w:lineRule="exact"/>
        <w:rPr>
          <w:sz w:val="20"/>
          <w:szCs w:val="20"/>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 Offering – On August 16, 2021, the Company raised net proceeds of $11.2 million (including the exercise of the underwriters overallotment option on August 20, 2021), after deducting underwriting discounts, commissions and offering expenses, through an underwritten public offering and sold an aggregate of 842,375 shares of common stock.</w:t>
      </w:r>
    </w:p>
    <w:p>
      <w:pPr>
        <w:spacing w:after="0" w:line="21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PPP Loan – On May 1, 2020, the Company was granted a $2.2 million loan (the “PPP Loan”) under the Paycheck Protection Program (the “PPP”) administered by the Small Business Administration (“SBA”) established under Division A, Title I of the Coronavirus Aid, Relief, and Economic Security (“CARES”) Act, which enabled us to return employees we furloughed earlier in 2020 to full time employment and to restore employees to full pay following certain pay cuts. On July 8, 2021, we received notice that the PPP Loan had been forgiven as of July 1, 2021. See Note 8 for further details regarding the PPP Loan.</w:t>
      </w:r>
    </w:p>
    <w:p>
      <w:pPr>
        <w:spacing w:after="0" w:line="214"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 Retention Credit – Under the provisions of the CARES Act, the Company is eligible for a refundable employee retention credit subject to certain criteria. In connection with the CARES Act, the Company recognized the employee retention credit during the fourth quarter of 2021 and recorded $1.5 million as “Gain from employee retention credit” in the Consolidated Statement of Operations for the year ended December 31, 2021 and the related receivable as “Employee retention credit receivable” in the Consolidated Balance Sheet as of December 31, 2021 and 2022. We received these funds in the first quarter of 2023.</w:t>
      </w:r>
    </w:p>
    <w:p>
      <w:pPr>
        <w:spacing w:after="0" w:line="214"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March 13, 2020, we entered into a Credit Facility with Siena Lending Group LLC that provides a revolving credit line of up to $10.0 million, subject to a borrowing base and on July 19, 2022, we entered into an amendment to extend the maturity of the facility to March 13, 2025. See Note 8 for further details regarding this facility.</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Capital Expenditures – We limited capital expenditures during 2020 and 2021 and gradually increased these expenditures during 2022 as sales improved.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jc w:val="both"/>
        <w:spacing w:after="0" w:line="275" w:lineRule="auto"/>
        <w:rPr>
          <w:sz w:val="20"/>
          <w:szCs w:val="20"/>
          <w:color w:val="auto"/>
        </w:rPr>
      </w:pPr>
      <w:r>
        <w:rPr>
          <w:rFonts w:ascii="Arial" w:cs="Arial" w:eastAsia="Arial" w:hAnsi="Arial"/>
          <w:sz w:val="17"/>
          <w:szCs w:val="17"/>
          <w:color w:val="auto"/>
        </w:rPr>
        <w:t>After reviewing whether conditions and/or events raise substantial doubt about our ability to meet future financial obligations over the 12 months following the date on which the Consolidated Financial Statements included in this “Form 10-K” were issued, including consideration of the actions taken to manage expenses and liquidity, we believe that our net cash to be provided by operations combined with our cash and cash equivalents and borrowing availability under our revolving credit facility will provide sufficient liquidity to fund our current obligations, capital spending, and working capital requirements and to comply with the financial covenants of our credit facility over at least 12 months following such issuance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Assumptions and Estimates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Management’s belief that the Company will be able to fund its planned operations over the 12 months following the date on which the Consolidated Financial Statements were issued is based on assumptions which involve significant judgment and estimates of future revenues, inflation, rising interest rates, capital expenditures and other operating costs. Our current assumptions are that casinos and restaurants will remain open and consumer traffic will continue to increase during the balance of 2023. Though demand for our products at casinos has increased substantially in 2022, and we expect this trend to continue, we cannot predict the ultimate impact of the current economic environment, including inflation, rising interest rates and supply chain disruptions on our customers, which may impact sales. We believe that we are positioned to withstand the impact of any potential economic downturn or slower than anticipated economic recovery. However, despite our significant backlog of orders as of December 31, 2022 and increasing market share during 2022, should such conditions arise, we believe we will be able to take additional financial and operational actions to cut costs and/or increase liquidity.</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presentation of the accompanying audited Consolidated Financial Statements requires us to make estimates and judgments that affect the reported amounts of assets, liabilities, revenue and expenses, and the disclosure of contingent assets and liabilities. Our estimates include those related to revenue recognition, accounts receivable, inventory obsolescence, goodwill and intangible assets, the valuation of deferred tax assets and liabilities, depreciable lives of equipment, share-based compensation and contingent liabilities. We base our estimates on historical experience and on various other assumptions that we believe to be reasonable under the circumstances. Actual results could differ from those estimates used.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smaller reporting company, as defined in Item 10(f)(1) of Regulation S-K, we may choose to prepare our disclosures relying on certain scaled disclosure requirements for smaller reporting companies in Regulation S-K and in Article 8 of Regulation S-X.</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scaled disclosure requirements for smaller reporting companies permit us (i) to include less extensive narrative disclosure than required of other reporting companies, particularly in the description of executive compensation in our proxy statement and (ii) to provide audited financial statements for two fiscal years in our Form 10-K, in contrast to other reporting companies, which must provide audited financial statements for three years.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lose our status as a smaller reporting company on the last day of the fiscal year in which we have (i) public float of at least $250 million as of the last day of the second fiscal quarter and (ii) if we have a public float that does not exceed $700 million as of the last day of the second fiscal quarter and at least $100 million in annual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Principles of consolidation: </w:t>
      </w:r>
      <w:r>
        <w:rPr>
          <w:rFonts w:ascii="Arial" w:cs="Arial" w:eastAsia="Arial" w:hAnsi="Arial"/>
          <w:sz w:val="16"/>
          <w:szCs w:val="16"/>
          <w:color w:val="auto"/>
        </w:rPr>
        <w:t>The accompanying Consolidated Financial Statements include the audited Consolidated Financial Statements of TransAct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wholly-owned subsidiaries, which require consolidation, after the elimination of intercompany accounts, transactions and unrealized profit.</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Consolidated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apply the provisions of the Financial Accounting Standards Board (“FASB”) Accounting Standards Codification (“ASC”) 280,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with a maturity date of three months or less at date of purchase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Allowance for doubtful accounts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establish an allowance for doubtful accounts to ensure trade receivables are valued appropriately. We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further adjust estimates of the recoverability of receivables.</w:t>
      </w:r>
    </w:p>
    <w:p>
      <w:pPr>
        <w:sectPr>
          <w:pgSz w:w="11900" w:h="16838" w:orient="portrait"/>
          <w:cols w:equalWidth="0" w:num="1">
            <w:col w:w="11240"/>
          </w:cols>
          <w:pgMar w:left="320" w:top="125" w:right="3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8"/>
                <w:szCs w:val="18"/>
                <w:color w:val="auto"/>
                <w:w w:val="90"/>
              </w:rPr>
              <w:t>Years Ended 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average cost or net realizable value. We review net realizable value based on estimated selling prices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April 1, 2022, TransAct changed its method of inventory valuation from standard costing which approximated the “first-in, first-out” (“FIFO”) costing methodology to the average costing methodology. Comparative financial statements of prior periods have been adjusted to apply the new method retrospectively. See Note 16 for a discussion of the change in accounting principle during the second quarter of 2022.</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Fixed assets: </w:t>
      </w:r>
      <w:r>
        <w:rPr>
          <w:rFonts w:ascii="Arial" w:cs="Arial" w:eastAsia="Arial" w:hAnsi="Arial"/>
          <w:sz w:val="16"/>
          <w:szCs w:val="16"/>
          <w:color w:val="auto"/>
        </w:rPr>
        <w:t>Fixed assets are stated at cost. Depreciation is recorded using the straight-line method over the estimated useful lives. The estimated useful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of tooling is five years; machinery and equipment is ten years; furniture and office equipment is five years to ten years; and computer software and equipment is three years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$1.1 million and $0.7 million in 2022 and 2021, respectively.</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account for leases in accordance with ASC 842, “Leases” (“ASC 842”), which requires lessees to apply a dual approach, classifying leases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A lessee is also required to record a right-of-use asset and a lease liability for all leases with a term of greater than 12 months regardless of their classification. Leases with a term of 12 months or less are accounted for based on existing guidance for operating leases. If risks and rewards are conveyed without the transfer of control, the lease is treated as financing. If the lessor does not convey risks and rewards or control, the lease is treated as operating.</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elected certain practical expedients available under ASC 842 upon adoption. We have applied the practical expedient for short-term leases. We have lease agreements that include lease and non-lease components, and we have not elected the practical expedients to combine these components for any of our leases.</w:t>
      </w:r>
    </w:p>
    <w:p>
      <w:pPr>
        <w:spacing w:after="0" w:line="21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color w:val="auto"/>
        </w:rPr>
        <w:t>We enter into lease agreements for the use of real estate space and certain equipment under operating leases and we have no financing leases. We determine if an arrangement contains a lease at inception. Our leases are included in “Right-of-use asset” and “Lease liability” in our Consolidated Balance Sheets.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26, 2022, we entered into an amendment to modify the expiration date of our lease on our Las Vegas, Nevada facility. The lease was set to expire on November 1, 2022 and the amendment extended the lease term to November 30, 2025. The lease amendment resulted in an increase to the right-of-use-asset and lease liability of $0.8 million. The lease amendment modified the base rent. On April 30, 2021, we entered into an amendment to modify the expiration date of our lease on our Hamden, CT facility. The lease, which was last amended on January 3, 2017, was scheduled to expire on April 30, 2027. The lease amendment modified the expiration date to October 31, 2025. The modification resulted in reducing the right-of-use-asset and lease liability by $0.3 million.</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Lease expense is recognized on a straight-line basis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 excludes lease incentives. Our leases have remaining lease terms of one year to four years, some of which include options to extend. The exercise of lease renewal options is at our sole discretion and our lease right of use assets and liabilities reflect only the options we are reasonably certain that we will exercise. Lease expense is recognized on a straight-line basis over the lease term.</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6"/>
          <w:szCs w:val="16"/>
          <w:b w:val="1"/>
          <w:bCs w:val="1"/>
          <w:i w:val="1"/>
          <w:iCs w:val="1"/>
          <w:color w:val="auto"/>
        </w:rPr>
        <w:t>Goodwill and intangible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We perform a fair value-based impairment test to the carrying value of goodwill and indefinite-lived intangible assets on an annual basis and, if certain events or circumstances indicate that an impairment loss may have been incurred, on an interim basis. The Company utilizes the option to first assess qualitative factors to determine whether it is necessary to perform the Step 1 quantitative goodwill impairment test in accordance with the applicable accounting standards. Under the qualitative assessment, management considers relevant events and circumstances including but not limited to macroeconomic conditions, industry and market considerations, Company performance and events directly affecting the Company. If the Company determines that the Step 1 quantitative impairment test is required, management estimates the fair value of the reporting unit primarily using the income approach, which reflects management’s cash flow projections, and also evaluates the fair value using the market approach. Factors considered that may trigger an interim period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2022, we have determined that no goodwill or intangible asset impairment has occurred and the fair value of goodwill was substantially higher than our carrying value based on our assessment as of December 31, 2022 when our annual review for impairment was performed.</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We account for revenue in accordance with ASC Topic 606: Revenue from Contracts with Customers. In accordance with ASC 606,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 create promotional coupons and marketing messages and to print them in real time at the slot machine. EPICENTRAL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Our cloud-based BOHA! software allows customers to use hosted software over the contract period on a subscription basis without taking possession of the software and the subscription price is recognized ratably over the contract period. For extended warranties, the transaction price is recognized ratably over the warranty period, using output methods, as control of the services is transferred to the customer.</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contracts with terms of less than 12 months, the Company expenses sales commissions as they are incurred, since the expected amortization period of the cost to obtain a contract is less than 12 months.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table disaggregates our revenue by market type, as we believe it best depicts how the nature, amount, timing and uncertainty of our revenue and cash flows are affected by economic factors. Sales and usage-based taxes are excluded from 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 2022</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International</w:t>
            </w:r>
          </w:p>
        </w:tc>
        <w:tc>
          <w:tcPr>
            <w:tcW w:w="360" w:type="dxa"/>
            <w:vAlign w:val="bottom"/>
          </w:tcPr>
          <w:p>
            <w:pPr>
              <w:spacing w:after="0"/>
              <w:rPr>
                <w:sz w:val="19"/>
                <w:szCs w:val="19"/>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Food service technology</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POS automation</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10,659</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30,029</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TransAct Services Group</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998</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5,087</w:t>
            </w:r>
          </w:p>
        </w:tc>
      </w:tr>
      <w:tr>
        <w:trPr>
          <w:trHeight w:val="257"/>
        </w:trPr>
        <w:tc>
          <w:tcPr>
            <w:tcW w:w="7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9"/>
        </w:trPr>
        <w:tc>
          <w:tcPr>
            <w:tcW w:w="7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 2021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8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International</w:t>
            </w:r>
          </w:p>
        </w:tc>
        <w:tc>
          <w:tcPr>
            <w:tcW w:w="360" w:type="dxa"/>
            <w:vAlign w:val="bottom"/>
          </w:tcPr>
          <w:p>
            <w:pPr>
              <w:spacing w:after="0"/>
              <w:rPr>
                <w:sz w:val="19"/>
                <w:szCs w:val="19"/>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Food service technology</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POS automation</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4,825</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15,302</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Printrex</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 Services Group</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6,003</w:t>
            </w:r>
          </w:p>
        </w:tc>
      </w:tr>
      <w:tr>
        <w:trPr>
          <w:trHeight w:val="27"/>
        </w:trPr>
        <w:tc>
          <w:tcPr>
            <w:tcW w:w="7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Total net 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32,400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6,986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39,386</w:t>
            </w:r>
          </w:p>
        </w:tc>
      </w:tr>
      <w:tr>
        <w:trPr>
          <w:trHeight w:val="21"/>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assets consist of unbilled receivables. Pursuant to the over-time revenue recognition model, revenue may be recognized prior to the customer being invoiced. An unbilled receivable is recorded to reflect revenue that is recognized when such revenue exceeds the amount invoiced to the customer. Unbilled receivables are separated into current and non-current assets and included within “Accounts Receivable, net” and “Other Assets” on the Consolidated Balance Sheets. We first recorded contract assets during 2020 upon the start of a long-term BOHA! contract.</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Contract liabilities consist of customer prepayments and deferred revenue. Customer prepayments are reported as “Accrued Liabilities” in current liabilities in the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prepaid software subscriptions for our BOHA! software applications, and is recognized as revenue as (or when) we perform under the contract. During the year ended December 31, 2022, we recognized revenue of $1.1 million related to our contract liabilities as of December 31,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Net contract (liabilities) assets consist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Unbilled receivables, 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Unbilled receivables, non-current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Customer pre-payments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contract (liabilities)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December 31, 2022, the aggregate amount of the transaction price allocated to remaining performance obligations was $29.0 million. The Company expects to recognize revenue on $28.7 million of its remaining performance obligations within the next 12 months following December 31, 2022, $0.2 million within the next 24 months following December 31, 2022 and the balance of these remaining performance obligations within the next 36 months following December 31, 2022.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banks in excess of insured limits and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net were as follows:</w:t>
      </w:r>
    </w:p>
    <w:p>
      <w:pPr>
        <w:spacing w:after="0" w:line="252"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2021</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Chain Link Services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International Gaming Technology (“IGT”)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NCR Corporation</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9320" w:type="dxa"/>
            <w:vAlign w:val="bottom"/>
            <w:gridSpan w:val="2"/>
          </w:tcPr>
          <w:p>
            <w:pPr>
              <w:spacing w:after="0"/>
              <w:rPr>
                <w:sz w:val="20"/>
                <w:szCs w:val="20"/>
                <w:color w:val="auto"/>
              </w:rPr>
            </w:pPr>
            <w:r>
              <w:rPr>
                <w:rFonts w:ascii="Arial" w:cs="Arial" w:eastAsia="Arial" w:hAnsi="Arial"/>
                <w:sz w:val="18"/>
                <w:szCs w:val="18"/>
                <w:color w:val="auto"/>
              </w:rPr>
              <w:t>The Bright Group</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45"/>
        </w:trPr>
        <w:tc>
          <w:tcPr>
            <w:tcW w:w="9320" w:type="dxa"/>
            <w:vAlign w:val="bottom"/>
            <w:gridSpan w:val="2"/>
          </w:tcPr>
          <w:p>
            <w:pPr>
              <w:spacing w:after="0"/>
              <w:rPr>
                <w:sz w:val="20"/>
                <w:szCs w:val="20"/>
                <w:color w:val="auto"/>
              </w:rPr>
            </w:pPr>
            <w:r>
              <w:rPr>
                <w:rFonts w:ascii="Arial" w:cs="Arial" w:eastAsia="Arial" w:hAnsi="Arial"/>
                <w:sz w:val="18"/>
                <w:szCs w:val="18"/>
                <w:color w:val="auto"/>
              </w:rPr>
              <w:t>Sales to customers representing 10% or more of total net sales were as follows: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86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86"/>
              </w:rPr>
              <w:t>December 31,</w:t>
            </w: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8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4"/>
              </w:rPr>
              <w:t>2021</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IGT</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Engineering, design and product development: </w:t>
      </w:r>
      <w:r>
        <w:rPr>
          <w:rFonts w:ascii="Arial" w:cs="Arial" w:eastAsia="Arial" w:hAnsi="Arial"/>
          <w:sz w:val="17"/>
          <w:szCs w:val="17"/>
          <w:color w:val="auto"/>
        </w:rPr>
        <w:t>Engineering, design and product development expenses include expenses incurred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specialized engineering and design to introduce new products and to customize existing products, and are expensed as a component of operating expenses as incurred. We recorded $8.6 million and $7.5 million of research and development expenses in 2022 and 2021, respectively.</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Costs incurred in the engineering, design and product development of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has been included in cost of sales over the estimated life of the product. During 2019, we contracted several third-parties to develop software for our food service technology products, the cost for which we capitalized. Unamortized development costs for such software was $242 thousand and $396 thousand as of December 31, 2022 and 2021, respectively. The total amount charged to cost of sales for capitalized software development costs was $154 thousand in both 2022 and 2021.</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Operations for 2022 and 2021 totaled $3.1 million and $1.8 million, respectively. These expenses include items such as consulting, professional services, tradeshows, and print advertising.</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income tax amounts reflected in the accompanying Consolidated Financial Statements are accounted for under the liability method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ASC 740, “Income Taxes” (“ASC 740”).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The financial position and results of operations of our foreign subsidiary in the UK are measured using local currency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functional currency. Assets and liabilities of such subsidiary have been translated into U.S. dollars at the year-end exchange rate, related sales and expenses have been translated at the weighted average rate for the period, and shareholders’ equity has been translated at historical exchange rates. The resulting translation gains or losses, net of tax, are recorded in shareholders’ equity as a cumulative translation adjustment, which is a component of accumulated other comprehensive income and loss. Foreign currency transaction gains and losses, including those related to intercompany balances, are recognized in Other, net on the Consolidated Statements of Operations.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2022, we have share-based employee compensation plans, which are described more fully in Note 9 -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Share-based compensation expense is measured at the grant date, based on the estimated fair value of the award, and is recognized as expense over the employee’s requisite service period.</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use the Black-Scholes option-pricing model to calculate the fair value of share-based awards. The key assumptions for this valuation method include the expected term of the option, stock price volatility, risk-free interest rate, dividend yield, market price of our underlying stock and exercise price. Many of these assumptions require judgment and are highly sensitive in the determination of compensation expense. Forfeitures are recognized as they occur.</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Net loss per share: </w:t>
      </w:r>
      <w:r>
        <w:rPr>
          <w:rFonts w:ascii="Arial" w:cs="Arial" w:eastAsia="Arial" w:hAnsi="Arial"/>
          <w:sz w:val="18"/>
          <w:szCs w:val="18"/>
          <w:color w:val="auto"/>
        </w:rPr>
        <w:t>We report net income or loss per share in accordance with ASC 260, “Earnings per Share (EPS).” Under this guidance, basic EPS,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diluted EPS. See Note 11 - Earnings per share.</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Change in accounting principle: </w:t>
      </w:r>
      <w:r>
        <w:rPr>
          <w:rFonts w:ascii="Arial" w:cs="Arial" w:eastAsia="Arial" w:hAnsi="Arial"/>
          <w:sz w:val="18"/>
          <w:szCs w:val="18"/>
          <w:color w:val="auto"/>
        </w:rPr>
        <w:t>See Note 16 for a discussion of a change in accounting principle which occurred in the second quarter of 2022. TransAct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changed its method of inventory valuation from standard costing which approximates first-in first-out (“FIFO”) to the average costing methodology. All prior periods presented have been retrospectively adjusted to apply the new method of accounting. Certain prior period amounts have been adjusted to conform with the current year presentation</w:t>
      </w:r>
      <w:r>
        <w:rPr>
          <w:rFonts w:ascii="Arial" w:cs="Arial" w:eastAsia="Arial" w:hAnsi="Arial"/>
          <w:sz w:val="18"/>
          <w:szCs w:val="18"/>
          <w:b w:val="1"/>
          <w:bCs w:val="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Reclassifications: </w:t>
      </w:r>
      <w:r>
        <w:rPr>
          <w:rFonts w:ascii="Arial" w:cs="Arial" w:eastAsia="Arial" w:hAnsi="Arial"/>
          <w:sz w:val="17"/>
          <w:szCs w:val="17"/>
          <w:color w:val="auto"/>
        </w:rPr>
        <w:t>Certain reclassifications have been made to prior year financial statements to conform to classifications used in the current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The components of inventories are: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12,028</w:t>
            </w:r>
          </w:p>
        </w:tc>
        <w:tc>
          <w:tcPr>
            <w:tcW w:w="22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7,711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16, Change in Accounting Principle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Arial" w:cs="Arial" w:eastAsia="Arial" w:hAnsi="Arial"/>
                <w:sz w:val="18"/>
                <w:szCs w:val="18"/>
                <w:b w:val="1"/>
                <w:bCs w:val="1"/>
                <w:color w:val="auto"/>
              </w:rPr>
              <w:t>4. Fixed assets, net</w:t>
            </w:r>
          </w:p>
        </w:tc>
        <w:tc>
          <w:tcPr>
            <w:tcW w:w="4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540" w:type="dxa"/>
            <w:vAlign w:val="bottom"/>
          </w:tcPr>
          <w:p>
            <w:pPr>
              <w:spacing w:after="0"/>
              <w:rPr>
                <w:sz w:val="20"/>
                <w:szCs w:val="20"/>
                <w:color w:val="auto"/>
              </w:rPr>
            </w:pPr>
            <w:r>
              <w:rPr>
                <w:rFonts w:ascii="Arial" w:cs="Arial" w:eastAsia="Arial" w:hAnsi="Arial"/>
                <w:sz w:val="18"/>
                <w:szCs w:val="18"/>
                <w:color w:val="auto"/>
              </w:rPr>
              <w:t>The components of fixed assets, net are:</w:t>
            </w: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4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r>
      <w:tr>
        <w:trPr>
          <w:trHeight w:val="223"/>
        </w:trPr>
        <w:tc>
          <w:tcPr>
            <w:tcW w:w="4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Tooling, machinery and equipment</w:t>
            </w:r>
          </w:p>
        </w:tc>
        <w:tc>
          <w:tcPr>
            <w:tcW w:w="4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and equipment</w:t>
            </w:r>
          </w:p>
        </w:tc>
        <w:tc>
          <w:tcPr>
            <w:tcW w:w="4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w:t>
            </w: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r>
      <w:tr>
        <w:trPr>
          <w:trHeight w:val="216"/>
        </w:trPr>
        <w:tc>
          <w:tcPr>
            <w:tcW w:w="45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18,199</w:t>
            </w:r>
          </w:p>
        </w:tc>
        <w:tc>
          <w:tcPr>
            <w:tcW w:w="10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(17,656)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(16,736)</w:t>
            </w:r>
          </w:p>
        </w:tc>
      </w:tr>
      <w:tr>
        <w:trPr>
          <w:trHeight w:val="216"/>
        </w:trPr>
        <w:tc>
          <w:tcPr>
            <w:tcW w:w="454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Construction in-process</w:t>
            </w:r>
          </w:p>
        </w:tc>
        <w:tc>
          <w:tcPr>
            <w:tcW w:w="4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r>
      <w:tr>
        <w:trPr>
          <w:trHeight w:val="256"/>
        </w:trPr>
        <w:tc>
          <w:tcPr>
            <w:tcW w:w="454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4540" w:type="dxa"/>
            <w:vAlign w:val="bottom"/>
          </w:tcPr>
          <w:p>
            <w:pPr>
              <w:spacing w:after="0"/>
              <w:rPr>
                <w:sz w:val="24"/>
                <w:szCs w:val="24"/>
                <w:color w:val="auto"/>
              </w:rPr>
            </w:pPr>
          </w:p>
        </w:tc>
        <w:tc>
          <w:tcPr>
            <w:tcW w:w="4380" w:type="dxa"/>
            <w:vAlign w:val="bottom"/>
            <w:gridSpan w:val="2"/>
          </w:tcPr>
          <w:p>
            <w:pPr>
              <w:jc w:val="right"/>
              <w:ind w:right="3087"/>
              <w:spacing w:after="0"/>
              <w:rPr>
                <w:sz w:val="20"/>
                <w:szCs w:val="20"/>
                <w:color w:val="auto"/>
              </w:rPr>
            </w:pPr>
            <w:r>
              <w:rPr>
                <w:rFonts w:ascii="Arial" w:cs="Arial" w:eastAsia="Arial" w:hAnsi="Arial"/>
                <w:sz w:val="14"/>
                <w:szCs w:val="14"/>
                <w:color w:val="auto"/>
              </w:rPr>
              <w:t>F-15</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54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5.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Identifiable intangible assets are recorded in Intangible assets, net in the accompanying Consolidated Balance Sheets and are comprised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December 31,</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8"/>
                <w:szCs w:val="18"/>
                <w:color w:val="auto"/>
              </w:rPr>
              <w:t>2022</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rPr>
              <w:t>2021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5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7"/>
              </w:rPr>
              <w:t>Accumulated</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7"/>
              </w:rPr>
              <w:t>Accumulated</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40"/>
              <w:spacing w:after="0"/>
              <w:rPr>
                <w:sz w:val="20"/>
                <w:szCs w:val="20"/>
                <w:color w:val="auto"/>
              </w:rPr>
            </w:pPr>
            <w:r>
              <w:rPr>
                <w:rFonts w:ascii="Arial" w:cs="Arial" w:eastAsia="Arial" w:hAnsi="Arial"/>
                <w:sz w:val="18"/>
                <w:szCs w:val="18"/>
                <w:color w:val="auto"/>
              </w:rPr>
              <w:t>Gross Amount</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Amortization</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Gross Amount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Amortization</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technology</w:t>
            </w:r>
          </w:p>
        </w:tc>
        <w:tc>
          <w:tcPr>
            <w:tcW w:w="400" w:type="dxa"/>
            <w:vAlign w:val="bottom"/>
            <w:tcBorders>
              <w:top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Patents</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$155 thousand and $186 thousand in 2022 and 2021, respectively. Amortization expense for each of the next five years ending December 31 is expected to be as follows: $154 thousand in 2023 and $88 thousand in 2024; and none thereafter.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6. Accrued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The components of accrued liabilities are: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Salaries and compensation related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Retirement savings plan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a 401(k) plan under which all full-time employees are eligible to participate at the beginning of the month immediately following their date of hire. We match employees’ contributions at a rate of 50% of employees’ contributions up to the first 6% of the employees’ compensation contributed to the 401(k) plan. Our matching contributions were $355 thousand and $312 thousand in 2022 and 2021,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13, 2020, we entered into a credit facility (the “Siena Credit Facility”) with Siena Lending Group LLC (the “Lender”) and terminated our credit facility with TD Bank, N.A. The Siena Credit Facility provides for a revolving credit line of up to $10.0 million and was originally scheduled to expire on March 13, 2023. Borrowings under the Siena Credit Facility bear a floating rate of interest equal to the greatest of (i) the prime rate plus 1.75%, (ii) the federal funds rate plus 2.25%, and (iii) 6.50%. The total deferred financing costs related to expenses incurred to complete the Siena Credit Facility was $245 thousand, which were reported as “Other current assets” in current assets and “Other assets” in non-current assets in the Consolidated Balance Sheets. We also pay a fee of 0.50% on unused borrowings under the Siena Credit Facility. Borrowings under the Siena Credit Facility are secured by a lien on substantially all the assets of the Company.</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Siena Credit Facility imposes a financial covenant on the Company and borrowings are subject to a borrowing base based on (i) 85% of eligible accounts receivable plus the lesser of (a) $5.0 million and (b) 50% of eligible raw material and 60% of finished goods inventory and restricts, among other things, our ability to incur additional indebtedness and create other liens. The three-month period from April 1, 2020 to June 30, 2020 was the first period we were subject to the original financial covenant, which required the Company to maintain a minimum EBITDA and continued through the 12-month period from April 1, 2020 to March 31, 2021. On July 21, 2021, the Company entered into an amendment (“Siena Credit Facility Amendment No. 1”) to the Siena Credit Facility. Siena Credit Facility Amendment No. 1 changed the financial covenant under the Siena Credit Facility from a minimum EBITDA covenant to an excess availability covenant requiring that the Company maintain excess availability of at least $750 thousand under the Siena Credit Facility, tested as of the end of each calendar month, beginning with the calendar month ending July 31, 2021. From July 31, 2021 through December 31, 2022, we remained in compliance with our excess availability covenant. As of December 31, 2022, we had $2.3 million of outstanding borrowings under the Siena Credit Facility and $3.9 million of net borrowing capacity available under the Siena Credit Facility.</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19, 2022, the Company and the Lender entered into Amendment No. 2 (“Siena Credit Facility Amendment No. 2”) to the Siena Credit Facility, as amended by Siena Credit Facility Amendment No. 1. Also on July 19, 2022, the Company and the Lender entered into an Amended and Restated Fee Letter (the “Amended Fee Letter”) in connection with the Siena Credit Facility Amendment No. 2. The Siena Credit Facility Amendment No. 2 did not modify the aggregate amount of the revolving commitment or the interest rate applicable to the loans.</w:t>
      </w:r>
    </w:p>
    <w:p>
      <w:pPr>
        <w:sectPr>
          <w:pgSz w:w="11900" w:h="16838" w:orient="portrait"/>
          <w:cols w:equalWidth="0" w:num="1">
            <w:col w:w="11240"/>
          </w:cols>
          <w:pgMar w:left="320" w:top="364" w:right="3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color w:val="auto"/>
        </w:rPr>
        <w:t>The changes to the Siena Credit Facility provided for in Siena Credit Facility Amendment No. 2 include, among other things, the following:</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extension of the maturity date from March 13, 2023 to March 13, 2025; and</w:t>
      </w:r>
    </w:p>
    <w:p>
      <w:pPr>
        <w:spacing w:after="0" w:line="252"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termination of the existing blocked account control agreement and entry into a new “springing” deposit account control agreement, permitting the Company to direct the use of funds in its deposit account until such time as (a) the sum of excess availability under Siena Credit Facility (as amended) and unrestricted cash is less than $5 million for 3 consecutive business days or (b) an event of default occurs and is continuing.</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Amended Fee Letter requires the Company, while it retains the ability to direct the use of funds in the deposit account, to maintain outstanding borrowings of at least $2,250,000 in principal amount. If the Company does not have the ability to direct the use of funds in the deposit account, then the Amended Fee Letter requires the Company to pay interest on at least $2,250,000 principal amount of loans, whether or not such amount of loans is actually outstanding.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 2020, the Company was granted the PPP Loan from Berkshire Bank in the aggregate amount of $2.2 million, pursuant to the PPP. Under the terms of the PPP, the PPP Loan would be forgiven to the extent that funds from the PPP Loan were used for payroll costs and costs to continue group health care benefits, as well as for interest on mortgage obligations incurred before February 15, 2020, rent under lease agreements in effect before February 15, 2020, utilities for which service began before February 15, 2020, and interest on debt obligations incurred before February 15, 2020, subject to conditions and limitations provided in the CARES Act. At least 60% (under the PPP terms, as amended) of the proceeds from the PPP Loan were required to be used for eligible payroll costs for the PPP Loan to be forgiven.</w:t>
      </w:r>
    </w:p>
    <w:p>
      <w:pPr>
        <w:spacing w:after="0" w:line="21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July 8, 2021, the Company received notifications from Berkshire Bank and the SBA that the PPP Loan (including all interest accrued thereon) of $2.2 million had been fully forgiven by the SBA and that the forgiveness payment date was July 1, 2021. The forgiveness of the PPP Loan was reported as “Gain on forgiveness of long-term debt” in the Consolidated Statement of Operations during the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incentive plans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Stock incentive plans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have two stock incentive plans: the 2005 Equity Incentive Plan and the 2014 Equity Incentive Plan, which provide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 (vi) limited stock appreciation rights. Awards granted under these plans have exercise prices equal to 100% of the fair market value of the common stock at the date of grant. Awards granted have a ten-year term and generally vest over a two-year to four-year period, unless automatically accelerated for certain defined events. As of May 2014, no new awards may be made under the 2005 Equity Incentive Plan. Under our 2014 Equity Incentive Plan, as amended in May 2020, we are authorized to grant awards of up to 2,200,000 shares of TransAct common stock. At December 31, 2022, 347,652 shares of common stock remained available for issuance under the 2014 Equity Incentive Plan.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assumptions indicated below, the weighted-average per share fair value of stock option grants for 2022 and 2021 was $4.39 and $5.41, respectively. We also issued restricted stock units for certain executives and directors that vest over a specified period of time, and in some instances require achieving certain performance metrics. The weighted-average per share fair value of these restricted stock units was $8.43 and $10.27 in 2022 and 2021, respectively.</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indicates the key assumptions (on a weighted-average basis) used in the option valuation calculations for options granted in 2022 and 2021 and a discussion of our methodology for developing each of the assumptions used in the valuation model:</w:t>
      </w:r>
    </w:p>
    <w:p>
      <w:pPr>
        <w:spacing w:after="0" w:line="19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term (in years)</w:t>
            </w: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50.5%</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93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to our historical exercise patterns. Options granted have a maximum term of ten years and an increase in the expected term will increase compensation expense.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Risk-Free Interest Rate </w:t>
      </w:r>
      <w:r>
        <w:rPr>
          <w:rFonts w:ascii="Arial" w:cs="Arial" w:eastAsia="Arial" w:hAnsi="Arial"/>
          <w:sz w:val="16"/>
          <w:szCs w:val="16"/>
          <w:color w:val="auto"/>
        </w:rPr>
        <w:t>- This is the U.S. Treasury rate in effect at the time of grant having a term approximately equal to the expected term of the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the risk-free interest rate will increase compensation expense.</w:t>
      </w:r>
    </w:p>
    <w:p>
      <w:pPr>
        <w:sectPr>
          <w:pgSz w:w="11900" w:h="16838" w:orient="portrait"/>
          <w:cols w:equalWidth="0" w:num="1">
            <w:col w:w="11240"/>
          </w:cols>
          <w:pgMar w:left="320" w:top="368" w:right="3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calculated by dividing the annual dividend declared per common share by the weighted average market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grant. An increase in the dividend yield will decrease compensation expense.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both 2022 and 2021, we recorded $1.2 million of share-based compensation expense included primarily in general and administrative expense in our Consolidated Statements of Operations. We also recorded income tax benefits of $0.3 million in both 2022 and 2021, related to such share-based compensation. At December 31, 2022, these benefits are recorded as a deferred tax asset in the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Equity award activity in the 2005 Equity Incentive Plan and the 2014 Equity Incentive Plan is summarized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980" w:type="dxa"/>
            <w:vAlign w:val="bottom"/>
            <w:gridSpan w:val="3"/>
          </w:tcPr>
          <w:p>
            <w:pPr>
              <w:ind w:left="740"/>
              <w:spacing w:after="0"/>
              <w:rPr>
                <w:sz w:val="20"/>
                <w:szCs w:val="20"/>
                <w:color w:val="auto"/>
              </w:rPr>
            </w:pPr>
            <w:r>
              <w:rPr>
                <w:rFonts w:ascii="Arial" w:cs="Arial" w:eastAsia="Arial" w:hAnsi="Arial"/>
                <w:sz w:val="18"/>
                <w:szCs w:val="18"/>
                <w:color w:val="auto"/>
              </w:rPr>
              <w:t>Stock Options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Arial" w:cs="Arial" w:eastAsia="Arial" w:hAnsi="Arial"/>
                <w:sz w:val="18"/>
                <w:szCs w:val="18"/>
                <w:color w:val="auto"/>
              </w:rPr>
              <w:t>Restricted Stock Units</w:t>
            </w:r>
          </w:p>
        </w:tc>
      </w:tr>
      <w:tr>
        <w:trPr>
          <w:trHeight w:val="202"/>
        </w:trPr>
        <w:tc>
          <w:tcPr>
            <w:tcW w:w="59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rPr>
              <w:t>Number of</w:t>
            </w:r>
          </w:p>
        </w:tc>
        <w:tc>
          <w:tcPr>
            <w:tcW w:w="6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380"/>
              <w:spacing w:after="0" w:line="201" w:lineRule="exact"/>
              <w:rPr>
                <w:sz w:val="20"/>
                <w:szCs w:val="20"/>
                <w:color w:val="auto"/>
              </w:rPr>
            </w:pPr>
            <w:r>
              <w:rPr>
                <w:rFonts w:ascii="Arial" w:cs="Arial" w:eastAsia="Arial" w:hAnsi="Arial"/>
                <w:sz w:val="18"/>
                <w:szCs w:val="18"/>
                <w:color w:val="auto"/>
              </w:rPr>
              <w:t>Number of</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340" w:type="dxa"/>
            <w:vAlign w:val="bottom"/>
            <w:gridSpan w:val="3"/>
          </w:tcPr>
          <w:p>
            <w:pPr>
              <w:spacing w:after="0"/>
              <w:rPr>
                <w:sz w:val="20"/>
                <w:szCs w:val="20"/>
                <w:color w:val="auto"/>
              </w:rPr>
            </w:pPr>
            <w:r>
              <w:rPr>
                <w:rFonts w:ascii="Arial" w:cs="Arial" w:eastAsia="Arial" w:hAnsi="Arial"/>
                <w:sz w:val="18"/>
                <w:szCs w:val="18"/>
                <w:color w:val="auto"/>
              </w:rPr>
              <w:t>Average Price*</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Units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rPr>
              <w:t>Price**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1,269,355</w:t>
            </w:r>
          </w:p>
        </w:tc>
        <w:tc>
          <w:tcPr>
            <w:tcW w:w="2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155,225</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181,100</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129,700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(17,500)</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(49,250)</w:t>
            </w:r>
          </w:p>
        </w:tc>
        <w:tc>
          <w:tcPr>
            <w:tcW w:w="6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9.38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(22,708)</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(27,750)</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Outstanding at December 31,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1,355,955</w:t>
            </w:r>
          </w:p>
        </w:tc>
        <w:tc>
          <w:tcPr>
            <w:tcW w:w="2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214,286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7700" w:firstLine="8"/>
        <w:spacing w:after="0" w:line="342" w:lineRule="auto"/>
        <w:tabs>
          <w:tab w:leader="none" w:pos="3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weighted average exercise price per share ** weighted average grant stock price per share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about equity awards outstanding that are vested and expect to vest and equity awards that are exercisable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80" w:type="dxa"/>
            <w:vAlign w:val="bottom"/>
          </w:tcPr>
          <w:p>
            <w:pPr>
              <w:spacing w:after="0"/>
              <w:rPr>
                <w:sz w:val="20"/>
                <w:szCs w:val="20"/>
                <w:color w:val="auto"/>
              </w:rPr>
            </w:pPr>
          </w:p>
        </w:tc>
        <w:tc>
          <w:tcPr>
            <w:tcW w:w="4540" w:type="dxa"/>
            <w:vAlign w:val="bottom"/>
            <w:gridSpan w:val="10"/>
          </w:tcPr>
          <w:p>
            <w:pPr>
              <w:jc w:val="right"/>
              <w:ind w:right="800"/>
              <w:spacing w:after="0"/>
              <w:rPr>
                <w:sz w:val="20"/>
                <w:szCs w:val="20"/>
                <w:color w:val="auto"/>
              </w:rPr>
            </w:pPr>
            <w:r>
              <w:rPr>
                <w:rFonts w:ascii="Arial" w:cs="Arial" w:eastAsia="Arial" w:hAnsi="Arial"/>
                <w:sz w:val="18"/>
                <w:szCs w:val="18"/>
                <w:color w:val="auto"/>
              </w:rPr>
              <w:t>Equity Awards Vested and Expected to Vest</w:t>
            </w:r>
          </w:p>
        </w:tc>
        <w:tc>
          <w:tcPr>
            <w:tcW w:w="4320" w:type="dxa"/>
            <w:vAlign w:val="bottom"/>
            <w:gridSpan w:val="10"/>
          </w:tcPr>
          <w:p>
            <w:pPr>
              <w:ind w:left="780"/>
              <w:spacing w:after="0"/>
              <w:rPr>
                <w:sz w:val="20"/>
                <w:szCs w:val="20"/>
                <w:color w:val="auto"/>
              </w:rPr>
            </w:pPr>
            <w:r>
              <w:rPr>
                <w:rFonts w:ascii="Arial" w:cs="Arial" w:eastAsia="Arial" w:hAnsi="Arial"/>
                <w:sz w:val="18"/>
                <w:szCs w:val="18"/>
                <w:color w:val="auto"/>
              </w:rPr>
              <w:t>Equity Awards That Are Exercisable</w:t>
            </w:r>
          </w:p>
        </w:tc>
      </w:tr>
      <w:tr>
        <w:trPr>
          <w:trHeight w:val="202"/>
        </w:trPr>
        <w:tc>
          <w:tcPr>
            <w:tcW w:w="23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center"/>
              <w:ind w:right="220"/>
              <w:spacing w:after="0" w:line="201" w:lineRule="exact"/>
              <w:rPr>
                <w:sz w:val="20"/>
                <w:szCs w:val="20"/>
                <w:color w:val="auto"/>
              </w:rPr>
            </w:pPr>
            <w:r>
              <w:rPr>
                <w:rFonts w:ascii="Arial" w:cs="Arial" w:eastAsia="Arial" w:hAnsi="Arial"/>
                <w:sz w:val="18"/>
                <w:szCs w:val="18"/>
                <w:color w:val="auto"/>
                <w:w w:val="89"/>
              </w:rPr>
              <w:t>Aggregate</w:t>
            </w: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center"/>
              <w:ind w:right="220"/>
              <w:spacing w:after="0" w:line="201" w:lineRule="exact"/>
              <w:rPr>
                <w:sz w:val="20"/>
                <w:szCs w:val="20"/>
                <w:color w:val="auto"/>
              </w:rPr>
            </w:pPr>
            <w:r>
              <w:rPr>
                <w:rFonts w:ascii="Arial" w:cs="Arial" w:eastAsia="Arial" w:hAnsi="Arial"/>
                <w:sz w:val="18"/>
                <w:szCs w:val="18"/>
                <w:color w:val="auto"/>
                <w:w w:val="91"/>
              </w:rPr>
              <w:t>Aggregate</w:t>
            </w: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Intrinsic</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Remaining</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Intrinsic</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r>
      <w:tr>
        <w:trPr>
          <w:trHeight w:val="237"/>
        </w:trPr>
        <w:tc>
          <w:tcPr>
            <w:tcW w:w="23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Price*</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Value</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Term**</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Price*</w:t>
            </w:r>
          </w:p>
        </w:tc>
        <w:tc>
          <w:tcPr>
            <w:tcW w:w="1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Term**</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1,355,955</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971,865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145,687</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weighted average exercise price per share</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weighted-average contractual remaining term in years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Shares that are issued upon exercise of employee stock awards are newly issued shares and not issued from treasury stock. As of December 31, 2022, unrecognized compensation cost related to non-vested equity awards granted under our stock incentive plans is approximately $2.1 million, which is expected to be recognized over a weighted average period of 2.6 years.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total fair value of awards vested was $1.6 million and $1.7 million during the years ended December 31, 2022 and 2021, respectively. The total intrinsic value (which is the amount by which the stock price exceeded the exercise price on the date of exercise) of stock options exercised during the years ended December 31, 2022 and 2021 was $40 thousand and $268 thousand, respectively, and cash received from option exercises was zero and $436 thousand in 2022 and 2021, respectively. 17,500 and 97,000 stock options were exercised during the year ended December 31, 2022 and 2021, respectively. We recorded a realized tax provision in 2022 and 2021 from equity-based awards of $13 thousand and $35 thousand, respectively, related to options exercised.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10.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The components of the income tax benefit are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86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(1,924)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(2,042)</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005"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005" w:gutter="0" w:footer="0" w:header="0"/>
          <w:type w:val="continuous"/>
        </w:sectPr>
      </w:pPr>
    </w:p>
    <w:bookmarkStart w:id="54" w:name="page55"/>
    <w:bookmarkEnd w:id="54"/>
    <w:p>
      <w:pPr>
        <w:ind w:right="120"/>
        <w:spacing w:after="0" w:line="263" w:lineRule="auto"/>
        <w:rPr>
          <w:sz w:val="20"/>
          <w:szCs w:val="20"/>
          <w:color w:val="auto"/>
        </w:rPr>
      </w:pPr>
      <w:r>
        <w:rPr>
          <w:rFonts w:ascii="Arial" w:cs="Arial" w:eastAsia="Arial" w:hAnsi="Arial"/>
          <w:sz w:val="18"/>
          <w:szCs w:val="18"/>
          <w:color w:val="auto"/>
        </w:rPr>
        <w:t>Our effective tax rates were (24.9%) and (33.6%) for 2022 and 2021, respectively. The tax benefit recorded for 2022 includes the recognition of stock option cancellations for which no benefit was realized and the benefit recorded for 2021 included the recognition of the gain on the forgiveness of the PPP Loan which was not taxable.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2022, we have $10.9 million of federal net operating loss carryforwards (with an unlimited carryforward), $0.2 million of tax-effected state net operating loss carryforwards (which have varying lives), $1.2 million in R&amp;D credit carryforwards (which generally have a twenty year life), and no state tax credit carryforwards. Foreign income (loss) before taxes was $24 thousand and ($404) thousand in 2022 and 2021,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net operating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Foreign net operating losses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net operating losses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R&amp;D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 reserves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Warranty reserve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accrued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R&amp;D credit carryforward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liabilities and reserves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Net deferred tax liabilities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we had a $656 thousand and $733 thousand, respectively, of valuation allowances on our net operating loss carryforwards. The following table summarizes the activity recorded in the valuation allowance on the deferred tax assets: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ind w:left="100"/>
              <w:spacing w:after="0"/>
              <w:rPr>
                <w:sz w:val="20"/>
                <w:szCs w:val="20"/>
                <w:color w:val="auto"/>
              </w:rPr>
            </w:pPr>
            <w:r>
              <w:rPr>
                <w:rFonts w:ascii="Arial" w:cs="Arial" w:eastAsia="Arial" w:hAnsi="Arial"/>
                <w:sz w:val="18"/>
                <w:szCs w:val="18"/>
                <w:color w:val="auto"/>
              </w:rPr>
              <w:t>Year Ended 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Subtractions released to income tax provisions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income tax provision</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Differences between the U.S. statutory federal income tax rate and our effective income tax rate are analyzed below:</w:t>
      </w:r>
    </w:p>
    <w:p>
      <w:pPr>
        <w:spacing w:after="0" w:line="252"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r>
      <w:tr>
        <w:trPr>
          <w:trHeight w:val="216"/>
        </w:trPr>
        <w:tc>
          <w:tcPr>
            <w:tcW w:w="9360" w:type="dxa"/>
            <w:vAlign w:val="bottom"/>
            <w:gridSpan w:val="2"/>
          </w:tcPr>
          <w:p>
            <w:pPr>
              <w:spacing w:after="0"/>
              <w:rPr>
                <w:sz w:val="18"/>
                <w:szCs w:val="18"/>
                <w:color w:val="auto"/>
              </w:rPr>
            </w:pPr>
          </w:p>
        </w:tc>
        <w:tc>
          <w:tcPr>
            <w:tcW w:w="6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PPP loan forgiveness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R&amp;D credit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Stock award excess tax benefit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federal income taxes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Business meals and entertainment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permanent items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Uncertain tax positions</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cancellations</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Valuation allowance and tax accruals</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7"/>
        </w:trPr>
        <w:tc>
          <w:tcPr>
            <w:tcW w:w="86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Effective tax rate</w:t>
            </w:r>
          </w:p>
        </w:tc>
        <w:tc>
          <w:tcPr>
            <w:tcW w:w="7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24.9%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r>
      <w:tr>
        <w:trPr>
          <w:trHeight w:val="21"/>
        </w:trPr>
        <w:tc>
          <w:tcPr>
            <w:tcW w:w="86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ind w:right="120"/>
        <w:spacing w:after="0" w:line="259" w:lineRule="auto"/>
        <w:rPr>
          <w:sz w:val="20"/>
          <w:szCs w:val="20"/>
          <w:color w:val="auto"/>
        </w:rPr>
      </w:pPr>
      <w:r>
        <w:rPr>
          <w:rFonts w:ascii="Arial" w:cs="Arial" w:eastAsia="Arial" w:hAnsi="Arial"/>
          <w:sz w:val="18"/>
          <w:szCs w:val="18"/>
          <w:color w:val="auto"/>
        </w:rPr>
        <w:t>We had $142 thousand and $144 thousand of total gross unrecognized tax benefits at December 31, 2022 and 2021, respectively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expect $28 thousand of the $142 thousand of unrecognized tax benefits will reverse in 2023 upon the expiration of the statute of limitations.</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We have accrued interest and penalties related to uncertain tax positions of $34 thousand and $20 thousand as of December 31, 2022 and 2021, respectively.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2018. However, our federal tax returns for the years 2019 through 2022 remain open to examination. Various state and foreign tax jurisdiction tax years remain open to examination as well, though we believe that any additional assessment would be immaterial to the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11. Earnings per share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680" w:type="dxa"/>
            <w:vAlign w:val="bottom"/>
          </w:tcPr>
          <w:p>
            <w:pPr>
              <w:spacing w:after="0"/>
              <w:rPr>
                <w:sz w:val="20"/>
                <w:szCs w:val="20"/>
                <w:color w:val="auto"/>
              </w:rPr>
            </w:pPr>
            <w:r>
              <w:rPr>
                <w:rFonts w:ascii="Arial" w:cs="Arial" w:eastAsia="Arial" w:hAnsi="Arial"/>
                <w:sz w:val="18"/>
                <w:szCs w:val="18"/>
                <w:color w:val="auto"/>
              </w:rPr>
              <w:t>Earnings per share was computed as follows (in thousands, except per share amounts):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60"/>
              <w:spacing w:after="0"/>
              <w:rPr>
                <w:sz w:val="20"/>
                <w:szCs w:val="20"/>
                <w:color w:val="auto"/>
              </w:rPr>
            </w:pPr>
            <w:r>
              <w:rPr>
                <w:rFonts w:ascii="Arial" w:cs="Arial" w:eastAsia="Arial" w:hAnsi="Arial"/>
                <w:sz w:val="18"/>
                <w:szCs w:val="18"/>
                <w:color w:val="auto"/>
                <w:w w:val="90"/>
              </w:rPr>
              <w:t>Years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9,298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 Dilutive effect of outstanding equity awards as determined by the treasury stock method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Diluted: Weighted average common and common equivalent shares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9,298</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(0.43)</w:t>
            </w:r>
          </w:p>
        </w:tc>
      </w:tr>
    </w:tbl>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Furthermore, in periods when a net loss is reported, such as 2022 and 2021, basic and diluted net loss per common share are calculated using the same method. Anti-dilutive stock awards excluded from the computation of earnings per dilutive share were 1,463,000 and 391,000 at December 31, 2022 and 2021,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repurchase program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cost method to account for treasury stock purchases, under which the price paid for the stock is charged to the treasury stock account. Repurchases of our common stock are accounted for as of the settlement date. During 2022 and 2021, we did not repurchase any shares of our common stock. From January 1, 2005 through December 31, 2019, we repurchased a total of 4,044,842 shares of common stock for $32.1 million, at an average price of $7.94 per share.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13. Geographic area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asset.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80"/>
              <w:spacing w:after="0"/>
              <w:rPr>
                <w:sz w:val="20"/>
                <w:szCs w:val="20"/>
                <w:color w:val="auto"/>
              </w:rPr>
            </w:pPr>
            <w:r>
              <w:rPr>
                <w:rFonts w:ascii="Arial" w:cs="Arial" w:eastAsia="Arial" w:hAnsi="Arial"/>
                <w:sz w:val="18"/>
                <w:szCs w:val="18"/>
                <w:color w:val="auto"/>
              </w:rPr>
              <w:t>Years Ended 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6,986</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2,252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2,781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2,684</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to international customers were 24% and 18% of total sales in 2022 and 2021, respectively. Sales to Europe represented 68% and 53%, sales to the Pacific Rim (which includes Australia and Asia) represented 28% and 35%, and sales to Canada represented 4% and 11% of total international sales in 2022 and 2021, respectively. International long-lived assets consist of net fixed assets located at our foreign subsidiary in the UK, as well as our contract manufacturer in Thailand.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Operating lease expense was $1.0 million for both years ended December 31, 2022 and 2021 and is reported as “Cost of sales,” “Engineering, design and product development expense,” “Selling and marketing expense,” and “General and administrative expense” in the Consolidated Statements of Operations. Operating costs include short-term lease costs, which were immaterial during the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252"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14605</wp:posOffset>
            </wp:positionV>
            <wp:extent cx="156019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14605</wp:posOffset>
            </wp:positionV>
            <wp:extent cx="15601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spacing w:after="0"/>
        <w:tabs>
          <w:tab w:leader="none" w:pos="8660" w:val="left"/>
          <w:tab w:leader="none" w:pos="9520" w:val="left"/>
          <w:tab w:leader="none" w:pos="10000" w:val="left"/>
          <w:tab w:leader="none" w:pos="10840" w:val="left"/>
        </w:tabs>
        <w:rPr>
          <w:sz w:val="20"/>
          <w:szCs w:val="20"/>
          <w:color w:val="auto"/>
        </w:rPr>
      </w:pPr>
      <w:r>
        <w:rPr>
          <w:rFonts w:ascii="Arial" w:cs="Arial" w:eastAsia="Arial" w:hAnsi="Arial"/>
          <w:sz w:val="18"/>
          <w:szCs w:val="18"/>
          <w:color w:val="auto"/>
        </w:rPr>
        <w:t>Operating cash outflows from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967</w:t>
        <w:tab/>
        <w:t>$</w:t>
      </w:r>
      <w:r>
        <w:rPr>
          <w:sz w:val="20"/>
          <w:szCs w:val="20"/>
          <w:color w:val="auto"/>
        </w:rPr>
        <w:tab/>
      </w:r>
      <w:r>
        <w:rPr>
          <w:rFonts w:ascii="Arial" w:cs="Arial" w:eastAsia="Arial" w:hAnsi="Arial"/>
          <w:sz w:val="16"/>
          <w:szCs w:val="16"/>
          <w:color w:val="auto"/>
        </w:rPr>
        <w:t>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additional information related to our leases:</w:t>
      </w:r>
    </w:p>
    <w:p>
      <w:pPr>
        <w:spacing w:after="0" w:line="252"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79"/>
              </w:rPr>
              <w:t>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640"/>
              <w:spacing w:after="0"/>
              <w:rPr>
                <w:sz w:val="20"/>
                <w:szCs w:val="20"/>
                <w:color w:val="auto"/>
              </w:rPr>
            </w:pPr>
            <w:r>
              <w:rPr>
                <w:rFonts w:ascii="Arial" w:cs="Arial" w:eastAsia="Arial" w:hAnsi="Arial"/>
                <w:sz w:val="18"/>
                <w:szCs w:val="18"/>
                <w:color w:val="auto"/>
                <w:w w:val="87"/>
              </w:rPr>
              <w:t>4.4%</w:t>
            </w:r>
          </w:p>
        </w:tc>
      </w:tr>
      <w:tr>
        <w:trPr>
          <w:trHeight w:val="445"/>
        </w:trPr>
        <w:tc>
          <w:tcPr>
            <w:tcW w:w="9400" w:type="dxa"/>
            <w:vAlign w:val="bottom"/>
            <w:gridSpan w:val="2"/>
          </w:tcPr>
          <w:p>
            <w:pPr>
              <w:spacing w:after="0"/>
              <w:rPr>
                <w:sz w:val="20"/>
                <w:szCs w:val="20"/>
                <w:color w:val="auto"/>
              </w:rPr>
            </w:pPr>
            <w:r>
              <w:rPr>
                <w:rFonts w:ascii="Arial" w:cs="Arial" w:eastAsia="Arial" w:hAnsi="Arial"/>
                <w:sz w:val="18"/>
                <w:szCs w:val="18"/>
                <w:color w:val="auto"/>
              </w:rPr>
              <w:t>The maturity of the Company’s operating lease liabilities are as follows (in thousands):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37"/>
        </w:trPr>
        <w:tc>
          <w:tcPr>
            <w:tcW w:w="8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spacing w:after="0"/>
              <w:rPr>
                <w:sz w:val="18"/>
                <w:szCs w:val="18"/>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166</w:t>
            </w:r>
          </w:p>
        </w:tc>
      </w:tr>
      <w:tr>
        <w:trPr>
          <w:trHeight w:val="256"/>
        </w:trPr>
        <w:tc>
          <w:tcPr>
            <w:tcW w:w="9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620" w:type="dxa"/>
            <w:vAlign w:val="bottom"/>
            <w:tcBorders>
              <w:bottom w:val="single" w:sz="8" w:color="CCEEFF"/>
            </w:tcBorders>
            <w:gridSpan w:val="3"/>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819"/>
        </w:trPr>
        <w:tc>
          <w:tcPr>
            <w:tcW w:w="9400" w:type="dxa"/>
            <w:vAlign w:val="bottom"/>
            <w:gridSpan w:val="2"/>
          </w:tcPr>
          <w:p>
            <w:pPr>
              <w:ind w:left="5480"/>
              <w:spacing w:after="0"/>
              <w:rPr>
                <w:sz w:val="20"/>
                <w:szCs w:val="20"/>
                <w:color w:val="auto"/>
              </w:rPr>
            </w:pPr>
            <w:r>
              <w:rPr>
                <w:rFonts w:ascii="Arial" w:cs="Arial" w:eastAsia="Arial" w:hAnsi="Arial"/>
                <w:sz w:val="14"/>
                <w:szCs w:val="14"/>
                <w:color w:val="auto"/>
              </w:rPr>
              <w:t>F-21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86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4"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15. Quarterly results of operations (unaudited)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980" w:type="dxa"/>
            <w:vAlign w:val="bottom"/>
          </w:tcPr>
          <w:p>
            <w:pPr>
              <w:spacing w:after="0"/>
              <w:rPr>
                <w:sz w:val="20"/>
                <w:szCs w:val="20"/>
                <w:color w:val="auto"/>
              </w:rPr>
            </w:pPr>
            <w:r>
              <w:rPr>
                <w:rFonts w:ascii="Arial" w:cs="Arial" w:eastAsia="Arial" w:hAnsi="Arial"/>
                <w:sz w:val="18"/>
                <w:szCs w:val="18"/>
                <w:color w:val="auto"/>
              </w:rPr>
              <w:t>Our quarterly results of operations for 2022 and 2021 are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Quarter Ended</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14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March 31</w:t>
            </w: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June 30</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September 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4"/>
              </w:rPr>
              <w:t>December 31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9,702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17,856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2,566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5,434</w:t>
            </w:r>
          </w:p>
        </w:tc>
        <w:tc>
          <w:tcPr>
            <w:tcW w:w="5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8,193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8,219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(2,376)</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Net (loss) income per common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5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8,301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3,339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3,432</w:t>
            </w:r>
          </w:p>
        </w:tc>
        <w:tc>
          <w:tcPr>
            <w:tcW w:w="5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4,305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4,306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(2,030)</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Net (loss) income per common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5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Change in accounting principle</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April 1, 2022, TransAct changed its method of inventory valuation from standard costing which approximated the FIFO costing methodology to the average costing methodology. We believe this methodology is preferable because it reflects a better estimate of inventory cost as we do not typically perform intensive manufacturing of our finished products, which are therefore better measured under average cost. In addition, our business is projected to include an increasing sales volume of software going forward, which better aligns with average costing. Comparative financial statements of prior periods have been adjusted to apply the new method retrospectively. Tax effects are calculated at the Company’s marginal tax rate, or the tax impact of incremental income changes rather than the average tax rate applied to our total net loss before income taxes. The following financial statement line items for the periods presented were impacted by the change in accounting principle.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changes made to the Company’s Consolidated Balance Sheets for the periods presented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2021</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200"/>
              <w:spacing w:after="0" w:line="198" w:lineRule="exact"/>
              <w:rPr>
                <w:sz w:val="20"/>
                <w:szCs w:val="20"/>
                <w:color w:val="auto"/>
              </w:rPr>
            </w:pPr>
            <w:r>
              <w:rPr>
                <w:rFonts w:ascii="Arial" w:cs="Arial" w:eastAsia="Arial" w:hAnsi="Arial"/>
                <w:sz w:val="18"/>
                <w:szCs w:val="18"/>
                <w:b w:val="1"/>
                <w:bCs w:val="1"/>
                <w:color w:val="auto"/>
              </w:rPr>
              <w:t>Under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Under</w:t>
            </w:r>
          </w:p>
        </w:tc>
        <w:tc>
          <w:tcPr>
            <w:tcW w:w="140" w:type="dxa"/>
            <w:vAlign w:val="bottom"/>
          </w:tcPr>
          <w:p>
            <w:pPr>
              <w:spacing w:after="0"/>
              <w:rPr>
                <w:sz w:val="17"/>
                <w:szCs w:val="17"/>
                <w:color w:val="auto"/>
              </w:rPr>
            </w:pPr>
          </w:p>
        </w:tc>
        <w:tc>
          <w:tcPr>
            <w:tcW w:w="98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Effect</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FIFO Cost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Average 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of Change</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ending balance in retained earnings as of December 31, 2020 was adjusted from $19,718 to $19,607.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effect of the changes made to the Company’s Consolidated Statements of Operations for the periods presented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Three months ended December 31, 2021</w:t>
            </w:r>
          </w:p>
        </w:tc>
        <w:tc>
          <w:tcPr>
            <w:tcW w:w="120" w:type="dxa"/>
            <w:vAlign w:val="bottom"/>
          </w:tcPr>
          <w:p>
            <w:pPr>
              <w:spacing w:after="0"/>
              <w:rPr>
                <w:sz w:val="20"/>
                <w:szCs w:val="20"/>
                <w:color w:val="auto"/>
              </w:rPr>
            </w:pPr>
          </w:p>
        </w:tc>
        <w:tc>
          <w:tcPr>
            <w:tcW w:w="37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 2021</w:t>
            </w: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Under</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2"/>
              </w:rPr>
              <w:t>Under</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Effect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Under</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2"/>
              </w:rPr>
              <w:t>Under</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Effect</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FIFO Cost</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 Cost</w:t>
            </w:r>
          </w:p>
        </w:tc>
        <w:tc>
          <w:tcPr>
            <w:tcW w:w="1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of Change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FIFO Cost</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 Cost</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of Change</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24,137</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4,418</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4,306</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15,249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(1,236)</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(6,216)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(6,083)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(4,145)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9,848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9,848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9,848</w:t>
            </w:r>
          </w:p>
        </w:tc>
        <w:tc>
          <w:tcPr>
            <w:tcW w:w="2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9,848</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9,298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9,298</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The effect of the changes made to the Company’s Consolidated Statements of Comprehensive Loss for the periods presented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89"/>
              </w:rPr>
              <w:t>Three months ended December 31, 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gridSpan w:val="9"/>
          </w:tcPr>
          <w:p>
            <w:pPr>
              <w:jc w:val="center"/>
              <w:ind w:right="200"/>
              <w:spacing w:after="0"/>
              <w:rPr>
                <w:sz w:val="20"/>
                <w:szCs w:val="20"/>
                <w:color w:val="auto"/>
              </w:rPr>
            </w:pPr>
            <w:r>
              <w:rPr>
                <w:rFonts w:ascii="Arial" w:cs="Arial" w:eastAsia="Arial" w:hAnsi="Arial"/>
                <w:sz w:val="18"/>
                <w:szCs w:val="18"/>
                <w:b w:val="1"/>
                <w:bCs w:val="1"/>
                <w:color w:val="auto"/>
                <w:w w:val="89"/>
              </w:rPr>
              <w:t>Year ended December 31, 2021</w:t>
            </w: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2"/>
              </w:rPr>
              <w:t>Under</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2"/>
              </w:rPr>
              <w:t>Under</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51"/>
              <w:spacing w:after="0" w:line="198" w:lineRule="exact"/>
              <w:rPr>
                <w:sz w:val="20"/>
                <w:szCs w:val="20"/>
                <w:color w:val="auto"/>
              </w:rPr>
            </w:pPr>
            <w:r>
              <w:rPr>
                <w:rFonts w:ascii="Arial" w:cs="Arial" w:eastAsia="Arial" w:hAnsi="Arial"/>
                <w:sz w:val="18"/>
                <w:szCs w:val="18"/>
                <w:b w:val="1"/>
                <w:bCs w:val="1"/>
                <w:color w:val="auto"/>
                <w:w w:val="91"/>
              </w:rPr>
              <w:t>Effect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center"/>
              <w:ind w:right="320"/>
              <w:spacing w:after="0" w:line="198" w:lineRule="exact"/>
              <w:rPr>
                <w:sz w:val="20"/>
                <w:szCs w:val="20"/>
                <w:color w:val="auto"/>
              </w:rPr>
            </w:pPr>
            <w:r>
              <w:rPr>
                <w:rFonts w:ascii="Arial" w:cs="Arial" w:eastAsia="Arial" w:hAnsi="Arial"/>
                <w:sz w:val="18"/>
                <w:szCs w:val="18"/>
                <w:b w:val="1"/>
                <w:bCs w:val="1"/>
                <w:color w:val="auto"/>
                <w:w w:val="96"/>
              </w:rPr>
              <w:t>Under</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2"/>
              </w:rPr>
              <w:t>Under</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1"/>
              </w:rPr>
              <w:t>Effect</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FIFO Cost</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 Cost</w:t>
            </w:r>
          </w:p>
        </w:tc>
        <w:tc>
          <w:tcPr>
            <w:tcW w:w="14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of Change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FIFO Cost</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 Cost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of Change</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1"/>
              </w:rPr>
              <w:t>(735)</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71"/>
              </w:rPr>
              <w:t>(823)</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w w:val="72"/>
              </w:rPr>
              <w:t>(88)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w w:val="77"/>
              </w:rPr>
              <w:t>(4,145)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20"/>
                <w:szCs w:val="20"/>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(662)</w:t>
            </w:r>
          </w:p>
        </w:tc>
        <w:tc>
          <w:tcPr>
            <w:tcW w:w="200" w:type="dxa"/>
            <w:vAlign w:val="bottom"/>
          </w:tcPr>
          <w:p>
            <w:pPr>
              <w:spacing w:after="0"/>
              <w:rPr>
                <w:sz w:val="20"/>
                <w:szCs w:val="20"/>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540"/>
              <w:spacing w:after="0"/>
              <w:rPr>
                <w:sz w:val="20"/>
                <w:szCs w:val="20"/>
                <w:color w:val="auto"/>
              </w:rPr>
            </w:pPr>
            <w:r>
              <w:rPr>
                <w:rFonts w:ascii="Arial" w:cs="Arial" w:eastAsia="Arial" w:hAnsi="Arial"/>
                <w:sz w:val="18"/>
                <w:szCs w:val="18"/>
                <w:color w:val="auto"/>
              </w:rPr>
              <w:t>(3,964)</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(3,860)</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445"/>
        </w:trPr>
        <w:tc>
          <w:tcPr>
            <w:tcW w:w="10020" w:type="dxa"/>
            <w:vAlign w:val="bottom"/>
            <w:gridSpan w:val="18"/>
          </w:tcPr>
          <w:p>
            <w:pPr>
              <w:spacing w:after="0"/>
              <w:rPr>
                <w:sz w:val="20"/>
                <w:szCs w:val="20"/>
                <w:color w:val="auto"/>
              </w:rPr>
            </w:pPr>
            <w:r>
              <w:rPr>
                <w:rFonts w:ascii="Arial" w:cs="Arial" w:eastAsia="Arial" w:hAnsi="Arial"/>
                <w:sz w:val="18"/>
                <w:szCs w:val="18"/>
                <w:color w:val="auto"/>
                <w:w w:val="95"/>
              </w:rPr>
              <w:t>The effect of the changes made to the Company’s Consolidated Statements of Cash Flows for the periods presented are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9"/>
          </w:tcPr>
          <w:p>
            <w:pPr>
              <w:ind w:left="560"/>
              <w:spacing w:after="0"/>
              <w:rPr>
                <w:sz w:val="20"/>
                <w:szCs w:val="20"/>
                <w:color w:val="auto"/>
              </w:rPr>
            </w:pPr>
            <w:r>
              <w:rPr>
                <w:rFonts w:ascii="Arial" w:cs="Arial" w:eastAsia="Arial" w:hAnsi="Arial"/>
                <w:sz w:val="18"/>
                <w:szCs w:val="18"/>
                <w:b w:val="1"/>
                <w:bCs w:val="1"/>
                <w:color w:val="auto"/>
              </w:rPr>
              <w:t>Year ended December 31, 2021</w:t>
            </w: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center"/>
              <w:ind w:right="400"/>
              <w:spacing w:after="0" w:line="198" w:lineRule="exact"/>
              <w:rPr>
                <w:sz w:val="20"/>
                <w:szCs w:val="20"/>
                <w:color w:val="auto"/>
              </w:rPr>
            </w:pPr>
            <w:r>
              <w:rPr>
                <w:rFonts w:ascii="Arial" w:cs="Arial" w:eastAsia="Arial" w:hAnsi="Arial"/>
                <w:sz w:val="18"/>
                <w:szCs w:val="18"/>
                <w:b w:val="1"/>
                <w:bCs w:val="1"/>
                <w:color w:val="auto"/>
                <w:w w:val="96"/>
              </w:rPr>
              <w:t>Under</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2"/>
              </w:rPr>
              <w:t>Under</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1"/>
              </w:rPr>
              <w:t>Effect</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FIFO Cost</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 Cost</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of Change</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24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(2,150)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effect of the changes made to the Company’s Consolidated Statements of Changes in Shareholders’ Equity for the periods presented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Three months ended December 31, 2021</w:t>
            </w:r>
          </w:p>
        </w:tc>
        <w:tc>
          <w:tcPr>
            <w:tcW w:w="120" w:type="dxa"/>
            <w:vAlign w:val="bottom"/>
          </w:tcPr>
          <w:p>
            <w:pPr>
              <w:spacing w:after="0"/>
              <w:rPr>
                <w:sz w:val="20"/>
                <w:szCs w:val="20"/>
                <w:color w:val="auto"/>
              </w:rPr>
            </w:pPr>
          </w:p>
        </w:tc>
        <w:tc>
          <w:tcPr>
            <w:tcW w:w="37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 2021</w:t>
            </w:r>
          </w:p>
        </w:tc>
      </w:tr>
      <w:tr>
        <w:trPr>
          <w:trHeight w:val="198"/>
        </w:trPr>
        <w:tc>
          <w:tcPr>
            <w:tcW w:w="3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Under</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2"/>
              </w:rPr>
              <w:t>Under</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Effect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rPr>
              <w:t>Under</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2"/>
              </w:rPr>
              <w:t>Under</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Effect</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FIFO Cost</w:t>
            </w: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 Cost</w:t>
            </w:r>
          </w:p>
        </w:tc>
        <w:tc>
          <w:tcPr>
            <w:tcW w:w="1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of Change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FIFO Cost</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 Cost</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of Change</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39,280</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39,361</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30,125</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Retained earnings - beginning of period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16,308</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16,389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19,718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19,607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Retained earnings - end of period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15,573</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15,566</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15,573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15,566</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ending balance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38,991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38,984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38,991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38,984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first quarter of 2023, we collected the $1.5 million employee retention credit receivable from the U.S. Government. The Company has evaluated all other events or transactions that occurred up to the date the consolidated financial statements were available to issue. Based upon this review, the Company did not identify any other subsequent events that would have required adjustment or disclosure in the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BY-LAWS</w:t>
      </w:r>
    </w:p>
    <w:p>
      <w:pPr>
        <w:jc w:val="center"/>
        <w:ind w:right="-19"/>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TRANSACT TECHNOLOGIES INCORPORATED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May 31, 2022)</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Registered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The registered office shall be in the City of Wilmington, County of New</w:t>
      </w:r>
    </w:p>
    <w:p>
      <w:pPr>
        <w:spacing w:after="0" w:line="46" w:lineRule="exact"/>
        <w:rPr>
          <w:sz w:val="20"/>
          <w:szCs w:val="20"/>
          <w:color w:val="auto"/>
        </w:rPr>
      </w:pPr>
    </w:p>
    <w:p>
      <w:pPr>
        <w:sectPr>
          <w:pgSz w:w="11900" w:h="16838" w:orient="portrait"/>
          <w:cols w:equalWidth="0" w:num="3">
            <w:col w:w="2320" w:space="720"/>
            <w:col w:w="1660" w:space="140"/>
            <w:col w:w="6400"/>
          </w:cols>
          <w:pgMar w:left="320" w:top="274" w:right="339" w:bottom="1440" w:gutter="0" w:footer="0" w:header="0"/>
          <w:type w:val="continuous"/>
        </w:sectPr>
      </w:pPr>
    </w:p>
    <w:p>
      <w:pPr>
        <w:spacing w:after="0"/>
        <w:rPr>
          <w:sz w:val="20"/>
          <w:szCs w:val="20"/>
          <w:color w:val="auto"/>
        </w:rPr>
      </w:pPr>
      <w:r>
        <w:rPr>
          <w:rFonts w:ascii="Arial" w:cs="Arial" w:eastAsia="Arial" w:hAnsi="Arial"/>
          <w:sz w:val="22"/>
          <w:szCs w:val="22"/>
          <w:color w:val="auto"/>
        </w:rPr>
        <w:t>Castle, State of Delaware.</w:t>
      </w:r>
    </w:p>
    <w:p>
      <w:pPr>
        <w:spacing w:after="0" w:line="179" w:lineRule="exact"/>
        <w:rPr>
          <w:sz w:val="20"/>
          <w:szCs w:val="20"/>
          <w:color w:val="auto"/>
        </w:rPr>
      </w:pPr>
    </w:p>
    <w:p>
      <w:pPr>
        <w:ind w:left="660"/>
        <w:spacing w:after="0"/>
        <w:tabs>
          <w:tab w:leader="none" w:pos="310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color w:val="auto"/>
        </w:rPr>
        <w:t>Other Offices</w:t>
      </w:r>
      <w:r>
        <w:rPr>
          <w:rFonts w:ascii="Arial" w:cs="Arial" w:eastAsia="Arial" w:hAnsi="Arial"/>
          <w:sz w:val="19"/>
          <w:szCs w:val="19"/>
          <w:color w:val="auto"/>
        </w:rPr>
        <w:t>. The corporation may also have offices at such other places both within and</w:t>
      </w:r>
    </w:p>
    <w:p>
      <w:pPr>
        <w:sectPr>
          <w:pgSz w:w="11900" w:h="16838" w:orient="portrait"/>
          <w:cols w:equalWidth="0" w:num="1">
            <w:col w:w="11240"/>
          </w:cols>
          <w:pgMar w:left="320" w:top="274" w:right="339" w:bottom="1440" w:gutter="0" w:footer="0" w:header="0"/>
          <w:type w:val="continuous"/>
        </w:sectPr>
      </w:pPr>
    </w:p>
    <w:p>
      <w:pPr>
        <w:spacing w:after="0" w:line="27"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MEETINGS OF STOCKHOLDERS</w:t>
      </w:r>
    </w:p>
    <w:p>
      <w:pPr>
        <w:spacing w:after="0" w:line="200" w:lineRule="exact"/>
        <w:rPr>
          <w:sz w:val="20"/>
          <w:szCs w:val="20"/>
          <w:color w:val="auto"/>
        </w:rPr>
      </w:pPr>
    </w:p>
    <w:p>
      <w:pPr>
        <w:spacing w:after="0" w:line="24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2.01 Meetings of Stockholders. </w:t>
      </w:r>
      <w:r>
        <w:rPr>
          <w:rFonts w:ascii="Arial" w:cs="Arial" w:eastAsia="Arial" w:hAnsi="Arial"/>
          <w:sz w:val="22"/>
          <w:szCs w:val="22"/>
          <w:color w:val="auto"/>
        </w:rPr>
        <w:t>All meetings of the stockholders shall be held in Wallingford,</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Connecticut, at such place as may be fixed from time to time by the board of directors, or at such other place either within or without the State of Delaware as shall be designated from time to time by the board of directors and stated in the notice of the meeting or in a duly executed waiver of notice thereof.</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2.02 Annual Meetings of Stockholders. </w:t>
      </w:r>
      <w:r>
        <w:rPr>
          <w:rFonts w:ascii="Arial" w:cs="Arial" w:eastAsia="Arial" w:hAnsi="Arial"/>
          <w:sz w:val="22"/>
          <w:szCs w:val="22"/>
          <w:color w:val="auto"/>
        </w:rPr>
        <w:t>Annual meetings of stockholders shall be held on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Thursday in May, unless such day is a legal holiday, (in which case the meeting will be held on the next secular day following), or on such other date and at such other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2.03 Notice of Annual Meeting. </w:t>
      </w:r>
      <w:r>
        <w:rPr>
          <w:rFonts w:ascii="Arial" w:cs="Arial" w:eastAsia="Arial" w:hAnsi="Arial"/>
          <w:sz w:val="22"/>
          <w:szCs w:val="22"/>
          <w:color w:val="auto"/>
        </w:rPr>
        <w:t>Written notice of the annual meeting stating the place, date and hour</w:t>
      </w:r>
      <w:r>
        <w:rPr>
          <w:rFonts w:ascii="Arial" w:cs="Arial" w:eastAsia="Arial" w:hAnsi="Arial"/>
          <w:sz w:val="22"/>
          <w:szCs w:val="22"/>
          <w:b w:val="1"/>
          <w:bCs w:val="1"/>
          <w:color w:val="auto"/>
        </w:rPr>
        <w:t xml:space="preserve"> </w:t>
      </w:r>
      <w:r>
        <w:rPr>
          <w:rFonts w:ascii="Arial" w:cs="Arial" w:eastAsia="Arial" w:hAnsi="Arial"/>
          <w:sz w:val="22"/>
          <w:szCs w:val="22"/>
          <w:color w:val="auto"/>
        </w:rPr>
        <w:t>of the meeting shall be given to each stockholder entitled to vote at such meeting not less than ten (10) nor more than sixty (60) days before the date of the meeting.</w:t>
      </w:r>
    </w:p>
    <w:p>
      <w:pPr>
        <w:spacing w:after="0" w:line="17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Section 2.04 List of Stockholders. </w:t>
      </w:r>
      <w:r>
        <w:rPr>
          <w:rFonts w:ascii="Arial" w:cs="Arial" w:eastAsia="Arial" w:hAnsi="Arial"/>
          <w:sz w:val="21"/>
          <w:szCs w:val="21"/>
          <w:color w:val="auto"/>
        </w:rPr>
        <w:t>The officer who has charge of the stock ledger of the corporation shall</w:t>
      </w:r>
      <w:r>
        <w:rPr>
          <w:rFonts w:ascii="Arial" w:cs="Arial" w:eastAsia="Arial" w:hAnsi="Arial"/>
          <w:sz w:val="21"/>
          <w:szCs w:val="21"/>
          <w:b w:val="1"/>
          <w:bCs w:val="1"/>
          <w:color w:val="auto"/>
        </w:rPr>
        <w:t xml:space="preserve"> </w:t>
      </w:r>
      <w:r>
        <w:rPr>
          <w:rFonts w:ascii="Arial" w:cs="Arial" w:eastAsia="Arial" w:hAnsi="Arial"/>
          <w:sz w:val="21"/>
          <w:szCs w:val="21"/>
          <w:color w:val="auto"/>
        </w:rPr>
        <w:t>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at least ten days prior to the meeting in the manner required by Section 219 of the General Corporation Law of the State of Delaware. The list shall also be produced and kept at the time and place of the meeting during the whole time thereof, and may be inspected by any stockholder who is present.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60" w:name="page61"/>
    <w:bookmarkEnd w:id="60"/>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2.05 Special Meetings of Stockholders. </w:t>
      </w:r>
      <w:r>
        <w:rPr>
          <w:rFonts w:ascii="Arial" w:cs="Arial" w:eastAsia="Arial" w:hAnsi="Arial"/>
          <w:sz w:val="19"/>
          <w:szCs w:val="19"/>
          <w:color w:val="auto"/>
        </w:rPr>
        <w:t>Special meetings of the stockholders for any purpose or</w:t>
      </w:r>
      <w:r>
        <w:rPr>
          <w:rFonts w:ascii="Arial" w:cs="Arial" w:eastAsia="Arial" w:hAnsi="Arial"/>
          <w:sz w:val="19"/>
          <w:szCs w:val="19"/>
          <w:b w:val="1"/>
          <w:bCs w:val="1"/>
          <w:color w:val="auto"/>
        </w:rPr>
        <w:t xml:space="preserve"> </w:t>
      </w:r>
      <w:r>
        <w:rPr>
          <w:rFonts w:ascii="Arial" w:cs="Arial" w:eastAsia="Arial" w:hAnsi="Arial"/>
          <w:sz w:val="19"/>
          <w:szCs w:val="19"/>
          <w:color w:val="auto"/>
        </w:rPr>
        <w:t>purposes, unless otherwise prescribed by statute may be called by the Chair of the Board and shall be called by the Chair of the Board or Secretary at the request in writing of the board of directors, or at the request in writing (and not by electronic transmission) signed by stockholders owning 50% in amount of the entire capital stock of the corporation issued and outstanding and entitled to vote thereon, delivered by registered mail or hand delivery to the Secretary of the corporation. Each such request shall state the purpose or purposes of the proposed meeting (and the nominees for director election, as applicable) and shall set forth all the information that would be required by Section 2.12 of these By-Laws if the proposals (and the nominees for director election, as applicable) were submitted for action at an annual meeting of stockholders. Any stockholder may revoke a request by revocation in writing (and not by electronic transmission) delivered by registered mail or hand delivery to the secretary of the corporation at any time prior to the stockholder-requested special meeting. The board of directors shall fix the date, time and place of all special meetings of stockholders. The board of directors may present business to be transacted at any special meeting called at the request of stockholders, and may fix a record date to determine the stockholders entitled to deliver requests for a special meeting.</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b w:val="1"/>
          <w:bCs w:val="1"/>
          <w:color w:val="auto"/>
        </w:rPr>
        <w:t>Section 2.06</w:t>
      </w:r>
      <w:r>
        <w:rPr>
          <w:sz w:val="20"/>
          <w:szCs w:val="20"/>
          <w:color w:val="auto"/>
        </w:rPr>
        <w:tab/>
      </w:r>
      <w:r>
        <w:rPr>
          <w:rFonts w:ascii="Arial" w:cs="Arial" w:eastAsia="Arial" w:hAnsi="Arial"/>
          <w:sz w:val="19"/>
          <w:szCs w:val="19"/>
          <w:b w:val="1"/>
          <w:bCs w:val="1"/>
          <w:color w:val="auto"/>
        </w:rPr>
        <w:t xml:space="preserve">Notice of Special Meetings of Stockholders. </w:t>
      </w:r>
      <w:r>
        <w:rPr>
          <w:rFonts w:ascii="Arial" w:cs="Arial" w:eastAsia="Arial" w:hAnsi="Arial"/>
          <w:sz w:val="19"/>
          <w:szCs w:val="19"/>
          <w:color w:val="auto"/>
        </w:rPr>
        <w:t>Written notice of a special meeting stating the place,</w:t>
      </w:r>
    </w:p>
    <w:p>
      <w:pPr>
        <w:spacing w:after="0" w:line="14"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date and hour of the meeting and the purpose or purposes for which the meeting is called, shall be given not less than ten nor more than sixty days before the date of the meeting, to each stockholder entitled to vote at such meeting.</w:t>
      </w:r>
    </w:p>
    <w:p>
      <w:pPr>
        <w:spacing w:after="0" w:line="1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Section 2.07 Quorum. </w:t>
      </w:r>
      <w:r>
        <w:rPr>
          <w:rFonts w:ascii="Arial" w:cs="Arial" w:eastAsia="Arial" w:hAnsi="Arial"/>
          <w:sz w:val="19"/>
          <w:szCs w:val="19"/>
          <w:color w:val="auto"/>
        </w:rPr>
        <w:t>The holders of a majority of the stock issued and outstanding and entitled to vote thereat,</w:t>
      </w:r>
      <w:r>
        <w:rPr>
          <w:rFonts w:ascii="Arial" w:cs="Arial" w:eastAsia="Arial" w:hAnsi="Arial"/>
          <w:sz w:val="19"/>
          <w:szCs w:val="19"/>
          <w:b w:val="1"/>
          <w:bCs w:val="1"/>
          <w:color w:val="auto"/>
        </w:rPr>
        <w:t xml:space="preserve"> </w:t>
      </w:r>
      <w:r>
        <w:rPr>
          <w:rFonts w:ascii="Arial" w:cs="Arial" w:eastAsia="Arial" w:hAnsi="Arial"/>
          <w:sz w:val="19"/>
          <w:szCs w:val="19"/>
          <w:color w:val="auto"/>
        </w:rPr>
        <w:t>present in person or represented by proxy, shall constitute a quorum at all meetings of the stockholder for the transaction of business except as otherwise provided by statute or by the Certificate of Incorporation. If, however, such quorum shall not be present or represented at any meeting of the stockholders, the chair of the meeting or the stockholders entitled to vote thereat, present in person or represented by proxy, shall have the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5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2.08 Majority Voting. </w:t>
      </w:r>
      <w:r>
        <w:rPr>
          <w:rFonts w:ascii="Arial" w:cs="Arial" w:eastAsia="Arial" w:hAnsi="Arial"/>
          <w:sz w:val="22"/>
          <w:szCs w:val="22"/>
          <w:color w:val="auto"/>
        </w:rPr>
        <w:t>When a quorum is present at any meeting, the affirmative vote of the holders of</w:t>
      </w:r>
      <w:r>
        <w:rPr>
          <w:rFonts w:ascii="Arial" w:cs="Arial" w:eastAsia="Arial" w:hAnsi="Arial"/>
          <w:sz w:val="22"/>
          <w:szCs w:val="22"/>
          <w:b w:val="1"/>
          <w:bCs w:val="1"/>
          <w:color w:val="auto"/>
        </w:rPr>
        <w:t xml:space="preserve"> </w:t>
      </w:r>
      <w:r>
        <w:rPr>
          <w:rFonts w:ascii="Arial" w:cs="Arial" w:eastAsia="Arial" w:hAnsi="Arial"/>
          <w:sz w:val="22"/>
          <w:szCs w:val="22"/>
          <w:color w:val="auto"/>
        </w:rPr>
        <w:t>a majority of the voting power of the stock present in person or represented by proxy and entitled to vote on the subject matter shall decide any question brought before such meeting, unless the question is one upon which by express provision of the statutes or of the Certificate of Incorporation or these By-Laws, a different vote is required in which case such express provision shall govern and control the decision of such question.</w:t>
      </w:r>
    </w:p>
    <w:p>
      <w:pPr>
        <w:spacing w:after="0" w:line="18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2.09 Voting Rights. </w:t>
      </w:r>
      <w:r>
        <w:rPr>
          <w:rFonts w:ascii="Arial" w:cs="Arial" w:eastAsia="Arial" w:hAnsi="Arial"/>
          <w:sz w:val="22"/>
          <w:szCs w:val="22"/>
          <w:color w:val="auto"/>
        </w:rPr>
        <w:t>Unless otherwise provided in the Certificate of Incorporation each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at every meeting of the stockholders be entitled to one vote in person or by proxy for each share of the capital stock having voting power held by such stockholder, but no proxy shall be voted on after three years from its date, unless allowed by the laws of the State of Delaware or unless the proxy provides for a longer period.</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Section 2.10 Conduct of Meeting. </w:t>
      </w:r>
      <w:r>
        <w:rPr>
          <w:rFonts w:ascii="Arial" w:cs="Arial" w:eastAsia="Arial" w:hAnsi="Arial"/>
          <w:sz w:val="19"/>
          <w:szCs w:val="19"/>
          <w:color w:val="auto"/>
        </w:rPr>
        <w:t>The Chair of the Board, or any other person designated by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or the Chair of the Board, shall act as chair of and preside at any meeting of the stockholders. Each of the chair of the meeting and the board of directors shall have the authority to adopt and enforce rules for conducting the meeting, including to determine when the polls will open and close on business, the order of conducting business and rules requiring advance notice to the corporation of stockholder attendance. The chair of the meeting may adjourn or recess any meeting of stockholders.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1" w:name="page62"/>
    <w:bookmarkEnd w:id="61"/>
    <w:p>
      <w:pPr>
        <w:ind w:left="660"/>
        <w:spacing w:after="0"/>
        <w:tabs>
          <w:tab w:leader="none" w:pos="2680" w:val="left"/>
        </w:tabs>
        <w:rPr>
          <w:sz w:val="20"/>
          <w:szCs w:val="20"/>
          <w:color w:val="auto"/>
        </w:rPr>
      </w:pPr>
      <w:r>
        <w:rPr>
          <w:rFonts w:ascii="Arial" w:cs="Arial" w:eastAsia="Arial" w:hAnsi="Arial"/>
          <w:sz w:val="22"/>
          <w:szCs w:val="22"/>
          <w:b w:val="1"/>
          <w:bCs w:val="1"/>
          <w:color w:val="auto"/>
        </w:rPr>
        <w:t>Section 2.11</w:t>
      </w:r>
      <w:r>
        <w:rPr>
          <w:sz w:val="20"/>
          <w:szCs w:val="20"/>
          <w:color w:val="auto"/>
        </w:rPr>
        <w:tab/>
      </w:r>
      <w:r>
        <w:rPr>
          <w:rFonts w:ascii="Arial" w:cs="Arial" w:eastAsia="Arial" w:hAnsi="Arial"/>
          <w:sz w:val="19"/>
          <w:szCs w:val="19"/>
          <w:b w:val="1"/>
          <w:bCs w:val="1"/>
          <w:color w:val="auto"/>
        </w:rPr>
        <w:t xml:space="preserve">Submission of Information by Director Nominees. </w:t>
      </w:r>
      <w:r>
        <w:rPr>
          <w:rFonts w:ascii="Arial" w:cs="Arial" w:eastAsia="Arial" w:hAnsi="Arial"/>
          <w:sz w:val="19"/>
          <w:szCs w:val="19"/>
          <w:color w:val="auto"/>
        </w:rPr>
        <w:t>To be eligible for election or re-election as a</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director of the corporation, a person must deliver in writing to the Secretary at the principal executive offices of the corporation (by registered mail or hand delivery) the following:</w:t>
      </w:r>
    </w:p>
    <w:p>
      <w:pPr>
        <w:spacing w:after="0" w:line="200" w:lineRule="exact"/>
        <w:rPr>
          <w:sz w:val="20"/>
          <w:szCs w:val="20"/>
          <w:color w:val="auto"/>
        </w:rPr>
      </w:pPr>
    </w:p>
    <w:p>
      <w:pPr>
        <w:spacing w:after="0" w:line="230" w:lineRule="exact"/>
        <w:rPr>
          <w:sz w:val="20"/>
          <w:szCs w:val="20"/>
          <w:color w:val="auto"/>
        </w:rPr>
      </w:pPr>
    </w:p>
    <w:p>
      <w:pPr>
        <w:jc w:val="both"/>
        <w:ind w:firstLine="656"/>
        <w:spacing w:after="0" w:line="297" w:lineRule="auto"/>
        <w:tabs>
          <w:tab w:leader="none" w:pos="1507"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statement that such person is not (and will not become) a party to any agreement or understanding with any person other than the corporation with respect to any direct or indirect compensation, reimbursement or indemnification in connection with service or action as a nominee or as a director that has not been disclosed to the corporation;</w:t>
      </w:r>
    </w:p>
    <w:p>
      <w:pPr>
        <w:spacing w:after="0" w:line="133" w:lineRule="exact"/>
        <w:rPr>
          <w:rFonts w:ascii="Arial" w:cs="Arial" w:eastAsia="Arial" w:hAnsi="Arial"/>
          <w:sz w:val="19"/>
          <w:szCs w:val="19"/>
          <w:color w:val="auto"/>
        </w:rPr>
      </w:pPr>
    </w:p>
    <w:p>
      <w:pPr>
        <w:jc w:val="both"/>
        <w:ind w:firstLine="656"/>
        <w:spacing w:after="0" w:line="238" w:lineRule="auto"/>
        <w:tabs>
          <w:tab w:leader="none" w:pos="1439"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statement that such person, if elected or re-elected as a director, intends to comply with all policies, principles and guidelines of the corporation with respect to codes of conduct, corporate governance, conflict of interest, confidentiality, stock ownership and trading applicable to directors of the corporation, which will be promptly provided following a request therefor;</w:t>
      </w:r>
    </w:p>
    <w:p>
      <w:pPr>
        <w:spacing w:after="0" w:line="184" w:lineRule="exact"/>
        <w:rPr>
          <w:rFonts w:ascii="Arial" w:cs="Arial" w:eastAsia="Arial" w:hAnsi="Arial"/>
          <w:sz w:val="22"/>
          <w:szCs w:val="22"/>
          <w:color w:val="auto"/>
        </w:rPr>
      </w:pPr>
    </w:p>
    <w:p>
      <w:pPr>
        <w:jc w:val="both"/>
        <w:ind w:firstLine="656"/>
        <w:spacing w:after="0" w:line="282" w:lineRule="auto"/>
        <w:tabs>
          <w:tab w:leader="none" w:pos="1399"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all completed and signed questionnaires requested by the corporation (including those questionnaires required of the corporation’s current or prospective directors and any other questionnaire the corporation determines is necessary or advisable to assess whether a nominee will satisfy any qualifications or requirements imposed by the Certificate of Incorporation, these By-Laws, the corporation’s corporate governance policies or any law, rule, regulation or listing requirement that may be applicable to the corporation), which will be promptly provided following a request therefor; and</w:t>
      </w:r>
    </w:p>
    <w:p>
      <w:pPr>
        <w:spacing w:after="0" w:line="147" w:lineRule="exact"/>
        <w:rPr>
          <w:rFonts w:ascii="Arial" w:cs="Arial" w:eastAsia="Arial" w:hAnsi="Arial"/>
          <w:sz w:val="19"/>
          <w:szCs w:val="19"/>
          <w:color w:val="auto"/>
        </w:rPr>
      </w:pPr>
    </w:p>
    <w:p>
      <w:pPr>
        <w:jc w:val="both"/>
        <w:ind w:firstLine="656"/>
        <w:spacing w:after="0" w:line="257" w:lineRule="auto"/>
        <w:tabs>
          <w:tab w:leader="none" w:pos="1331" w:val="left"/>
        </w:tabs>
        <w:numPr>
          <w:ilvl w:val="0"/>
          <w:numId w:val="28"/>
        </w:numPr>
        <w:rPr>
          <w:rFonts w:ascii="Arial" w:cs="Arial" w:eastAsia="Arial" w:hAnsi="Arial"/>
          <w:sz w:val="21"/>
          <w:szCs w:val="21"/>
          <w:color w:val="auto"/>
        </w:rPr>
      </w:pPr>
      <w:r>
        <w:rPr>
          <w:rFonts w:ascii="Arial" w:cs="Arial" w:eastAsia="Arial" w:hAnsi="Arial"/>
          <w:sz w:val="21"/>
          <w:szCs w:val="21"/>
          <w:color w:val="auto"/>
        </w:rPr>
        <w:t>for each prospective director, such person’s written consent authorizing the corporation to run a background check in accordance with the corporation’s policy for prospective directors and such person’s agreement to provide any information requested by the corporation that is necessary to run such background check.</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22"/>
          <w:szCs w:val="22"/>
          <w:b w:val="1"/>
          <w:bCs w:val="1"/>
          <w:color w:val="auto"/>
        </w:rPr>
        <w:t>Section 2.12</w:t>
      </w:r>
      <w:r>
        <w:rPr>
          <w:sz w:val="20"/>
          <w:szCs w:val="20"/>
          <w:color w:val="auto"/>
        </w:rPr>
        <w:tab/>
      </w:r>
      <w:r>
        <w:rPr>
          <w:rFonts w:ascii="Arial" w:cs="Arial" w:eastAsia="Arial" w:hAnsi="Arial"/>
          <w:sz w:val="19"/>
          <w:szCs w:val="19"/>
          <w:b w:val="1"/>
          <w:bCs w:val="1"/>
          <w:color w:val="auto"/>
        </w:rPr>
        <w:t>Notice of Stockholder Business and Nominations.</w:t>
      </w:r>
    </w:p>
    <w:p>
      <w:pPr>
        <w:spacing w:after="0" w:line="212" w:lineRule="exact"/>
        <w:rPr>
          <w:sz w:val="20"/>
          <w:szCs w:val="20"/>
          <w:color w:val="auto"/>
        </w:rPr>
      </w:pPr>
    </w:p>
    <w:p>
      <w:pPr>
        <w:jc w:val="both"/>
        <w:ind w:firstLine="1304"/>
        <w:spacing w:after="0" w:line="275" w:lineRule="auto"/>
        <w:tabs>
          <w:tab w:leader="none" w:pos="2020" w:val="left"/>
        </w:tabs>
        <w:numPr>
          <w:ilvl w:val="0"/>
          <w:numId w:val="29"/>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and the proposal of business to be transacted by the stockholders may be made at an annual meeting of stockholders (a) pursuant to the corporation’s proxy materials with respect to such meeting, (b) by or at the direction of the board of directors, or (c) by any stockholder of record of the corporation (the “Record Stockholder”) at the time of the giving of the notice required in the following paragraph, who is entitled to vote at the meeting and who has complied with the notice procedures set forth in this section. For the avoidance of doubt, the foregoing clause (c)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“Exchange Act”)) at an annual meeting of stockholders.</w:t>
      </w:r>
    </w:p>
    <w:p>
      <w:pPr>
        <w:spacing w:after="0" w:line="157" w:lineRule="exact"/>
        <w:rPr>
          <w:rFonts w:ascii="Arial" w:cs="Arial" w:eastAsia="Arial" w:hAnsi="Arial"/>
          <w:sz w:val="19"/>
          <w:szCs w:val="19"/>
          <w:color w:val="auto"/>
        </w:rPr>
      </w:pPr>
    </w:p>
    <w:p>
      <w:pPr>
        <w:jc w:val="both"/>
        <w:ind w:firstLine="1304"/>
        <w:spacing w:after="0" w:line="270" w:lineRule="auto"/>
        <w:tabs>
          <w:tab w:leader="none" w:pos="2141" w:val="left"/>
        </w:tabs>
        <w:numPr>
          <w:ilvl w:val="0"/>
          <w:numId w:val="29"/>
        </w:numPr>
        <w:rPr>
          <w:rFonts w:ascii="Arial" w:cs="Arial" w:eastAsia="Arial" w:hAnsi="Arial"/>
          <w:sz w:val="19"/>
          <w:szCs w:val="19"/>
          <w:color w:val="auto"/>
        </w:rPr>
      </w:pPr>
      <w:r>
        <w:rPr>
          <w:rFonts w:ascii="Arial" w:cs="Arial" w:eastAsia="Arial" w:hAnsi="Arial"/>
          <w:sz w:val="19"/>
          <w:szCs w:val="19"/>
          <w:color w:val="auto"/>
        </w:rPr>
        <w:t>For nominations or business to be properly brought before an annual meeting by a Record Stockholder pursuant to clause (c) of the foregoing paragraph, (a) the Record Stockholder must have given timely notice thereof in writing (and not by electronic transmission) to the Secretary of the corporation, (b) any such business must be a proper matter for stockholder action under Delaware law and (c) the Record Stockholder and the beneficial owner, if any, on whose behalf any such proposal or nomination is made, must have acted in accordance with the representations set forth in the Solicitation Statement required by Section 2.12(3)(c)(iv) of these By-Laws. To be timely, a Record Stockholder’s notice shall be received by the Secretary at the principal executive offices of the corporation not less than 60 or more than 90 days prior to the one-year anniversary of the date on which the corporation first mailed its proxy materials for the preceding year’s annual meeting of stockholders; provided, however, that, subject to the last sentence of this Section 2.12(2), if the meeting is convened more than 30 days prior to or delayed by more than 30 days after the anniversary of the preceding year’s annual meeting, or if no annual meeting was held in the preceding year, notice by the Record Stockholder to be timely must be so received not later than the close of business on the later of (i) the 90th day before such annual meeting or (ii) the 10th day following the day on which public announcement of the date of such meeting is first made. Notwithstanding anything in the preceding sentence to the contrary, in the event that the number of directors to be elected to the board of directors is increased and there has been no public announcement naming all of the nominees for director or indicating the increase in the size of the board of directors made by the corporation at least 10 days before the last day a Record Stockholder may deliver a notice of nomination in accordance with the preceding sentence, a Record Stockholder’s notice required by this bylaw shall also be considered timely, but only with respect to nominees for any new positions created by such increase, if it shall be received by the Secretary at the principal executive offices of the corporation not later than the close of business on the 10th day following the day on which such public announcement is first made by the corporation. In no event shall an adjournment, or postponement of an annual meeting for which notice has been given, commence a new time period for the giving of a Record Stockholder’s notice.</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62" w:name="page63"/>
    <w:bookmarkEnd w:id="62"/>
    <w:p>
      <w:pPr>
        <w:ind w:left="1980" w:hanging="676"/>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Such Record Stockholder’s notice shall set forth:</w:t>
      </w:r>
    </w:p>
    <w:p>
      <w:pPr>
        <w:spacing w:after="0" w:line="206" w:lineRule="exact"/>
        <w:rPr>
          <w:sz w:val="20"/>
          <w:szCs w:val="20"/>
          <w:color w:val="auto"/>
        </w:rPr>
      </w:pPr>
    </w:p>
    <w:p>
      <w:pPr>
        <w:jc w:val="both"/>
        <w:ind w:firstLine="1304"/>
        <w:spacing w:after="0" w:line="236" w:lineRule="auto"/>
        <w:tabs>
          <w:tab w:leader="none" w:pos="2107" w:val="left"/>
        </w:tabs>
        <w:numPr>
          <w:ilvl w:val="0"/>
          <w:numId w:val="31"/>
        </w:numPr>
        <w:rPr>
          <w:rFonts w:ascii="Arial" w:cs="Arial" w:eastAsia="Arial" w:hAnsi="Arial"/>
          <w:sz w:val="22"/>
          <w:szCs w:val="22"/>
          <w:color w:val="auto"/>
        </w:rPr>
      </w:pPr>
      <w:r>
        <w:rPr>
          <w:rFonts w:ascii="Arial" w:cs="Arial" w:eastAsia="Arial" w:hAnsi="Arial"/>
          <w:sz w:val="22"/>
          <w:szCs w:val="22"/>
          <w:color w:val="auto"/>
        </w:rPr>
        <w:t>if such notice pertains to the nomination of directors, as to each person whom the Record Stockholder proposes to nominate for election or reelection as a director, all information relating to such person as would be required to be disclosed in solicitations of proxies for the election of such nominees as directors pursuant to Regulation 14A under the Exchange Act, such person’s written consent to serve as a director for the full term if elected, and all information required to be submitted under Section 2.11 of these By-Laws;</w:t>
      </w:r>
    </w:p>
    <w:p>
      <w:pPr>
        <w:spacing w:after="0" w:line="187" w:lineRule="exact"/>
        <w:rPr>
          <w:rFonts w:ascii="Arial" w:cs="Arial" w:eastAsia="Arial" w:hAnsi="Arial"/>
          <w:sz w:val="22"/>
          <w:szCs w:val="22"/>
          <w:color w:val="auto"/>
        </w:rPr>
      </w:pPr>
    </w:p>
    <w:p>
      <w:pPr>
        <w:jc w:val="both"/>
        <w:ind w:firstLine="1304"/>
        <w:spacing w:after="0" w:line="257" w:lineRule="auto"/>
        <w:tabs>
          <w:tab w:leader="none" w:pos="1957" w:val="left"/>
        </w:tabs>
        <w:numPr>
          <w:ilvl w:val="0"/>
          <w:numId w:val="31"/>
        </w:numPr>
        <w:rPr>
          <w:rFonts w:ascii="Arial" w:cs="Arial" w:eastAsia="Arial" w:hAnsi="Arial"/>
          <w:sz w:val="21"/>
          <w:szCs w:val="21"/>
          <w:color w:val="auto"/>
        </w:rPr>
      </w:pPr>
      <w:r>
        <w:rPr>
          <w:rFonts w:ascii="Arial" w:cs="Arial" w:eastAsia="Arial" w:hAnsi="Arial"/>
          <w:sz w:val="21"/>
          <w:szCs w:val="21"/>
          <w:color w:val="auto"/>
        </w:rPr>
        <w:t>as to any business that the Record Stockholder proposes to bring before the meeting, a brief description of such business, the reasons for conducting such business at the meeting and any material interest in such business of such Record Stockholder and the beneficial owner, if any, on whose behalf the proposal is made; and</w:t>
      </w:r>
    </w:p>
    <w:p>
      <w:pPr>
        <w:spacing w:after="0" w:line="169" w:lineRule="exact"/>
        <w:rPr>
          <w:rFonts w:ascii="Arial" w:cs="Arial" w:eastAsia="Arial" w:hAnsi="Arial"/>
          <w:sz w:val="21"/>
          <w:szCs w:val="21"/>
          <w:color w:val="auto"/>
        </w:rPr>
      </w:pPr>
    </w:p>
    <w:p>
      <w:pPr>
        <w:ind w:right="20" w:firstLine="1304"/>
        <w:spacing w:after="0" w:line="250" w:lineRule="auto"/>
        <w:tabs>
          <w:tab w:leader="none" w:pos="1918" w:val="left"/>
        </w:tabs>
        <w:numPr>
          <w:ilvl w:val="0"/>
          <w:numId w:val="31"/>
        </w:numPr>
        <w:rPr>
          <w:rFonts w:ascii="Arial" w:cs="Arial" w:eastAsia="Arial" w:hAnsi="Arial"/>
          <w:sz w:val="22"/>
          <w:szCs w:val="22"/>
          <w:color w:val="auto"/>
        </w:rPr>
      </w:pPr>
      <w:r>
        <w:rPr>
          <w:rFonts w:ascii="Arial" w:cs="Arial" w:eastAsia="Arial" w:hAnsi="Arial"/>
          <w:sz w:val="22"/>
          <w:szCs w:val="22"/>
          <w:color w:val="auto"/>
        </w:rPr>
        <w:t>as to (1) the Record Stockholder giving the notice and (2) the beneficial owner, if any, on whose behalf the nomination or proposal is made (each, a “party”):</w:t>
      </w:r>
    </w:p>
    <w:p>
      <w:pPr>
        <w:spacing w:after="0" w:line="175" w:lineRule="exact"/>
        <w:rPr>
          <w:sz w:val="20"/>
          <w:szCs w:val="20"/>
          <w:color w:val="auto"/>
        </w:rPr>
      </w:pPr>
    </w:p>
    <w:p>
      <w:pPr>
        <w:ind w:left="1940" w:hanging="636"/>
        <w:spacing w:after="0"/>
        <w:tabs>
          <w:tab w:leader="none" w:pos="19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name and address of each such party;</w:t>
      </w:r>
    </w:p>
    <w:p>
      <w:pPr>
        <w:spacing w:after="0" w:line="206" w:lineRule="exact"/>
        <w:rPr>
          <w:rFonts w:ascii="Arial" w:cs="Arial" w:eastAsia="Arial" w:hAnsi="Arial"/>
          <w:sz w:val="22"/>
          <w:szCs w:val="22"/>
          <w:color w:val="auto"/>
        </w:rPr>
      </w:pPr>
    </w:p>
    <w:p>
      <w:pPr>
        <w:jc w:val="both"/>
        <w:ind w:firstLine="1304"/>
        <w:spacing w:after="0" w:line="269" w:lineRule="auto"/>
        <w:tabs>
          <w:tab w:leader="none" w:pos="2302"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the class, series, and number of shares of the corporation that are owned, directly or indirectly, beneficially and of record by each such party,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 directly or indirectly owned beneficially by each such party, and any other direct or indirect opportunity to profit or share in any profit derived from any increase or decrease in the value of shares of the corporation, (C) any proxy, contract, arrangement, understanding, or relationship pursuant to which either party has a right to vote, directly or indirectly, any shares of any security of the corporation, (D) any short interest in any security of the corporation held by each such party (for purposes of this Section 2.12(3),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corporation owned beneficially directly or indirectly by each such party that are separated or separable from the underlying shares of the corporation, (F) any proportionate interest in shares of the corporation or Derivative Instruments held, directly or indirectly, by a general or limited partnership in which either party is a general partner or, directly or indirectly, beneficially owns an interest in a general partner and (G) any performance-related fees (other than an asset-based fee) to which each such party is directly or indirectly entitled based on any increase or decrease in the value of shares of the corporation or Derivative Instruments, if any, as of the date of such 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10 days after the record date for determining the stockholders entitled to vote at the meeting; provided, that if such date is after the date of the meeting, not later than the day prior to the meeting);</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4"/>
        <w:spacing w:after="0"/>
        <w:tabs>
          <w:tab w:leader="none" w:pos="2335"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other information relating to each such party that would be required to be disclosed in a proxy statement or other filings required to be made in connection with solicitations of proxies for, as applicable, the proposal and/or the election of directors in a contested election pursuant to Section 14 of the Exchange Act;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jc w:val="both"/>
        <w:ind w:firstLine="1304"/>
        <w:spacing w:after="0" w:line="257" w:lineRule="auto"/>
        <w:tabs>
          <w:tab w:leader="none" w:pos="2066" w:val="left"/>
        </w:tabs>
        <w:numPr>
          <w:ilvl w:val="0"/>
          <w:numId w:val="33"/>
        </w:numPr>
        <w:rPr>
          <w:rFonts w:ascii="Arial" w:cs="Arial" w:eastAsia="Arial" w:hAnsi="Arial"/>
          <w:sz w:val="21"/>
          <w:szCs w:val="21"/>
          <w:color w:val="auto"/>
        </w:rPr>
      </w:pPr>
      <w:r>
        <w:rPr>
          <w:rFonts w:ascii="Arial" w:cs="Arial" w:eastAsia="Arial" w:hAnsi="Arial"/>
          <w:sz w:val="21"/>
          <w:szCs w:val="21"/>
          <w:color w:val="auto"/>
        </w:rPr>
        <w:t>a statement whether or not each such party will deliver a proxy statement and form of proxy to holders of at least a majority of the voting power of the common stock outstanding and/or intends otherwise to solicit proxies from stockholders in support of such proposal or nomination (such statement, a “Solicitation Statement”).</w:t>
      </w:r>
    </w:p>
    <w:p>
      <w:pPr>
        <w:spacing w:after="0" w:line="200" w:lineRule="exact"/>
        <w:rPr>
          <w:sz w:val="20"/>
          <w:szCs w:val="20"/>
          <w:color w:val="auto"/>
        </w:rPr>
      </w:pPr>
    </w:p>
    <w:p>
      <w:pPr>
        <w:spacing w:after="0" w:line="212" w:lineRule="exact"/>
        <w:rPr>
          <w:sz w:val="20"/>
          <w:szCs w:val="20"/>
          <w:color w:val="auto"/>
        </w:rPr>
      </w:pPr>
    </w:p>
    <w:p>
      <w:pPr>
        <w:jc w:val="both"/>
        <w:ind w:firstLine="1304"/>
        <w:spacing w:after="0" w:line="236" w:lineRule="auto"/>
        <w:tabs>
          <w:tab w:leader="none" w:pos="2006" w:val="left"/>
        </w:tabs>
        <w:numPr>
          <w:ilvl w:val="0"/>
          <w:numId w:val="34"/>
        </w:numPr>
        <w:rPr>
          <w:rFonts w:ascii="Arial" w:cs="Arial" w:eastAsia="Arial" w:hAnsi="Arial"/>
          <w:sz w:val="22"/>
          <w:szCs w:val="22"/>
          <w:color w:val="auto"/>
        </w:rPr>
      </w:pPr>
      <w:r>
        <w:rPr>
          <w:rFonts w:ascii="Arial" w:cs="Arial" w:eastAsia="Arial" w:hAnsi="Arial"/>
          <w:sz w:val="22"/>
          <w:szCs w:val="22"/>
          <w:color w:val="auto"/>
        </w:rPr>
        <w:t>A person shall not be eligible for election or re-election as a director at an annual meeting of stockholders, and no other business shall be conducted at an annual meeting of stockholders, in each case, except in accordance with the procedures set forth in this section. The chair of the meeting shall have the power and authority to determine whether a nomination or any business proposed to be brought before the meeting has been made in accordance with the procedures set forth in these By-Laws.</w:t>
      </w:r>
    </w:p>
    <w:p>
      <w:pPr>
        <w:spacing w:after="0" w:line="187" w:lineRule="exact"/>
        <w:rPr>
          <w:rFonts w:ascii="Arial" w:cs="Arial" w:eastAsia="Arial" w:hAnsi="Arial"/>
          <w:sz w:val="22"/>
          <w:szCs w:val="22"/>
          <w:color w:val="auto"/>
        </w:rPr>
      </w:pPr>
    </w:p>
    <w:p>
      <w:pPr>
        <w:jc w:val="both"/>
        <w:ind w:firstLine="1304"/>
        <w:spacing w:after="0" w:line="270" w:lineRule="auto"/>
        <w:tabs>
          <w:tab w:leader="none" w:pos="2303"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may be made at a special meeting of stockholders at which directors are to be elected pursuant to the corporation’s notice of meeting: (i) by or at the direction of the board of directors; or (ii) by any stockholder of the corporation who is a Record Stockholder at the time the notice provided for in this Section 2.12(5) is delivered to the secretary of the corporation, who is entitled to vote at the meeting and who delivers notice thereof in writing (and not by electronic transmission) setting forth the information required by Section 2.12(3) above and provides the additional information required by Section 2.11 above. In the event the corporation calls a special meeting of stockholders (other than a stockholder-requested special meeting) for the purpose of electing one or more directors to the board of directors, any Record Stockholder entitled to vote in such election of directors may nominate a person or persons (as the case may be) for election to such position(s) as specified in the corporation’s notice of meeting, if the notice required by this Section 2.12(5) shall be received by the Secretary at the principal executive offices of the corporation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an adjournment, or postponement of a special meeting for which notice has been given, commence a new time period for the giving of a stockholder of record’s notice. Notwithstanding any other provision of these By-Laws, in the case of a stockholder-requested special meeting, no stockholder may nominate a person for election to the board of directors or propose any other business to be considered at the meeting, except for the nominations and/or business set forth in the written request(s) delivered for such special meeting pursuant to Section 2.05.</w:t>
      </w:r>
    </w:p>
    <w:p>
      <w:pPr>
        <w:spacing w:after="0" w:line="168" w:lineRule="exact"/>
        <w:rPr>
          <w:rFonts w:ascii="Arial" w:cs="Arial" w:eastAsia="Arial" w:hAnsi="Arial"/>
          <w:sz w:val="19"/>
          <w:szCs w:val="19"/>
          <w:color w:val="auto"/>
        </w:rPr>
      </w:pPr>
    </w:p>
    <w:p>
      <w:pPr>
        <w:jc w:val="both"/>
        <w:ind w:firstLine="1304"/>
        <w:spacing w:after="0" w:line="297" w:lineRule="auto"/>
        <w:tabs>
          <w:tab w:leader="none" w:pos="2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For purposes of these By-Laws,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33" w:lineRule="exact"/>
        <w:rPr>
          <w:rFonts w:ascii="Arial" w:cs="Arial" w:eastAsia="Arial" w:hAnsi="Arial"/>
          <w:sz w:val="19"/>
          <w:szCs w:val="19"/>
          <w:color w:val="auto"/>
        </w:rPr>
      </w:pPr>
    </w:p>
    <w:p>
      <w:pPr>
        <w:jc w:val="both"/>
        <w:ind w:firstLine="1304"/>
        <w:spacing w:after="0" w:line="238" w:lineRule="auto"/>
        <w:tabs>
          <w:tab w:leader="none" w:pos="2155" w:val="left"/>
        </w:tabs>
        <w:numPr>
          <w:ilvl w:val="0"/>
          <w:numId w:val="34"/>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2.12, a Record Stockholder shall also comply with all applicable requirements of the Exchange Act with respect to matters set forth in this Section 2.12. Nothing in this Section 2.12 shall be deemed to affect any rights of stockholders to request inclusion of proposals in the corporation’s proxy statement pursuant to Rule 14a-8 under the Exchange Act.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22"/>
          <w:szCs w:val="22"/>
          <w:b w:val="1"/>
          <w:bCs w:val="1"/>
          <w:color w:val="auto"/>
        </w:rPr>
        <w:t>Section 3.01</w:t>
      </w:r>
      <w:r>
        <w:rPr>
          <w:sz w:val="20"/>
          <w:szCs w:val="20"/>
          <w:color w:val="auto"/>
        </w:rPr>
        <w:tab/>
      </w:r>
      <w:r>
        <w:rPr>
          <w:rFonts w:ascii="Arial" w:cs="Arial" w:eastAsia="Arial" w:hAnsi="Arial"/>
          <w:sz w:val="19"/>
          <w:szCs w:val="19"/>
          <w:b w:val="1"/>
          <w:bCs w:val="1"/>
          <w:color w:val="auto"/>
        </w:rPr>
        <w:t xml:space="preserve">Election of Directors. </w:t>
      </w:r>
      <w:r>
        <w:rPr>
          <w:rFonts w:ascii="Arial" w:cs="Arial" w:eastAsia="Arial" w:hAnsi="Arial"/>
          <w:sz w:val="19"/>
          <w:szCs w:val="19"/>
          <w:color w:val="auto"/>
        </w:rPr>
        <w:t>The number of directors which shall constitute the whole board shall be</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determined by resolution adopted by the board of directors. The directors shall be elected at the annual meeting of the stockholders, except as provided in Section 3.02 of this Article.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Section 3.02 Vacancies on Board of Directors. </w:t>
      </w:r>
      <w:r>
        <w:rPr>
          <w:rFonts w:ascii="Arial" w:cs="Arial" w:eastAsia="Arial" w:hAnsi="Arial"/>
          <w:sz w:val="19"/>
          <w:szCs w:val="19"/>
          <w:color w:val="auto"/>
        </w:rPr>
        <w:t>Except as otherwise required by law, vacancies and newly</w:t>
      </w:r>
      <w:r>
        <w:rPr>
          <w:rFonts w:ascii="Arial" w:cs="Arial" w:eastAsia="Arial" w:hAnsi="Arial"/>
          <w:sz w:val="19"/>
          <w:szCs w:val="19"/>
          <w:b w:val="1"/>
          <w:bCs w:val="1"/>
          <w:color w:val="auto"/>
        </w:rPr>
        <w:t xml:space="preserve"> </w:t>
      </w:r>
      <w:r>
        <w:rPr>
          <w:rFonts w:ascii="Arial" w:cs="Arial" w:eastAsia="Arial" w:hAnsi="Arial"/>
          <w:sz w:val="19"/>
          <w:szCs w:val="19"/>
          <w:color w:val="auto"/>
        </w:rPr>
        <w:t>created directorships resulting from any increase in the authorized number of directors may be filled by the affirmative vote of a majority of the directors then in office, though less than a quorum, or by a sole remaining director. Any director appointed in accordance with the preceding sentence shall hold office (a) if appointed prior to the third annual meeting of stockholders following the annual meeting of stockholders in 2022, for a term that shall coincide with the remaining term of that class to which such director has been elected expires or (b) if appointed at or following the third annual meeting of stockholders following the annual meeting of stockholders in 2022, for a term expiring at the next annual meeting of stockholders, and in each case shall serve until such director’s successor has been duly elected and qualified, subject, however, to prior death, resignation, retirement, disqualification or removal from office. No decrease in the number of directors constituting the board shall shorten the term of any incumbent director. 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by law.</w:t>
      </w:r>
    </w:p>
    <w:p>
      <w:pPr>
        <w:spacing w:after="0" w:line="39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3.03 Powers of Board of Directors. </w:t>
      </w:r>
      <w:r>
        <w:rPr>
          <w:rFonts w:ascii="Arial" w:cs="Arial" w:eastAsia="Arial" w:hAnsi="Arial"/>
          <w:sz w:val="22"/>
          <w:szCs w:val="22"/>
          <w:color w:val="auto"/>
        </w:rPr>
        <w:t>The business of the corporation shall be managed by its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which may exercise all such powers of the corporation and do all such lawful acts and things as are not by statute or by the Certificate of Incorporation directed or required to be exercised or done by the stockholders.</w:t>
      </w:r>
    </w:p>
    <w:p>
      <w:pPr>
        <w:spacing w:after="0" w:line="17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3.04 Meetings of Board of Directors. </w:t>
      </w:r>
      <w:r>
        <w:rPr>
          <w:rFonts w:ascii="Arial" w:cs="Arial" w:eastAsia="Arial" w:hAnsi="Arial"/>
          <w:sz w:val="22"/>
          <w:szCs w:val="22"/>
          <w:color w:val="auto"/>
        </w:rPr>
        <w:t>The board of directors of the corporation may hold meetings,</w:t>
      </w:r>
      <w:r>
        <w:rPr>
          <w:rFonts w:ascii="Arial" w:cs="Arial" w:eastAsia="Arial" w:hAnsi="Arial"/>
          <w:sz w:val="22"/>
          <w:szCs w:val="22"/>
          <w:b w:val="1"/>
          <w:bCs w:val="1"/>
          <w:color w:val="auto"/>
        </w:rPr>
        <w:t xml:space="preserve"> </w:t>
      </w:r>
      <w:r>
        <w:rPr>
          <w:rFonts w:ascii="Arial" w:cs="Arial" w:eastAsia="Arial" w:hAnsi="Arial"/>
          <w:sz w:val="22"/>
          <w:szCs w:val="22"/>
          <w:color w:val="auto"/>
        </w:rPr>
        <w:t>both regular and special, either within or without the State of Delaware.</w:t>
      </w:r>
    </w:p>
    <w:p>
      <w:pPr>
        <w:spacing w:after="0" w:line="162"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22"/>
          <w:szCs w:val="22"/>
          <w:b w:val="1"/>
          <w:bCs w:val="1"/>
          <w:color w:val="auto"/>
        </w:rPr>
        <w:t>Section 3.05</w:t>
      </w:r>
      <w:r>
        <w:rPr>
          <w:sz w:val="20"/>
          <w:szCs w:val="20"/>
          <w:color w:val="auto"/>
        </w:rPr>
        <w:tab/>
      </w:r>
      <w:r>
        <w:rPr>
          <w:rFonts w:ascii="Arial" w:cs="Arial" w:eastAsia="Arial" w:hAnsi="Arial"/>
          <w:sz w:val="19"/>
          <w:szCs w:val="19"/>
          <w:b w:val="1"/>
          <w:bCs w:val="1"/>
          <w:color w:val="auto"/>
        </w:rPr>
        <w:t xml:space="preserve">First Meeting of Board of Directors. </w:t>
      </w:r>
      <w:r>
        <w:rPr>
          <w:rFonts w:ascii="Arial" w:cs="Arial" w:eastAsia="Arial" w:hAnsi="Arial"/>
          <w:sz w:val="19"/>
          <w:szCs w:val="19"/>
          <w:color w:val="auto"/>
        </w:rPr>
        <w:t>The first meeting of each newly elected board of directors</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shall be held at such time and place as shall be fixed by the vote of the stockholders or incorporators and no notice of such meeting shall be necessary to the newly elected directors in order legally to constitute the meeting, provided a quorum shall be present. In the event of the failure of the stockholders or the incorporators to fix the time or place of such first meeting of the newly elected board of directors, or in the event such meeting is not held at the time and place so fixed by the stockholders or the incorporators, the meeting may be held at such time and place as shall be specified in a notice given as hereinafter provided for special meetings of the board of directors, or as shall be specified in a written waiver signed by all of the directors.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3.06 Regular Meetings of Board of Directors. </w:t>
      </w:r>
      <w:r>
        <w:rPr>
          <w:rFonts w:ascii="Arial" w:cs="Arial" w:eastAsia="Arial" w:hAnsi="Arial"/>
          <w:sz w:val="22"/>
          <w:szCs w:val="22"/>
          <w:color w:val="auto"/>
        </w:rPr>
        <w:t>Regular meetings of the board of directors may be</w:t>
      </w:r>
      <w:r>
        <w:rPr>
          <w:rFonts w:ascii="Arial" w:cs="Arial" w:eastAsia="Arial" w:hAnsi="Arial"/>
          <w:sz w:val="22"/>
          <w:szCs w:val="22"/>
          <w:b w:val="1"/>
          <w:bCs w:val="1"/>
          <w:color w:val="auto"/>
        </w:rPr>
        <w:t xml:space="preserve"> </w:t>
      </w:r>
      <w:r>
        <w:rPr>
          <w:rFonts w:ascii="Arial" w:cs="Arial" w:eastAsia="Arial" w:hAnsi="Arial"/>
          <w:sz w:val="22"/>
          <w:szCs w:val="22"/>
          <w:color w:val="auto"/>
        </w:rPr>
        <w:t>held without notice at such time and at such place as shall from time to time be determined by the board.</w:t>
      </w:r>
    </w:p>
    <w:p>
      <w:pPr>
        <w:spacing w:after="0" w:line="162" w:lineRule="exact"/>
        <w:rPr>
          <w:sz w:val="20"/>
          <w:szCs w:val="20"/>
          <w:color w:val="auto"/>
        </w:rPr>
      </w:pPr>
    </w:p>
    <w:p>
      <w:pPr>
        <w:ind w:left="660"/>
        <w:spacing w:after="0"/>
        <w:tabs>
          <w:tab w:leader="none" w:pos="2980" w:val="left"/>
        </w:tabs>
        <w:rPr>
          <w:sz w:val="20"/>
          <w:szCs w:val="20"/>
          <w:color w:val="auto"/>
        </w:rPr>
      </w:pPr>
      <w:r>
        <w:rPr>
          <w:rFonts w:ascii="Arial" w:cs="Arial" w:eastAsia="Arial" w:hAnsi="Arial"/>
          <w:sz w:val="22"/>
          <w:szCs w:val="22"/>
          <w:b w:val="1"/>
          <w:bCs w:val="1"/>
          <w:color w:val="auto"/>
        </w:rPr>
        <w:t>Section 3.07</w:t>
      </w:r>
      <w:r>
        <w:rPr>
          <w:sz w:val="20"/>
          <w:szCs w:val="20"/>
          <w:color w:val="auto"/>
        </w:rPr>
        <w:tab/>
      </w:r>
      <w:r>
        <w:rPr>
          <w:rFonts w:ascii="Arial" w:cs="Arial" w:eastAsia="Arial" w:hAnsi="Arial"/>
          <w:sz w:val="19"/>
          <w:szCs w:val="19"/>
          <w:b w:val="1"/>
          <w:bCs w:val="1"/>
          <w:color w:val="auto"/>
        </w:rPr>
        <w:t xml:space="preserve">Special Meetings of Board of Directors. </w:t>
      </w:r>
      <w:r>
        <w:rPr>
          <w:rFonts w:ascii="Arial" w:cs="Arial" w:eastAsia="Arial" w:hAnsi="Arial"/>
          <w:sz w:val="19"/>
          <w:szCs w:val="19"/>
          <w:color w:val="auto"/>
        </w:rPr>
        <w:t>Special meetings of the board of directors may be</w:t>
      </w:r>
    </w:p>
    <w:p>
      <w:pPr>
        <w:spacing w:after="0" w:line="1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called by the Chair of the Board, the Chief Executive Officer or the President on 24 hours’ notice to each director by hand delivery, electronic transmission or telephone, or on five (5) days’ notice if such notice is delivered by mail; special meetings shall be called by the Chair of the Board, Chief Executive Officer, President or Secretary in like manner and on like notice on the written request of two directors unless the board consists of only one director in which case special meetings shall be called by the Chief Executive Officer, President or Secretary in like manner and in like notice on the written request of the sole director.</w:t>
      </w:r>
    </w:p>
    <w:p>
      <w:pPr>
        <w:spacing w:after="0" w:line="14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Section 3.08 Quorum. </w:t>
      </w:r>
      <w:r>
        <w:rPr>
          <w:rFonts w:ascii="Arial" w:cs="Arial" w:eastAsia="Arial" w:hAnsi="Arial"/>
          <w:sz w:val="19"/>
          <w:szCs w:val="19"/>
          <w:color w:val="auto"/>
        </w:rPr>
        <w:t>At all meetings of the board, a majority of the total number of directors shall constitute</w:t>
      </w:r>
      <w:r>
        <w:rPr>
          <w:rFonts w:ascii="Arial" w:cs="Arial" w:eastAsia="Arial" w:hAnsi="Arial"/>
          <w:sz w:val="19"/>
          <w:szCs w:val="19"/>
          <w:b w:val="1"/>
          <w:bCs w:val="1"/>
          <w:color w:val="auto"/>
        </w:rPr>
        <w:t xml:space="preserve"> </w:t>
      </w:r>
      <w:r>
        <w:rPr>
          <w:rFonts w:ascii="Arial" w:cs="Arial" w:eastAsia="Arial" w:hAnsi="Arial"/>
          <w:sz w:val="19"/>
          <w:szCs w:val="19"/>
          <w:color w:val="auto"/>
        </w:rPr>
        <w:t>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Section 3.09 Director Consents. </w:t>
      </w:r>
      <w:r>
        <w:rPr>
          <w:rFonts w:ascii="Arial" w:cs="Arial" w:eastAsia="Arial" w:hAnsi="Arial"/>
          <w:sz w:val="19"/>
          <w:szCs w:val="19"/>
          <w:color w:val="auto"/>
        </w:rPr>
        <w:t>Any action required or permitted to be taken at any meeting of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or of any committee thereof may be taken without a meeting, if all members of the board or committee, as the case may be, consent thereto in the manner permitted by Section 141(f) of the General Corporation Law of the State of Delaware.</w:t>
      </w:r>
    </w:p>
    <w:p>
      <w:pPr>
        <w:spacing w:after="0" w:line="126" w:lineRule="exact"/>
        <w:rPr>
          <w:sz w:val="20"/>
          <w:szCs w:val="20"/>
          <w:color w:val="auto"/>
        </w:rPr>
      </w:pPr>
    </w:p>
    <w:p>
      <w:pPr>
        <w:ind w:left="660"/>
        <w:spacing w:after="0"/>
        <w:tabs>
          <w:tab w:leader="none" w:pos="3260" w:val="left"/>
        </w:tabs>
        <w:rPr>
          <w:sz w:val="20"/>
          <w:szCs w:val="20"/>
          <w:color w:val="auto"/>
        </w:rPr>
      </w:pPr>
      <w:r>
        <w:rPr>
          <w:rFonts w:ascii="Arial" w:cs="Arial" w:eastAsia="Arial" w:hAnsi="Arial"/>
          <w:sz w:val="22"/>
          <w:szCs w:val="22"/>
          <w:b w:val="1"/>
          <w:bCs w:val="1"/>
          <w:color w:val="auto"/>
        </w:rPr>
        <w:t>Section 3.10</w:t>
      </w:r>
      <w:r>
        <w:rPr>
          <w:sz w:val="20"/>
          <w:szCs w:val="20"/>
          <w:color w:val="auto"/>
        </w:rPr>
        <w:tab/>
      </w:r>
      <w:r>
        <w:rPr>
          <w:rFonts w:ascii="Arial" w:cs="Arial" w:eastAsia="Arial" w:hAnsi="Arial"/>
          <w:sz w:val="19"/>
          <w:szCs w:val="19"/>
          <w:b w:val="1"/>
          <w:bCs w:val="1"/>
          <w:color w:val="auto"/>
        </w:rPr>
        <w:t xml:space="preserve">Telephone Meetings of Board of Directors.  </w:t>
      </w:r>
      <w:r>
        <w:rPr>
          <w:rFonts w:ascii="Arial" w:cs="Arial" w:eastAsia="Arial" w:hAnsi="Arial"/>
          <w:sz w:val="19"/>
          <w:szCs w:val="19"/>
          <w:color w:val="auto"/>
        </w:rPr>
        <w:t>Members of the board of directors, or any</w:t>
      </w:r>
    </w:p>
    <w:p>
      <w:pPr>
        <w:spacing w:after="0" w:line="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Section 3.11 Committee of Directors. </w:t>
      </w:r>
      <w:r>
        <w:rPr>
          <w:rFonts w:ascii="Arial" w:cs="Arial" w:eastAsia="Arial" w:hAnsi="Arial"/>
          <w:sz w:val="19"/>
          <w:szCs w:val="19"/>
          <w:color w:val="auto"/>
        </w:rPr>
        <w:t>The board of directors may, by resolution passed by a majority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to the fullest extent permitted by Section 141(c)(2) of the General Corporation Law of the State of Delaware. Such committee or committees shall have such name or names as may be determined from time to time by resolution adopted by the board of directors.</w:t>
      </w:r>
    </w:p>
    <w:p>
      <w:pPr>
        <w:sectPr>
          <w:pgSz w:w="11900" w:h="16838" w:orient="portrait"/>
          <w:cols w:equalWidth="0" w:num="1">
            <w:col w:w="11240"/>
          </w:cols>
          <w:pgMar w:left="320" w:top="355" w:right="339" w:bottom="1440" w:gutter="0" w:footer="0" w:header="0"/>
        </w:sectPr>
      </w:pPr>
    </w:p>
    <w:p>
      <w:pPr>
        <w:spacing w:after="0" w:line="155" w:lineRule="exact"/>
        <w:rPr>
          <w:sz w:val="20"/>
          <w:szCs w:val="20"/>
          <w:color w:val="auto"/>
        </w:rPr>
      </w:pPr>
    </w:p>
    <w:p>
      <w:pPr>
        <w:ind w:left="660"/>
        <w:spacing w:after="0"/>
        <w:tabs>
          <w:tab w:leader="none" w:pos="3140" w:val="left"/>
        </w:tabs>
        <w:rPr>
          <w:sz w:val="20"/>
          <w:szCs w:val="20"/>
          <w:color w:val="auto"/>
        </w:rPr>
      </w:pPr>
      <w:r>
        <w:rPr>
          <w:rFonts w:ascii="Arial" w:cs="Arial" w:eastAsia="Arial" w:hAnsi="Arial"/>
          <w:sz w:val="22"/>
          <w:szCs w:val="22"/>
          <w:b w:val="1"/>
          <w:bCs w:val="1"/>
          <w:color w:val="auto"/>
        </w:rPr>
        <w:t>Section 3.12</w:t>
      </w:r>
      <w:r>
        <w:rPr>
          <w:sz w:val="20"/>
          <w:szCs w:val="20"/>
          <w:color w:val="auto"/>
        </w:rPr>
        <w:tab/>
      </w:r>
      <w:r>
        <w:rPr>
          <w:rFonts w:ascii="Arial" w:cs="Arial" w:eastAsia="Arial" w:hAnsi="Arial"/>
          <w:sz w:val="19"/>
          <w:szCs w:val="19"/>
          <w:b w:val="1"/>
          <w:bCs w:val="1"/>
          <w:color w:val="auto"/>
        </w:rPr>
        <w:t>Committee Minutes.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the same to the board of directors when required.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Each committee shall keep regular minutes of its meetings and report</w:t>
      </w:r>
    </w:p>
    <w:p>
      <w:pPr>
        <w:spacing w:after="0" w:line="477" w:lineRule="exact"/>
        <w:rPr>
          <w:sz w:val="20"/>
          <w:szCs w:val="20"/>
          <w:color w:val="auto"/>
        </w:rPr>
      </w:pPr>
    </w:p>
    <w:p>
      <w:pPr>
        <w:sectPr>
          <w:pgSz w:w="11900" w:h="16838" w:orient="portrait"/>
          <w:cols w:equalWidth="0" w:num="2">
            <w:col w:w="5040" w:space="120"/>
            <w:col w:w="6080"/>
          </w:cols>
          <w:pgMar w:left="320" w:top="355" w:right="339" w:bottom="1440" w:gutter="0" w:footer="0" w:header="0"/>
          <w:type w:val="continuous"/>
        </w:sectPr>
      </w:pPr>
    </w:p>
    <w:p>
      <w:pPr>
        <w:ind w:left="660"/>
        <w:spacing w:after="0"/>
        <w:tabs>
          <w:tab w:leader="none" w:pos="2780" w:val="left"/>
        </w:tabs>
        <w:rPr>
          <w:sz w:val="20"/>
          <w:szCs w:val="20"/>
          <w:color w:val="auto"/>
        </w:rPr>
      </w:pPr>
      <w:r>
        <w:rPr>
          <w:rFonts w:ascii="Arial" w:cs="Arial" w:eastAsia="Arial" w:hAnsi="Arial"/>
          <w:sz w:val="22"/>
          <w:szCs w:val="22"/>
          <w:b w:val="1"/>
          <w:bCs w:val="1"/>
          <w:color w:val="auto"/>
        </w:rPr>
        <w:t>Section 3.13</w:t>
      </w:r>
      <w:r>
        <w:rPr>
          <w:sz w:val="20"/>
          <w:szCs w:val="20"/>
          <w:color w:val="auto"/>
        </w:rPr>
        <w:tab/>
      </w:r>
      <w:r>
        <w:rPr>
          <w:rFonts w:ascii="Arial" w:cs="Arial" w:eastAsia="Arial" w:hAnsi="Arial"/>
          <w:sz w:val="19"/>
          <w:szCs w:val="19"/>
          <w:b w:val="1"/>
          <w:bCs w:val="1"/>
          <w:color w:val="auto"/>
        </w:rPr>
        <w:t xml:space="preserve">Compensation of Directors. </w:t>
      </w:r>
      <w:r>
        <w:rPr>
          <w:rFonts w:ascii="Arial" w:cs="Arial" w:eastAsia="Arial" w:hAnsi="Arial"/>
          <w:sz w:val="19"/>
          <w:szCs w:val="19"/>
          <w:color w:val="auto"/>
        </w:rPr>
        <w:t>Unless otherwise restricted by the Certificate of Incorporation, the</w:t>
      </w:r>
    </w:p>
    <w:p>
      <w:pPr>
        <w:sectPr>
          <w:pgSz w:w="11900" w:h="16838" w:orient="portrait"/>
          <w:cols w:equalWidth="0" w:num="1">
            <w:col w:w="11240"/>
          </w:cols>
          <w:pgMar w:left="320" w:top="355" w:right="339" w:bottom="1440" w:gutter="0" w:footer="0" w:header="0"/>
          <w:type w:val="continuous"/>
        </w:sectPr>
      </w:pPr>
    </w:p>
    <w:p>
      <w:pPr>
        <w:spacing w:after="0" w:line="27"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directed.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Section 3.14 Removal of Directors. </w:t>
      </w:r>
      <w:r>
        <w:rPr>
          <w:rFonts w:ascii="Arial" w:cs="Arial" w:eastAsia="Arial" w:hAnsi="Arial"/>
          <w:sz w:val="21"/>
          <w:szCs w:val="21"/>
          <w:color w:val="auto"/>
        </w:rPr>
        <w:t>Unless otherwise required by the Certificate of Incorporation or by</w:t>
      </w:r>
      <w:r>
        <w:rPr>
          <w:rFonts w:ascii="Arial" w:cs="Arial" w:eastAsia="Arial" w:hAnsi="Arial"/>
          <w:sz w:val="21"/>
          <w:szCs w:val="21"/>
          <w:b w:val="1"/>
          <w:bCs w:val="1"/>
          <w:color w:val="auto"/>
        </w:rPr>
        <w:t xml:space="preserve"> </w:t>
      </w:r>
      <w:r>
        <w:rPr>
          <w:rFonts w:ascii="Arial" w:cs="Arial" w:eastAsia="Arial" w:hAnsi="Arial"/>
          <w:sz w:val="21"/>
          <w:szCs w:val="21"/>
          <w:color w:val="auto"/>
        </w:rPr>
        <w:t>statute or law, prior to the third annual meeting of stockholders following the annual meeting of stockholders in 2022, directors may be removed from office only for cause. From and including the third annual meeting of stockholders following the annual meeting of stockholders in 2022, directors may be removed from office at any time with or without cause. Directors may only be removed with or without cause by the affirmative vote of the holders of a majority of the voting power of all shares of the corporation entitled to vote generally in the election of directors, voting together as a single class.</w:t>
      </w:r>
    </w:p>
    <w:p>
      <w:pPr>
        <w:spacing w:after="0" w:line="17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Section 3.15 Chair of the Board. </w:t>
      </w:r>
      <w:r>
        <w:rPr>
          <w:rFonts w:ascii="Arial" w:cs="Arial" w:eastAsia="Arial" w:hAnsi="Arial"/>
          <w:sz w:val="19"/>
          <w:szCs w:val="19"/>
          <w:color w:val="auto"/>
        </w:rPr>
        <w:t>The Chair of the Board, if there is one, shall be elected annually by and</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board of directors and shall preside at all meetings of the directors at which the Chair of the Board shall be present. In the absence of the Chair of the Board, any other director designated by the directors present at the meeting of the board of directors shall act as chair of and preside at such meeting. A director’s service as Chair of the Board shall not by itself constitute such director as an officer or employee of the corporation, except as, and solely to the extent, required by applicable law.</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22"/>
          <w:szCs w:val="22"/>
          <w:b w:val="1"/>
          <w:bCs w:val="1"/>
          <w:color w:val="auto"/>
        </w:rPr>
        <w:t>Section 4.01</w:t>
      </w:r>
      <w:r>
        <w:rPr>
          <w:sz w:val="20"/>
          <w:szCs w:val="20"/>
          <w:color w:val="auto"/>
        </w:rPr>
        <w:tab/>
      </w:r>
      <w:r>
        <w:rPr>
          <w:rFonts w:ascii="Arial" w:cs="Arial" w:eastAsia="Arial" w:hAnsi="Arial"/>
          <w:sz w:val="19"/>
          <w:szCs w:val="19"/>
          <w:b w:val="1"/>
          <w:bCs w:val="1"/>
          <w:color w:val="auto"/>
        </w:rPr>
        <w:t xml:space="preserve">Notices. </w:t>
      </w:r>
      <w:r>
        <w:rPr>
          <w:rFonts w:ascii="Arial" w:cs="Arial" w:eastAsia="Arial" w:hAnsi="Arial"/>
          <w:sz w:val="19"/>
          <w:szCs w:val="19"/>
          <w:color w:val="auto"/>
        </w:rPr>
        <w:t>Whenever, under the provisions of the statutes or of the Certificate of Incorporation or of</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these By-Laws, notice is required to be given to any director or stockholder, it shall not be construed to require personal notice, but such notice may be given in writing, by mail, addressed to such director or stockholder, at such director or stockholder’s address as it appears on the records of the corporation, with postage thereon prepaid, and such notice shall be deemed to be given at the time when the same shall be deposited in the United States mail.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4.02 Waiver of Notice. </w:t>
      </w:r>
      <w:r>
        <w:rPr>
          <w:rFonts w:ascii="Arial" w:cs="Arial" w:eastAsia="Arial" w:hAnsi="Arial"/>
          <w:sz w:val="21"/>
          <w:szCs w:val="21"/>
          <w:color w:val="auto"/>
        </w:rPr>
        <w:t>Whenever a notice is required to be given under the provisions of the statutes</w:t>
      </w:r>
      <w:r>
        <w:rPr>
          <w:rFonts w:ascii="Arial" w:cs="Arial" w:eastAsia="Arial" w:hAnsi="Arial"/>
          <w:sz w:val="21"/>
          <w:szCs w:val="21"/>
          <w:b w:val="1"/>
          <w:bCs w:val="1"/>
          <w:color w:val="auto"/>
        </w:rPr>
        <w:t xml:space="preserve"> </w:t>
      </w:r>
      <w:r>
        <w:rPr>
          <w:rFonts w:ascii="Arial" w:cs="Arial" w:eastAsia="Arial" w:hAnsi="Arial"/>
          <w:sz w:val="21"/>
          <w:szCs w:val="21"/>
          <w:color w:val="auto"/>
        </w:rPr>
        <w:t>or of the Certificate of Incorporation or of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2940" w:val="left"/>
        </w:tabs>
        <w:rPr>
          <w:sz w:val="20"/>
          <w:szCs w:val="20"/>
          <w:color w:val="auto"/>
        </w:rPr>
      </w:pPr>
      <w:r>
        <w:rPr>
          <w:rFonts w:ascii="Arial" w:cs="Arial" w:eastAsia="Arial" w:hAnsi="Arial"/>
          <w:sz w:val="22"/>
          <w:szCs w:val="22"/>
          <w:b w:val="1"/>
          <w:bCs w:val="1"/>
          <w:color w:val="auto"/>
        </w:rPr>
        <w:t>Section 5.01</w:t>
      </w:r>
      <w:r>
        <w:rPr>
          <w:sz w:val="20"/>
          <w:szCs w:val="20"/>
          <w:color w:val="auto"/>
        </w:rPr>
        <w:tab/>
      </w:r>
      <w:r>
        <w:rPr>
          <w:rFonts w:ascii="Arial" w:cs="Arial" w:eastAsia="Arial" w:hAnsi="Arial"/>
          <w:sz w:val="19"/>
          <w:szCs w:val="19"/>
          <w:b w:val="1"/>
          <w:bCs w:val="1"/>
          <w:color w:val="auto"/>
        </w:rPr>
        <w:t xml:space="preserve">Necessary Officers. </w:t>
      </w:r>
      <w:r>
        <w:rPr>
          <w:rFonts w:ascii="Arial" w:cs="Arial" w:eastAsia="Arial" w:hAnsi="Arial"/>
          <w:sz w:val="19"/>
          <w:szCs w:val="19"/>
          <w:color w:val="auto"/>
        </w:rPr>
        <w:t>The officers of the corporation shall be chosen by the board of directors,</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having the titles and exercising the duties (as prescribed by the By-Laws or by the Board) of Chief Executive Officer, President, Vice President, Secretary, and Treasurer. The board of directors may also choose one or more Vice-Presidents, Assistant Secretaries, and Assistant Treasurers. Any number of offices may be held by the same person. No officer need be a stockholder.</w:t>
      </w:r>
    </w:p>
    <w:p>
      <w:pPr>
        <w:spacing w:after="0" w:line="380" w:lineRule="exact"/>
        <w:rPr>
          <w:sz w:val="20"/>
          <w:szCs w:val="20"/>
          <w:color w:val="auto"/>
        </w:rPr>
      </w:pPr>
    </w:p>
    <w:p>
      <w:pPr>
        <w:ind w:left="660"/>
        <w:spacing w:after="0"/>
        <w:tabs>
          <w:tab w:leader="none" w:pos="3000" w:val="left"/>
        </w:tabs>
        <w:rPr>
          <w:sz w:val="20"/>
          <w:szCs w:val="20"/>
          <w:color w:val="auto"/>
        </w:rPr>
      </w:pPr>
      <w:r>
        <w:rPr>
          <w:rFonts w:ascii="Arial" w:cs="Arial" w:eastAsia="Arial" w:hAnsi="Arial"/>
          <w:sz w:val="22"/>
          <w:szCs w:val="22"/>
          <w:b w:val="1"/>
          <w:bCs w:val="1"/>
          <w:color w:val="auto"/>
        </w:rPr>
        <w:t>Section 5.02</w:t>
      </w:r>
      <w:r>
        <w:rPr>
          <w:sz w:val="20"/>
          <w:szCs w:val="20"/>
          <w:color w:val="auto"/>
        </w:rPr>
        <w:tab/>
      </w:r>
      <w:r>
        <w:rPr>
          <w:rFonts w:ascii="Arial" w:cs="Arial" w:eastAsia="Arial" w:hAnsi="Arial"/>
          <w:sz w:val="19"/>
          <w:szCs w:val="19"/>
          <w:b w:val="1"/>
          <w:bCs w:val="1"/>
          <w:color w:val="auto"/>
        </w:rPr>
        <w:t xml:space="preserve">Election of Officers. </w:t>
      </w:r>
      <w:r>
        <w:rPr>
          <w:rFonts w:ascii="Arial" w:cs="Arial" w:eastAsia="Arial" w:hAnsi="Arial"/>
          <w:sz w:val="19"/>
          <w:szCs w:val="19"/>
          <w:color w:val="auto"/>
        </w:rPr>
        <w:t>The board of directors at its first meeting after each annual meeting of</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stockholders shall choose a Chair of the Board, a Chief Executive Officer, a President, a Secretary and a Treasurer.</w:t>
      </w:r>
    </w:p>
    <w:p>
      <w:pPr>
        <w:spacing w:after="0" w:line="194"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22"/>
          <w:szCs w:val="22"/>
          <w:b w:val="1"/>
          <w:bCs w:val="1"/>
          <w:color w:val="auto"/>
        </w:rPr>
        <w:t>Section 5.03</w:t>
      </w:r>
      <w:r>
        <w:rPr>
          <w:sz w:val="20"/>
          <w:szCs w:val="20"/>
          <w:color w:val="auto"/>
        </w:rPr>
        <w:tab/>
      </w:r>
      <w:r>
        <w:rPr>
          <w:rFonts w:ascii="Arial" w:cs="Arial" w:eastAsia="Arial" w:hAnsi="Arial"/>
          <w:sz w:val="19"/>
          <w:szCs w:val="19"/>
          <w:b w:val="1"/>
          <w:bCs w:val="1"/>
          <w:color w:val="auto"/>
        </w:rPr>
        <w:t xml:space="preserve">Other Officers. </w:t>
      </w:r>
      <w:r>
        <w:rPr>
          <w:rFonts w:ascii="Arial" w:cs="Arial" w:eastAsia="Arial" w:hAnsi="Arial"/>
          <w:sz w:val="19"/>
          <w:szCs w:val="19"/>
          <w:color w:val="auto"/>
        </w:rPr>
        <w:t>The board of directors may appoint such other officers and agents as it shall deem</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necessary who shall hold their offices for such terms and shall exercise such powers and perform such duties as shall be determined from time to time by the board.</w:t>
      </w:r>
    </w:p>
    <w:p>
      <w:pPr>
        <w:spacing w:after="0" w:line="181" w:lineRule="exact"/>
        <w:rPr>
          <w:sz w:val="20"/>
          <w:szCs w:val="20"/>
          <w:color w:val="auto"/>
        </w:rPr>
      </w:pPr>
    </w:p>
    <w:p>
      <w:pPr>
        <w:ind w:left="660"/>
        <w:spacing w:after="0"/>
        <w:tabs>
          <w:tab w:leader="none" w:pos="2760" w:val="left"/>
        </w:tabs>
        <w:rPr>
          <w:sz w:val="20"/>
          <w:szCs w:val="20"/>
          <w:color w:val="auto"/>
        </w:rPr>
      </w:pPr>
      <w:r>
        <w:rPr>
          <w:rFonts w:ascii="Arial" w:cs="Arial" w:eastAsia="Arial" w:hAnsi="Arial"/>
          <w:sz w:val="22"/>
          <w:szCs w:val="22"/>
          <w:b w:val="1"/>
          <w:bCs w:val="1"/>
          <w:color w:val="auto"/>
        </w:rPr>
        <w:t>Section 5.04</w:t>
      </w:r>
      <w:r>
        <w:rPr>
          <w:sz w:val="20"/>
          <w:szCs w:val="20"/>
          <w:color w:val="auto"/>
        </w:rPr>
        <w:tab/>
      </w:r>
      <w:r>
        <w:rPr>
          <w:rFonts w:ascii="Arial" w:cs="Arial" w:eastAsia="Arial" w:hAnsi="Arial"/>
          <w:sz w:val="19"/>
          <w:szCs w:val="19"/>
          <w:b w:val="1"/>
          <w:bCs w:val="1"/>
          <w:color w:val="auto"/>
        </w:rPr>
        <w:t xml:space="preserve">Officers, Salaries. </w:t>
      </w:r>
      <w:r>
        <w:rPr>
          <w:rFonts w:ascii="Arial" w:cs="Arial" w:eastAsia="Arial" w:hAnsi="Arial"/>
          <w:sz w:val="19"/>
          <w:szCs w:val="19"/>
          <w:color w:val="auto"/>
        </w:rPr>
        <w:t>The salaries of all officers and agents of the corporation shall be fixed by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w:t>
      </w:r>
    </w:p>
    <w:p>
      <w:pPr>
        <w:spacing w:after="0" w:line="182" w:lineRule="exact"/>
        <w:rPr>
          <w:sz w:val="20"/>
          <w:szCs w:val="20"/>
          <w:color w:val="auto"/>
        </w:rPr>
      </w:pPr>
    </w:p>
    <w:p>
      <w:pPr>
        <w:ind w:left="660"/>
        <w:spacing w:after="0"/>
        <w:tabs>
          <w:tab w:leader="none" w:pos="2620" w:val="left"/>
        </w:tabs>
        <w:rPr>
          <w:sz w:val="20"/>
          <w:szCs w:val="20"/>
          <w:color w:val="auto"/>
        </w:rPr>
      </w:pPr>
      <w:r>
        <w:rPr>
          <w:rFonts w:ascii="Arial" w:cs="Arial" w:eastAsia="Arial" w:hAnsi="Arial"/>
          <w:sz w:val="22"/>
          <w:szCs w:val="22"/>
          <w:b w:val="1"/>
          <w:bCs w:val="1"/>
          <w:color w:val="auto"/>
        </w:rPr>
        <w:t>Section 5.05</w:t>
      </w:r>
      <w:r>
        <w:rPr>
          <w:sz w:val="20"/>
          <w:szCs w:val="20"/>
          <w:color w:val="auto"/>
        </w:rPr>
        <w:tab/>
      </w:r>
      <w:r>
        <w:rPr>
          <w:rFonts w:ascii="Arial" w:cs="Arial" w:eastAsia="Arial" w:hAnsi="Arial"/>
          <w:sz w:val="19"/>
          <w:szCs w:val="19"/>
          <w:b w:val="1"/>
          <w:bCs w:val="1"/>
          <w:color w:val="auto"/>
        </w:rPr>
        <w:t xml:space="preserve">Term of Office. </w:t>
      </w:r>
      <w:r>
        <w:rPr>
          <w:rFonts w:ascii="Arial" w:cs="Arial" w:eastAsia="Arial" w:hAnsi="Arial"/>
          <w:sz w:val="19"/>
          <w:szCs w:val="19"/>
          <w:color w:val="auto"/>
        </w:rPr>
        <w:t>The officers of the corporation shall hold office until their successors are chosen</w:t>
      </w:r>
    </w:p>
    <w:p>
      <w:pPr>
        <w:spacing w:after="0" w:line="14"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17" w:lineRule="exact"/>
        <w:rPr>
          <w:sz w:val="20"/>
          <w:szCs w:val="20"/>
          <w:color w:val="auto"/>
        </w:rPr>
      </w:pPr>
    </w:p>
    <w:p>
      <w:pPr>
        <w:ind w:left="660"/>
        <w:spacing w:after="0"/>
        <w:tabs>
          <w:tab w:leader="none" w:pos="2680" w:val="left"/>
        </w:tabs>
        <w:rPr>
          <w:sz w:val="20"/>
          <w:szCs w:val="20"/>
          <w:color w:val="auto"/>
        </w:rPr>
      </w:pPr>
      <w:r>
        <w:rPr>
          <w:rFonts w:ascii="Arial" w:cs="Arial" w:eastAsia="Arial" w:hAnsi="Arial"/>
          <w:sz w:val="22"/>
          <w:szCs w:val="22"/>
          <w:b w:val="1"/>
          <w:bCs w:val="1"/>
          <w:color w:val="auto"/>
        </w:rPr>
        <w:t>Section 5.06</w:t>
      </w:r>
      <w:r>
        <w:rPr>
          <w:sz w:val="20"/>
          <w:szCs w:val="20"/>
          <w:color w:val="auto"/>
        </w:rPr>
        <w:tab/>
      </w:r>
      <w:r>
        <w:rPr>
          <w:rFonts w:ascii="Arial" w:cs="Arial" w:eastAsia="Arial" w:hAnsi="Arial"/>
          <w:sz w:val="19"/>
          <w:szCs w:val="19"/>
          <w:b w:val="1"/>
          <w:bCs w:val="1"/>
          <w:color w:val="auto"/>
        </w:rPr>
        <w:t>[Reserved]</w:t>
      </w:r>
    </w:p>
    <w:p>
      <w:pPr>
        <w:spacing w:after="0" w:line="206" w:lineRule="exact"/>
        <w:rPr>
          <w:sz w:val="20"/>
          <w:szCs w:val="20"/>
          <w:color w:val="auto"/>
        </w:rPr>
      </w:pPr>
    </w:p>
    <w:p>
      <w:pPr>
        <w:ind w:left="660"/>
        <w:spacing w:after="0"/>
        <w:tabs>
          <w:tab w:leader="none" w:pos="2780" w:val="left"/>
        </w:tabs>
        <w:rPr>
          <w:sz w:val="20"/>
          <w:szCs w:val="20"/>
          <w:color w:val="auto"/>
        </w:rPr>
      </w:pPr>
      <w:r>
        <w:rPr>
          <w:rFonts w:ascii="Arial" w:cs="Arial" w:eastAsia="Arial" w:hAnsi="Arial"/>
          <w:sz w:val="22"/>
          <w:szCs w:val="22"/>
          <w:b w:val="1"/>
          <w:bCs w:val="1"/>
          <w:color w:val="auto"/>
        </w:rPr>
        <w:t>Section 5.07</w:t>
      </w:r>
      <w:r>
        <w:rPr>
          <w:sz w:val="20"/>
          <w:szCs w:val="20"/>
          <w:color w:val="auto"/>
        </w:rPr>
        <w:tab/>
      </w:r>
      <w:r>
        <w:rPr>
          <w:rFonts w:ascii="Arial" w:cs="Arial" w:eastAsia="Arial" w:hAnsi="Arial"/>
          <w:sz w:val="19"/>
          <w:szCs w:val="19"/>
          <w:b w:val="1"/>
          <w:bCs w:val="1"/>
          <w:color w:val="auto"/>
        </w:rPr>
        <w:t xml:space="preserve">Chief Executive Officer. </w:t>
      </w:r>
      <w:r>
        <w:rPr>
          <w:rFonts w:ascii="Arial" w:cs="Arial" w:eastAsia="Arial" w:hAnsi="Arial"/>
          <w:sz w:val="19"/>
          <w:szCs w:val="19"/>
          <w:color w:val="auto"/>
        </w:rPr>
        <w:t>The Chief Executive Officer shall be the principal executive officer of</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corporation. It shall be the Chief Executive Officer’s duty, and the Chief Executive Officer shall have the power, to see that all orders and resolutions of the board of directors are carried into effect. The Chief Executive Officer, as soon as reasonably possible after the close of each fiscal year, shall submit to the board of directors a report of the operations of the corporation for such year and a statement of its affairs, and shall from time to time report to the board of directors all matters within the Chief Executive Officer’s knowledge which the interests of the corporation may require to be brought to its notice. The Chief Executive Officer shall perform such duties and have such powers additional to the foregoing as the board of directors shall designate.</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67" w:name="page68"/>
    <w:bookmarkEnd w:id="67"/>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5.08 President. </w:t>
      </w:r>
      <w:r>
        <w:rPr>
          <w:rFonts w:ascii="Arial" w:cs="Arial" w:eastAsia="Arial" w:hAnsi="Arial"/>
          <w:sz w:val="22"/>
          <w:szCs w:val="22"/>
          <w:color w:val="auto"/>
        </w:rPr>
        <w:t>In the absence or disability of the Chief Executive Officer, the Chief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powers and duties shall be performed by the President. The President shall have such other powers as set forth in these By-Laws and perform such other duties as the Chair of the Board, the Chief Executive Officer or the board of directors shall from time to time designate.</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5.09 Vice Presidents. </w:t>
      </w:r>
      <w:r>
        <w:rPr>
          <w:rFonts w:ascii="Arial" w:cs="Arial" w:eastAsia="Arial" w:hAnsi="Arial"/>
          <w:sz w:val="22"/>
          <w:szCs w:val="22"/>
          <w:color w:val="auto"/>
        </w:rPr>
        <w:t>In the absence or disability of the President, the President’s powers and duties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performed by the Vice President, if only one, or, if more than one, by the one designated for the purpose by the board of directors. Each Vice President shall have such other powers and perform such other duties as the board of directors shall from time to time designate.</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Section 5.10 Treasurer. </w:t>
      </w:r>
      <w:r>
        <w:rPr>
          <w:rFonts w:ascii="Arial" w:cs="Arial" w:eastAsia="Arial" w:hAnsi="Arial"/>
          <w:sz w:val="19"/>
          <w:szCs w:val="19"/>
          <w:color w:val="auto"/>
        </w:rPr>
        <w:t>The Treasurer shall keep full and accurate accounts of receipts and disbursements in</w:t>
      </w:r>
      <w:r>
        <w:rPr>
          <w:rFonts w:ascii="Arial" w:cs="Arial" w:eastAsia="Arial" w:hAnsi="Arial"/>
          <w:sz w:val="19"/>
          <w:szCs w:val="19"/>
          <w:b w:val="1"/>
          <w:bCs w:val="1"/>
          <w:color w:val="auto"/>
        </w:rPr>
        <w:t xml:space="preserve"> </w:t>
      </w:r>
      <w:r>
        <w:rPr>
          <w:rFonts w:ascii="Arial" w:cs="Arial" w:eastAsia="Arial" w:hAnsi="Arial"/>
          <w:sz w:val="19"/>
          <w:szCs w:val="19"/>
          <w:color w:val="auto"/>
        </w:rPr>
        <w:t>books belonging to the corporation and shall deposit all moneys and other valuable effects in the name and to the credit of the corporation in such depositories as shall be designated by the board of directors or in the absence of such designation in such depositories as the Treasurer shall from time to time deem proper. The Treasurer shall disburse the funds of the corporation as shall be ordered by the board of directors, taking proper vouchers for such disbursements. The Treasurer shall promptly render to the Chief Executive Officer and to the board of directors such statements of transactions and accounts as the Chief Executive Officer and board of directors respectively may from time to time require. The Treasurer shall perform such duties and have such powers additional to the foregoing as the board of directors may designate.</w:t>
      </w:r>
    </w:p>
    <w:p>
      <w:pPr>
        <w:spacing w:after="0" w:line="15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Section 5.11 Assistant Treasurers. </w:t>
      </w:r>
      <w:r>
        <w:rPr>
          <w:rFonts w:ascii="Arial" w:cs="Arial" w:eastAsia="Arial" w:hAnsi="Arial"/>
          <w:sz w:val="22"/>
          <w:szCs w:val="22"/>
          <w:color w:val="auto"/>
        </w:rPr>
        <w:t>In the absence of disability of the Treasurer, the Treasurer’s powers and</w:t>
      </w:r>
      <w:r>
        <w:rPr>
          <w:rFonts w:ascii="Arial" w:cs="Arial" w:eastAsia="Arial" w:hAnsi="Arial"/>
          <w:sz w:val="22"/>
          <w:szCs w:val="22"/>
          <w:b w:val="1"/>
          <w:bCs w:val="1"/>
          <w:color w:val="auto"/>
        </w:rPr>
        <w:t xml:space="preserve"> </w:t>
      </w:r>
      <w:r>
        <w:rPr>
          <w:rFonts w:ascii="Arial" w:cs="Arial" w:eastAsia="Arial" w:hAnsi="Arial"/>
          <w:sz w:val="22"/>
          <w:szCs w:val="22"/>
          <w:color w:val="auto"/>
        </w:rPr>
        <w:t>duties shall be performed by the Assistant Treasurer, if one be elected, or, if more than one, by the one designated for the purpose by the board of directors. Each Assistant Treasurer shall have such other powers and perform such other duties as the board of directors shall from time to time designate.</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Section 5.12 Treasurer’s Bonds. </w:t>
      </w:r>
      <w:r>
        <w:rPr>
          <w:rFonts w:ascii="Arial" w:cs="Arial" w:eastAsia="Arial" w:hAnsi="Arial"/>
          <w:sz w:val="19"/>
          <w:szCs w:val="19"/>
          <w:color w:val="auto"/>
        </w:rPr>
        <w:t>If required by the board of directors, the Treasurer shall give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a bond (which shall be renewed every six years) in such sum and with such surety or sureties as shall be satisfactory to the board of directors, for the faithful performance of the duties of the Treasurer’s office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spacing w:after="0" w:line="14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Section 5.13 Secretary. </w:t>
      </w:r>
      <w:r>
        <w:rPr>
          <w:rFonts w:ascii="Arial" w:cs="Arial" w:eastAsia="Arial" w:hAnsi="Arial"/>
          <w:sz w:val="21"/>
          <w:szCs w:val="21"/>
          <w:color w:val="auto"/>
        </w:rPr>
        <w:t>The Secretary shall record in books kept for the purpose all votes and proceedings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stockholders and of the board of directors at their meetings and shall perform like duties for the standing committees when required. Unless the board of directors shall appoint a transfer agent and/or registrar or other officer or officers for the purpose, the Secretary shall be charged with the duty of keeping, or causing to be kept, accurate records of all stock outstanding, stock certificates issued and stock transfers; and, subject to such other or different rule as shall be adopted from time to time by the board of directors, such records may be kept solely in the stock certificate books. The Secretary shall perform such duties and have such powers additional to the foregoing as the board of directors shall designate.</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Section 5.14 Temporary and Assistant Secretaries. </w:t>
      </w:r>
      <w:r>
        <w:rPr>
          <w:rFonts w:ascii="Arial" w:cs="Arial" w:eastAsia="Arial" w:hAnsi="Arial"/>
          <w:sz w:val="22"/>
          <w:szCs w:val="22"/>
          <w:color w:val="auto"/>
        </w:rPr>
        <w:t>In the absence of the Secretary from any meeting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stockholders or board of directors, if there be no Assistant Secretary, if one be elected, or, if there be more than one, the one designated for the purpose by the board of directors, otherwise a Temporary Secretary designated by the person presiding at the meeting, shall perform the duties of the Secretary. Each Assistant Secretary shall have such other powers and perform such other duties as the board of directors may from time to time designate.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22"/>
          <w:szCs w:val="22"/>
          <w:b w:val="1"/>
          <w:bCs w:val="1"/>
          <w:color w:val="auto"/>
        </w:rPr>
        <w:t>Section 6.01</w:t>
      </w:r>
      <w:r>
        <w:rPr>
          <w:sz w:val="20"/>
          <w:szCs w:val="20"/>
          <w:color w:val="auto"/>
        </w:rPr>
        <w:tab/>
      </w:r>
      <w:r>
        <w:rPr>
          <w:rFonts w:ascii="Arial" w:cs="Arial" w:eastAsia="Arial" w:hAnsi="Arial"/>
          <w:sz w:val="19"/>
          <w:szCs w:val="19"/>
          <w:b w:val="1"/>
          <w:bCs w:val="1"/>
          <w:color w:val="auto"/>
        </w:rPr>
        <w:t xml:space="preserve">Issuance of Stock. </w:t>
      </w:r>
      <w:r>
        <w:rPr>
          <w:rFonts w:ascii="Arial" w:cs="Arial" w:eastAsia="Arial" w:hAnsi="Arial"/>
          <w:sz w:val="19"/>
          <w:szCs w:val="19"/>
          <w:color w:val="auto"/>
        </w:rPr>
        <w:t>The shares of the corporation may be certificated or uncertificated, and the</w:t>
      </w:r>
    </w:p>
    <w:p>
      <w:pPr>
        <w:spacing w:after="0" w:line="14"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board of directors may authorize the issuance of uncertificated shares of some or all of the shares of any or all of the classes or series of capital stock of the corporation. The corporation may adopt a system of issuance, recordation and transfer of shares of its capital stock by electronic or other means not involving any issuance of certificates, including provisions for notice to purchasers or other stockholders in substitution for any required statements on certificates, and as may be required by applicable law and stock exchange or market rules. Any system so adopted shall not become effective as to issued and outstanding certificated shares until the certificates therefor have been surrendered to the corporation. In the event the corporation issues shares of stock to be evidenced by certificates, each holder of such shares shall be entitled to have a certificate certifying the number of shares owned by such stockholder in the corporation, signed by or in the name of the corporation by (a) either the Chair of the Board, the Chief Executive Officer, the President or a Vice-President and (b) either the Treasurer or an Assistant Treasurer, or the Secretary or an Assistant Secretary of the corporation.</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If the corporation shall be authorized to issue more than one class of stock or more than one series of any class and any such shares are issued in certificated form,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certificates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shares, the registered owner thereof shall be given a notice, in writing or by electronic transmission, containing the information required to be set forth or stated on certificates pursuant to Sections 156, 202(a), 218(a) or 364 of the General Corporation Law of the State of Delaware or with respect to Section 151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Except as otherwise expressly provided by law, the rights and obligations of the holders of uncertificated shares and the rights and obligations of the holders of certificates representing stock of the same class and series shall be identical.</w:t>
      </w:r>
    </w:p>
    <w:p>
      <w:pPr>
        <w:spacing w:after="0" w:line="34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Section 6.02 Signature on Stock Certificates. </w:t>
      </w:r>
      <w:r>
        <w:rPr>
          <w:rFonts w:ascii="Arial" w:cs="Arial" w:eastAsia="Arial" w:hAnsi="Arial"/>
          <w:sz w:val="19"/>
          <w:szCs w:val="19"/>
          <w:color w:val="auto"/>
        </w:rPr>
        <w:t>Where a certificate is countersigned, (1) by a transfer agent</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the corporation or its employee, or (2) by a registrar other than the corporation or its employee, any other signature on the certificate may be facsimile. In case any officer, transfer agent or registrar who has signed or whose facsimile has been placed upon a certificate shall have ceased to be such officer, transfer agent or registrar before such certificate is issued, it may be issued by the corporation with the same effect as if such officer, transfer agent or registrar remained as such at the date of issue.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9" w:name="page70"/>
    <w:bookmarkEnd w:id="69"/>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Section 6.03 Lost Certificates. </w:t>
      </w:r>
      <w:r>
        <w:rPr>
          <w:rFonts w:ascii="Arial" w:cs="Arial" w:eastAsia="Arial" w:hAnsi="Arial"/>
          <w:sz w:val="22"/>
          <w:szCs w:val="22"/>
          <w:color w:val="auto"/>
        </w:rPr>
        <w:t>The board of directors may direct a new certificate or certificates to be issued</w:t>
      </w:r>
      <w:r>
        <w:rPr>
          <w:rFonts w:ascii="Arial" w:cs="Arial" w:eastAsia="Arial" w:hAnsi="Arial"/>
          <w:sz w:val="22"/>
          <w:szCs w:val="22"/>
          <w:b w:val="1"/>
          <w:bCs w:val="1"/>
          <w:color w:val="auto"/>
        </w:rPr>
        <w:t xml:space="preserve"> </w:t>
      </w:r>
      <w:r>
        <w:rPr>
          <w:rFonts w:ascii="Arial" w:cs="Arial" w:eastAsia="Arial" w:hAnsi="Arial"/>
          <w:sz w:val="22"/>
          <w:szCs w:val="22"/>
          <w:color w:val="auto"/>
        </w:rPr>
        <w:t>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such owner’s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8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Section 6.04 Transfers of Stock. </w:t>
      </w:r>
      <w:r>
        <w:rPr>
          <w:rFonts w:ascii="Arial" w:cs="Arial" w:eastAsia="Arial" w:hAnsi="Arial"/>
          <w:sz w:val="21"/>
          <w:szCs w:val="21"/>
          <w:color w:val="auto"/>
        </w:rPr>
        <w:t>Upon delivery to the corporation or the transfer agent of the corporation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proper evidence of succession, assignment or authority to transfer, and in the case of certificated shares, surrender to the corporation or the transfer agent of the corporation of a certificate for such shares, it shall be the duty of the corporation to record the transaction upon its books, and in the case of certificated shares, to issue a new certificate to the person entitled thereto and cancel the old certificate. The corporation may treat as the absolute owner of shares of capital stock of the corporation the person or persons in whose name such shares are registered on the books of the corporation. The board may make such additional rules and regulations as it may deem advisable concerning the issue and transfer of book-entry shares or certificates representing shares of the capital stock of the corporation.</w:t>
      </w:r>
    </w:p>
    <w:p>
      <w:pPr>
        <w:spacing w:after="0" w:line="17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Section 6.05 Fixing Record Date. </w:t>
      </w:r>
      <w:r>
        <w:rPr>
          <w:rFonts w:ascii="Arial" w:cs="Arial" w:eastAsia="Arial" w:hAnsi="Arial"/>
          <w:sz w:val="19"/>
          <w:szCs w:val="19"/>
          <w:color w:val="auto"/>
        </w:rPr>
        <w:t>In order that the corporation may determine the stockholders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or to vote at any meeting of stockholders or any adjournment thereof or entitled to receive payment of any dividend or other distribution of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4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Section 6.06 Registered Stockholders. </w:t>
      </w:r>
      <w:r>
        <w:rPr>
          <w:rFonts w:ascii="Arial" w:cs="Arial" w:eastAsia="Arial" w:hAnsi="Arial"/>
          <w:sz w:val="21"/>
          <w:szCs w:val="21"/>
          <w:color w:val="auto"/>
        </w:rPr>
        <w:t>The corporation shall be entitled to recognize the exclusive right of a</w:t>
      </w:r>
      <w:r>
        <w:rPr>
          <w:rFonts w:ascii="Arial" w:cs="Arial" w:eastAsia="Arial" w:hAnsi="Arial"/>
          <w:sz w:val="21"/>
          <w:szCs w:val="21"/>
          <w:b w:val="1"/>
          <w:bCs w:val="1"/>
          <w:color w:val="auto"/>
        </w:rPr>
        <w:t xml:space="preserve"> </w:t>
      </w:r>
      <w:r>
        <w:rPr>
          <w:rFonts w:ascii="Arial" w:cs="Arial" w:eastAsia="Arial" w:hAnsi="Arial"/>
          <w:sz w:val="21"/>
          <w:szCs w:val="21"/>
          <w:color w:val="auto"/>
        </w:rPr>
        <w:t>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22"/>
          <w:szCs w:val="22"/>
          <w:b w:val="1"/>
          <w:bCs w:val="1"/>
          <w:color w:val="auto"/>
        </w:rPr>
        <w:t>Section 7.01</w:t>
      </w:r>
      <w:r>
        <w:rPr>
          <w:sz w:val="20"/>
          <w:szCs w:val="20"/>
          <w:color w:val="auto"/>
        </w:rPr>
        <w:tab/>
      </w:r>
      <w:r>
        <w:rPr>
          <w:rFonts w:ascii="Arial" w:cs="Arial" w:eastAsia="Arial" w:hAnsi="Arial"/>
          <w:sz w:val="19"/>
          <w:szCs w:val="19"/>
          <w:b w:val="1"/>
          <w:bCs w:val="1"/>
          <w:color w:val="auto"/>
        </w:rPr>
        <w:t xml:space="preserve">Dividends. </w:t>
      </w:r>
      <w:r>
        <w:rPr>
          <w:rFonts w:ascii="Arial" w:cs="Arial" w:eastAsia="Arial" w:hAnsi="Arial"/>
          <w:sz w:val="19"/>
          <w:szCs w:val="19"/>
          <w:color w:val="auto"/>
        </w:rPr>
        <w:t>Dividends upon the capital stock of the corporation, subject to the provisions of</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applicable law, may be declared by the board of directors at any regular or special meeting, and paid either (a) out of its surplus, as defined by law, or (b) in case there shall be no such surplus, out of the corporation’s net profits for the fiscal year in which the dividend is declared and/or the preceding fiscal year. If the capital of the corporation, computed in accordance with law, shall have been diminished by depreciation in the value of its property, or by losses, or otherwise, to an amount less than the aggregate amount of the capital represented by the issued and outstanding stock of all classes having a preference upon the distribution of assets, the board of directors shall not, except as allowed by the laws of the State of Delaware, declare and pay out of such net profits any dividends upon any shares of any classes of the corporation’s capital stock until the deficiency in the amount of capital represented by the issued and outstanding stock of all classes having a preference upon the distribution of assets shall have been repaired. Dividends may be paid in cash, in property, or in shares of the capital stock, subject to the provisions of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0" w:name="page71"/>
    <w:bookmarkEnd w:id="70"/>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Section 7.02 Reserves. </w:t>
      </w:r>
      <w:r>
        <w:rPr>
          <w:rFonts w:ascii="Arial" w:cs="Arial" w:eastAsia="Arial" w:hAnsi="Arial"/>
          <w:sz w:val="21"/>
          <w:szCs w:val="21"/>
          <w:color w:val="auto"/>
        </w:rPr>
        <w:t>Before payment of any dividend, there may be set aside out of any funds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may think conducive to the interest of the corporation, and the directors may modify or abolish any such reserve in the manner in which it was created.</w:t>
      </w:r>
    </w:p>
    <w:p>
      <w:pPr>
        <w:spacing w:after="0" w:line="168"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Section 7.03 Checks. </w:t>
      </w:r>
      <w:r>
        <w:rPr>
          <w:rFonts w:ascii="Arial" w:cs="Arial" w:eastAsia="Arial" w:hAnsi="Arial"/>
          <w:sz w:val="22"/>
          <w:szCs w:val="22"/>
          <w:color w:val="auto"/>
        </w:rPr>
        <w:t>All checks or demands for money and notes of the corporation shall be signed by such</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or officers or such other person or persons as the board of directors may from time to time designate.</w:t>
      </w:r>
    </w:p>
    <w:p>
      <w:pPr>
        <w:sectPr>
          <w:pgSz w:w="11900" w:h="16838" w:orient="portrait"/>
          <w:cols w:equalWidth="0" w:num="1">
            <w:col w:w="11240"/>
          </w:cols>
          <w:pgMar w:left="320" w:top="355"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Fiscal Year.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The fiscal year of the corporation shall end on December 31.</w:t>
      </w:r>
    </w:p>
    <w:p>
      <w:pPr>
        <w:spacing w:after="0" w:line="200" w:lineRule="exact"/>
        <w:rPr>
          <w:sz w:val="20"/>
          <w:szCs w:val="20"/>
          <w:color w:val="auto"/>
        </w:rPr>
      </w:pPr>
    </w:p>
    <w:p>
      <w:pPr>
        <w:sectPr>
          <w:pgSz w:w="11900" w:h="16838" w:orient="portrait"/>
          <w:cols w:equalWidth="0" w:num="3">
            <w:col w:w="1980" w:space="720"/>
            <w:col w:w="1060" w:space="100"/>
            <w:col w:w="7380"/>
          </w:cols>
          <w:pgMar w:left="320" w:top="355" w:right="339" w:bottom="1440" w:gutter="0" w:footer="0" w:header="0"/>
          <w:type w:val="continuous"/>
        </w:sectPr>
      </w:pPr>
    </w:p>
    <w:p>
      <w:pPr>
        <w:spacing w:after="0" w:line="35" w:lineRule="exact"/>
        <w:rPr>
          <w:sz w:val="20"/>
          <w:szCs w:val="20"/>
          <w:color w:val="auto"/>
        </w:rPr>
      </w:pPr>
    </w:p>
    <w:p>
      <w:pPr>
        <w:ind w:left="660"/>
        <w:spacing w:after="0"/>
        <w:tabs>
          <w:tab w:leader="none" w:pos="2800" w:val="left"/>
        </w:tabs>
        <w:rPr>
          <w:sz w:val="20"/>
          <w:szCs w:val="20"/>
          <w:color w:val="auto"/>
        </w:rPr>
      </w:pPr>
      <w:r>
        <w:rPr>
          <w:rFonts w:ascii="Arial" w:cs="Arial" w:eastAsia="Arial" w:hAnsi="Arial"/>
          <w:sz w:val="22"/>
          <w:szCs w:val="22"/>
          <w:b w:val="1"/>
          <w:bCs w:val="1"/>
          <w:color w:val="auto"/>
        </w:rPr>
        <w:t>Section 7.05</w:t>
      </w:r>
      <w:r>
        <w:rPr>
          <w:sz w:val="20"/>
          <w:szCs w:val="20"/>
          <w:color w:val="auto"/>
        </w:rPr>
        <w:tab/>
      </w:r>
      <w:r>
        <w:rPr>
          <w:rFonts w:ascii="Arial" w:cs="Arial" w:eastAsia="Arial" w:hAnsi="Arial"/>
          <w:sz w:val="19"/>
          <w:szCs w:val="19"/>
          <w:b w:val="1"/>
          <w:bCs w:val="1"/>
          <w:color w:val="auto"/>
        </w:rPr>
        <w:t xml:space="preserve">Seal. </w:t>
      </w:r>
      <w:r>
        <w:rPr>
          <w:rFonts w:ascii="Arial" w:cs="Arial" w:eastAsia="Arial" w:hAnsi="Arial"/>
          <w:sz w:val="19"/>
          <w:szCs w:val="19"/>
          <w:color w:val="auto"/>
        </w:rPr>
        <w:t>The corporate seal shall have inscribed thereon the name of the corporation, the year of its</w:t>
      </w:r>
    </w:p>
    <w:p>
      <w:pPr>
        <w:sectPr>
          <w:pgSz w:w="11900" w:h="16838" w:orient="portrait"/>
          <w:cols w:equalWidth="0" w:num="1">
            <w:col w:w="11240"/>
          </w:cols>
          <w:pgMar w:left="320" w:top="355" w:right="339" w:bottom="1440" w:gutter="0" w:footer="0" w:header="0"/>
          <w:type w:val="continuous"/>
        </w:sectPr>
      </w:pPr>
    </w:p>
    <w:p>
      <w:pPr>
        <w:spacing w:after="0" w:line="27"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organization and the word “Delaware.” The seal may be used by causing it or a facsimile thereof to be impressed or affixed or reproduced or otherwise.</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Section 7.06 Indemnification and Advancement. </w:t>
      </w:r>
      <w:r>
        <w:rPr>
          <w:rFonts w:ascii="Arial" w:cs="Arial" w:eastAsia="Arial" w:hAnsi="Arial"/>
          <w:sz w:val="19"/>
          <w:szCs w:val="19"/>
          <w:color w:val="auto"/>
        </w:rPr>
        <w:t>The corporation shall indemnify any current or former</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 officer, employee or agent of the corporation who was or is a party or is threatened to be made a party to any threatened, pending or completed action, suit or proceeding, whether civil, criminal, administrative or investigative, to the full extent contemplated by Section 145 of the General Corporation Law of the State of Delaware. The corporation may purchase and maintain insurance on behalf of any person who is or was a director, officer, employee or agent of the corporation against any liability asserted against such person and incurred by such person in any such capacity, or arising out of such person’s status as such, whether or not the corporation would have the power to indemnify such person against such liability under the provisions of the General Corporation Law of the State of Delaware. The corporation’s indemnity of any person who is or was a director, officer, employee or agent of the corporation shall be reduced by any amounts such person may collect as indemnification under any policy of insurance purchased and maintained on such person’s behalf by the corporation.</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indemnification provided for herein shall not be deemed exclusive of any other rights to which those indemnified may be entitled under any certificate of incorporation, agreement, vote of stockholders or disinterested directors or otherwise, both as to action in such person’s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 addition to the right of indemnification granted under this Section 7.06, current and former directors and officers of the corporation shall also have the right to be paid by the corporation the expenses (including attorney’s fees) incurred in defending any such action, suit or proceeding contemplated by Section 145 of the General Corporation Law of the State of Delaware in advance of the final disposition of any such action, suit or proceeding upon the corporation’s receipt of an undertaking by or on behalf of such current or former director or officer to repay such amount if it shall be ultimately determined that such current or former officer or director is not entitled to be indemnified by the corporation pursuant to law or this Section 7.06.</w:t>
      </w:r>
    </w:p>
    <w:p>
      <w:pPr>
        <w:spacing w:after="0" w:line="15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Neither the amendment nor repeal of this Section 7.06, nor the adoption of any provisions of the Certificate of Incorporation inconsistent with this Section 7.06, shall eliminate or reduce the effect of this Section 7.06 in respect of any matter occurring, or any cause of action, suit or claim that, but for this Section 7.06 would accrue or arise, prior to such amendment, repeal or adopting of an inconsistent provision.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71" w:name="page72"/>
    <w:bookmarkEnd w:id="71"/>
    <w:p>
      <w:pPr>
        <w:ind w:left="660"/>
        <w:spacing w:after="0"/>
        <w:tabs>
          <w:tab w:leader="none" w:pos="2940" w:val="left"/>
        </w:tabs>
        <w:rPr>
          <w:sz w:val="20"/>
          <w:szCs w:val="20"/>
          <w:color w:val="auto"/>
        </w:rPr>
      </w:pPr>
      <w:r>
        <w:rPr>
          <w:rFonts w:ascii="Arial" w:cs="Arial" w:eastAsia="Arial" w:hAnsi="Arial"/>
          <w:sz w:val="22"/>
          <w:szCs w:val="22"/>
          <w:b w:val="1"/>
          <w:bCs w:val="1"/>
          <w:color w:val="auto"/>
        </w:rPr>
        <w:t>Section 7.07</w:t>
      </w:r>
      <w:r>
        <w:rPr>
          <w:sz w:val="20"/>
          <w:szCs w:val="20"/>
          <w:color w:val="auto"/>
        </w:rPr>
        <w:tab/>
      </w:r>
      <w:r>
        <w:rPr>
          <w:rFonts w:ascii="Arial" w:cs="Arial" w:eastAsia="Arial" w:hAnsi="Arial"/>
          <w:sz w:val="19"/>
          <w:szCs w:val="19"/>
          <w:b w:val="1"/>
          <w:bCs w:val="1"/>
          <w:color w:val="auto"/>
        </w:rPr>
        <w:t xml:space="preserve">Reliance upon Books, Reports and Records. </w:t>
      </w:r>
      <w:r>
        <w:rPr>
          <w:rFonts w:ascii="Arial" w:cs="Arial" w:eastAsia="Arial" w:hAnsi="Arial"/>
          <w:sz w:val="19"/>
          <w:szCs w:val="19"/>
          <w:color w:val="auto"/>
        </w:rPr>
        <w:t>Each director, each member of any committee</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designated by the board of directors, and each officer of the corporation shall, in the performance of such person’s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spacing w:after="0" w:line="1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Section 7.08 Inspection of Books by Stockholders. </w:t>
      </w:r>
      <w:r>
        <w:rPr>
          <w:rFonts w:ascii="Arial" w:cs="Arial" w:eastAsia="Arial" w:hAnsi="Arial"/>
          <w:sz w:val="19"/>
          <w:szCs w:val="19"/>
          <w:color w:val="auto"/>
        </w:rPr>
        <w:t>Subject to the laws of the State of Delaware,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shall have the power to determine from time to time and at any time whether and to what extent and at what times and places and under what conditions and regulations the records of account, books and stock ledgers of the corporation, or any of them, shall be open to inspection and copying by stockholders, their agents or attorneys; and no stockholder, or agent or attorney of such stockholder, shall have any right to inspect or copy any record of account or book or stock ledger, or any part thereof, of the corporation, except as conferred by the laws of the State of Delaware, unless and until authorized so to do by resolution of the board of directors or of the stockholders and unless and until such stockholder agrees to comply with, and abide by, such conditions and regulations governing inspection and copying thereof, as determined by the board of directors.</w:t>
      </w:r>
    </w:p>
    <w:p>
      <w:pPr>
        <w:spacing w:after="0" w:line="150" w:lineRule="exact"/>
        <w:rPr>
          <w:sz w:val="20"/>
          <w:szCs w:val="20"/>
          <w:color w:val="auto"/>
        </w:rPr>
      </w:pPr>
    </w:p>
    <w:p>
      <w:pPr>
        <w:ind w:left="660"/>
        <w:spacing w:after="0"/>
        <w:tabs>
          <w:tab w:leader="none" w:pos="3180" w:val="left"/>
        </w:tabs>
        <w:rPr>
          <w:sz w:val="20"/>
          <w:szCs w:val="20"/>
          <w:color w:val="auto"/>
        </w:rPr>
      </w:pPr>
      <w:r>
        <w:rPr>
          <w:rFonts w:ascii="Arial" w:cs="Arial" w:eastAsia="Arial" w:hAnsi="Arial"/>
          <w:sz w:val="22"/>
          <w:szCs w:val="22"/>
          <w:b w:val="1"/>
          <w:bCs w:val="1"/>
          <w:color w:val="auto"/>
        </w:rPr>
        <w:t>Section 7.09</w:t>
      </w:r>
      <w:r>
        <w:rPr>
          <w:sz w:val="20"/>
          <w:szCs w:val="20"/>
          <w:color w:val="auto"/>
        </w:rPr>
        <w:tab/>
      </w:r>
      <w:r>
        <w:rPr>
          <w:rFonts w:ascii="Arial" w:cs="Arial" w:eastAsia="Arial" w:hAnsi="Arial"/>
          <w:sz w:val="19"/>
          <w:szCs w:val="19"/>
          <w:b w:val="1"/>
          <w:bCs w:val="1"/>
          <w:color w:val="auto"/>
        </w:rPr>
        <w:t xml:space="preserve">Transactions with Directors, Officers, etc.  </w:t>
      </w:r>
      <w:r>
        <w:rPr>
          <w:rFonts w:ascii="Arial" w:cs="Arial" w:eastAsia="Arial" w:hAnsi="Arial"/>
          <w:sz w:val="19"/>
          <w:szCs w:val="19"/>
          <w:color w:val="auto"/>
        </w:rPr>
        <w:t>The corporation may enter into contracts or</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transactions with one or more of its directors, officers, employees or stockholders, or with any other corporation, partnership, association, or other organization in which one or more of its directors, officers, employees or stockholders are directors, officers, partners, employees or stockholders, or have a financial interest, to the full extent authorized and permitted by the laws of the State of Delaware.</w:t>
      </w:r>
    </w:p>
    <w:p>
      <w:pPr>
        <w:spacing w:after="0" w:line="18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Section 7.10 Forum. </w:t>
      </w:r>
      <w:r>
        <w:rPr>
          <w:rFonts w:ascii="Arial" w:cs="Arial" w:eastAsia="Arial" w:hAnsi="Arial"/>
          <w:sz w:val="21"/>
          <w:szCs w:val="21"/>
          <w:color w:val="auto"/>
        </w:rPr>
        <w:t>Unless the corporation consents in writing to the selection of an alternative forum, to the</w:t>
      </w:r>
      <w:r>
        <w:rPr>
          <w:rFonts w:ascii="Arial" w:cs="Arial" w:eastAsia="Arial" w:hAnsi="Arial"/>
          <w:sz w:val="21"/>
          <w:szCs w:val="21"/>
          <w:b w:val="1"/>
          <w:bCs w:val="1"/>
          <w:color w:val="auto"/>
        </w:rPr>
        <w:t xml:space="preserve"> </w:t>
      </w:r>
      <w:r>
        <w:rPr>
          <w:rFonts w:ascii="Arial" w:cs="Arial" w:eastAsia="Arial" w:hAnsi="Arial"/>
          <w:sz w:val="21"/>
          <w:szCs w:val="21"/>
          <w:color w:val="auto"/>
        </w:rPr>
        <w:t>fullest extent permitted by law, all Internal Corporate Claims shall be brought solely and exclusively in the Court of Chancery of the State of Delaware (or, if such court declines to accept jurisdiction, the Superior Court of the State of Delaware, or, if such other court declines to accept jurisdiction, the United States District Court for the District of Delaware). “Internal Corporate Claims” means claims, including claims in the right of the corporation, brought by a current or former stockholder (including a current or former beneficial owner) (i) that are based upon a violation of a duty by a current or former director or officer or stockholder in such capacity or (ii) as to which the General Corporation Law of the State of Delaware confers jurisdiction upon the Court of Chancery of the State of Delaware.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2860" w:val="left"/>
        </w:tabs>
        <w:rPr>
          <w:sz w:val="20"/>
          <w:szCs w:val="20"/>
          <w:color w:val="auto"/>
        </w:rPr>
      </w:pPr>
      <w:r>
        <w:rPr>
          <w:rFonts w:ascii="Arial" w:cs="Arial" w:eastAsia="Arial" w:hAnsi="Arial"/>
          <w:sz w:val="22"/>
          <w:szCs w:val="22"/>
          <w:b w:val="1"/>
          <w:bCs w:val="1"/>
          <w:color w:val="auto"/>
        </w:rPr>
        <w:t>Section 8.01</w:t>
      </w:r>
      <w:r>
        <w:rPr>
          <w:sz w:val="20"/>
          <w:szCs w:val="20"/>
          <w:color w:val="auto"/>
        </w:rPr>
        <w:tab/>
      </w:r>
      <w:r>
        <w:rPr>
          <w:rFonts w:ascii="Arial" w:cs="Arial" w:eastAsia="Arial" w:hAnsi="Arial"/>
          <w:sz w:val="19"/>
          <w:szCs w:val="19"/>
          <w:b w:val="1"/>
          <w:bCs w:val="1"/>
          <w:color w:val="auto"/>
        </w:rPr>
        <w:t xml:space="preserve">Amendments. </w:t>
      </w:r>
      <w:r>
        <w:rPr>
          <w:rFonts w:ascii="Arial" w:cs="Arial" w:eastAsia="Arial" w:hAnsi="Arial"/>
          <w:sz w:val="19"/>
          <w:szCs w:val="19"/>
          <w:color w:val="auto"/>
        </w:rPr>
        <w:t>These By-Laws may be altered, amended or repealed or new By-Laws may be</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adopted by the stockholders, only by the affirmative vote of the holders of a majority of the common stock outstanding, or by the board of directors at any regular meeting of the stockholders or of the board of directors or at any special meeting of the stockholders or of the board of directors if notice of such alteration, amendment, repeal or adoption of new By-Laws be contained in the notice of such meeting, or by any consent of the directors executed in accordance with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INDEPENDENT REGISTERED PUBLIC ACCOUNTING FIRM’S CONSENT</w:t>
      </w:r>
    </w:p>
    <w:p>
      <w:pPr>
        <w:spacing w:after="0" w:line="200" w:lineRule="exact"/>
        <w:rPr>
          <w:sz w:val="20"/>
          <w:szCs w:val="20"/>
          <w:color w:val="auto"/>
        </w:rPr>
      </w:pPr>
    </w:p>
    <w:p>
      <w:pPr>
        <w:spacing w:after="0" w:line="3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of TransAct Technologies Incorporated on Form S-8 [File Nos. 333-203184, 333-132624, 333-170515, 333-221514, and 333-248054] and Form S-3 [File No. 333-248055 and 333-261026] of our report dated March 27, 2023, with respect to our audits of the consolidated financial statements of TransAct Technologies Incorporated as of December 31, 2022 and 2021 and for the years ended December 31, 2022 and 2021, which report is included in this Annual Report on Form 10-K of TransAct Technologies Incorporated for the year ended December 31,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report on the consolidated financial statements refers to a change in the method of accounting for its method of inventory valuation from standard cost (which approximated actual cost on a “first-in, first-out” basis) to the average cost method of inventory accounting, which was applied retrospectively to all periods presented.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867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ACCORANCE WITH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515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2022, as filed with the Securities and Exchange Commission on the date hereof (the “Report”), each of the undersigned officers of the Company, certify, pursuant to 18 U.S.C. § 1350, as adopted pursuant to § 906 of the Sarbanes-Oxley Act of 2002, that to the best of his knowledge:</w:t>
      </w:r>
    </w:p>
    <w:p>
      <w:pPr>
        <w:spacing w:after="0" w:line="192" w:lineRule="exact"/>
        <w:rPr>
          <w:sz w:val="20"/>
          <w:szCs w:val="20"/>
          <w:color w:val="auto"/>
        </w:rPr>
      </w:pPr>
    </w:p>
    <w:p>
      <w:pPr>
        <w:ind w:left="820" w:hanging="326"/>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867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2023</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Roman"/>
      <w:start w:val="1"/>
    </w:lvl>
  </w:abstractNum>
  <w:abstractNum w:abstractNumId="14">
    <w:nsid w:val="B03E0C6"/>
    <w:multiLevelType w:val="hybridMultilevel"/>
    <w:lvl w:ilvl="0">
      <w:lvlJc w:val="left"/>
      <w:lvlText w:val="%1"/>
      <w:numFmt w:val="upperLetter"/>
      <w:start w:val="68"/>
    </w:lvl>
  </w:abstractNum>
  <w:abstractNum w:abstractNumId="15">
    <w:nsid w:val="189A769B"/>
    <w:multiLevelType w:val="hybridMultilevel"/>
    <w:lvl w:ilvl="0">
      <w:lvlJc w:val="left"/>
      <w:lvlText w:val="(%1)"/>
      <w:numFmt w:val="lowerRoman"/>
      <w:start w:val="1"/>
    </w:lvl>
  </w:abstractNum>
  <w:abstractNum w:abstractNumId="16">
    <w:nsid w:val="54E49EB4"/>
    <w:multiLevelType w:val="hybridMultilevel"/>
    <w:lvl w:ilvl="0">
      <w:lvlJc w:val="left"/>
      <w:lvlText w:val="(%1)"/>
      <w:numFmt w:val="lowerRoman"/>
      <w:start w:val="4"/>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2"/>
    </w:lvl>
  </w:abstractNum>
  <w:abstractNum w:abstractNumId="19">
    <w:nsid w:val="836C40E"/>
    <w:multiLevelType w:val="hybridMultilevel"/>
    <w:lvl w:ilvl="0">
      <w:lvlJc w:val="left"/>
      <w:lvlText w:val="%1."/>
      <w:numFmt w:val="decimal"/>
      <w:start w:val="3"/>
    </w:lvl>
  </w:abstractNum>
  <w:abstractNum w:abstractNumId="20">
    <w:nsid w:val="2901D82"/>
    <w:multiLevelType w:val="hybridMultilevel"/>
    <w:lvl w:ilvl="0">
      <w:lvlJc w:val="left"/>
      <w:lvlText w:val="%1"/>
      <w:numFmt w:val="decimal"/>
      <w:start w:val="21"/>
    </w:lvl>
  </w:abstractNum>
  <w:abstractNum w:abstractNumId="21">
    <w:nsid w:val="3A95F874"/>
    <w:multiLevelType w:val="hybridMultilevel"/>
    <w:lvl w:ilvl="0">
      <w:lvlJc w:val="left"/>
      <w:lvlText w:val="(%1)"/>
      <w:numFmt w:val="lowerLetter"/>
      <w:start w:val="24"/>
    </w:lvl>
    <w:lvl w:ilvl="1">
      <w:lvlJc w:val="left"/>
      <w:lvlText w:val="(%2)"/>
      <w:numFmt w:val="lowerLetter"/>
      <w:start w:val="2"/>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lowerRoman"/>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3"/>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Roman"/>
      <w:start w:val="1"/>
    </w:lvl>
  </w:abstractNum>
  <w:abstractNum w:abstractNumId="32">
    <w:nsid w:val="5577F8E1"/>
    <w:multiLevelType w:val="hybridMultilevel"/>
    <w:lvl w:ilvl="0">
      <w:lvlJc w:val="left"/>
      <w:lvlText w:val="(%1)"/>
      <w:numFmt w:val="lowerRoman"/>
      <w:start w:val="4"/>
    </w:lvl>
  </w:abstractNum>
  <w:abstractNum w:abstractNumId="33">
    <w:nsid w:val="440BADFC"/>
    <w:multiLevelType w:val="hybridMultilevel"/>
    <w:lvl w:ilvl="0">
      <w:lvlJc w:val="left"/>
      <w:lvlText w:val="(%1)"/>
      <w:numFmt w:val="decimal"/>
      <w:start w:val="4"/>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6" Type="http://schemas.openxmlformats.org/officeDocument/2006/relationships/image" Target="media/image33.png"/><Relationship Id="rId58" Type="http://schemas.openxmlformats.org/officeDocument/2006/relationships/image" Target="media/image34.png"/><Relationship Id="rId60" Type="http://schemas.openxmlformats.org/officeDocument/2006/relationships/image" Target="media/image35.png"/><Relationship Id="rId63" Type="http://schemas.openxmlformats.org/officeDocument/2006/relationships/image" Target="media/image36.png"/><Relationship Id="rId66" Type="http://schemas.openxmlformats.org/officeDocument/2006/relationships/image" Target="media/image37.png"/><Relationship Id="rId69" Type="http://schemas.openxmlformats.org/officeDocument/2006/relationships/image" Target="media/image38.png"/><Relationship Id="rId72" Type="http://schemas.openxmlformats.org/officeDocument/2006/relationships/image" Target="media/image39.png"/><Relationship Id="rId75" Type="http://schemas.openxmlformats.org/officeDocument/2006/relationships/image" Target="media/image40.png"/><Relationship Id="rId78" Type="http://schemas.openxmlformats.org/officeDocument/2006/relationships/image" Target="media/image41.png"/><Relationship Id="rId81" Type="http://schemas.openxmlformats.org/officeDocument/2006/relationships/image" Target="media/image42.png"/><Relationship Id="rId84" Type="http://schemas.openxmlformats.org/officeDocument/2006/relationships/image" Target="media/image43.png"/><Relationship Id="rId86" Type="http://schemas.openxmlformats.org/officeDocument/2006/relationships/image" Target="media/image44.png"/><Relationship Id="rId87"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98" Type="http://schemas.openxmlformats.org/officeDocument/2006/relationships/image" Target="media/image56.png"/><Relationship Id="rId99"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40" Type="http://schemas.openxmlformats.org/officeDocument/2006/relationships/hyperlink" Target="https://www.sec.gov/Archives/edgar/data/1017303/000114036122030288/exhibit3-2.htm" TargetMode="External"/><Relationship Id="rId41" Type="http://schemas.openxmlformats.org/officeDocument/2006/relationships/hyperlink" Target="https://www.sec.gov/Archives/edgar/data/1017303/0000914039-99-000055.txt" TargetMode="External"/><Relationship Id="rId42" Type="http://schemas.openxmlformats.org/officeDocument/2006/relationships/hyperlink" Target="https://www.sec.gov/Archives/edgar/data/1017303/000091403900000221/0000914039-00-000221.txt" TargetMode="External"/><Relationship Id="rId43" Type="http://schemas.openxmlformats.org/officeDocument/2006/relationships/hyperlink" Target="https://www.sec.gov/Archives/edgar/data/1017303/0000950135-96-003298.txt" TargetMode="External"/><Relationship Id="rId44" Type="http://schemas.openxmlformats.org/officeDocument/2006/relationships/hyperlink" Target="https://www.sec.gov/Archives/edgar/data/1017303/000101730320000012/exhibit42.htm" TargetMode="External"/><Relationship Id="rId45" Type="http://schemas.openxmlformats.org/officeDocument/2006/relationships/hyperlink" Target="https://www.sec.gov/Archives/edgar/data/1017303/000095012305006988/y09630exv99w1.txt" TargetMode="External"/><Relationship Id="rId46" Type="http://schemas.openxmlformats.org/officeDocument/2006/relationships/hyperlink" Target="https://www.sec.gov/Archives/edgar/data/1017303/000101730320000024/def14aproxy.htm" TargetMode="External"/><Relationship Id="rId47" Type="http://schemas.openxmlformats.org/officeDocument/2006/relationships/hyperlink" Target="https://www.sec.gov/Archives/edgar/data/1017303/000101730316000100/exhibit102.htm" TargetMode="External"/><Relationship Id="rId48" Type="http://schemas.openxmlformats.org/officeDocument/2006/relationships/hyperlink" Target="https://www.sec.gov/Archives/edgar/data/1017303/000101730316000112/exhibit101.htm" TargetMode="External"/><Relationship Id="rId49" Type="http://schemas.openxmlformats.org/officeDocument/2006/relationships/hyperlink" Target="https://www.sec.gov/Archives/edgar/data/1017303/000101730314000027/exhibit10-02.htm" TargetMode="External"/><Relationship Id="rId50" Type="http://schemas.openxmlformats.org/officeDocument/2006/relationships/hyperlink" Target="https://www.sec.gov/Archives/edgar/data/1017303/000095012305003228/y06777exv10w8wx.txt" TargetMode="External"/><Relationship Id="rId51" Type="http://schemas.openxmlformats.org/officeDocument/2006/relationships/hyperlink" Target="https://www.sec.gov/Archives/edgar/data/1017303/000101730309000003/exhibit1010x.htm" TargetMode="External"/><Relationship Id="rId52" Type="http://schemas.openxmlformats.org/officeDocument/2006/relationships/hyperlink" Target="https://www.sec.gov/Archives/edgar/data/1017303/000101730309000003/exhibit1012x.htm" TargetMode="External"/><Relationship Id="rId53" Type="http://schemas.openxmlformats.org/officeDocument/2006/relationships/hyperlink" Target="https://www.sec.gov/Archives/edgar/data/1017303/000101730322000014/exhibit1010.htm" TargetMode="External"/><Relationship Id="rId54" Type="http://schemas.openxmlformats.org/officeDocument/2006/relationships/hyperlink" Target="https://www.sec.gov/Archives/edgar/data/1017303/000101730322000014/exhibit1011.htm" TargetMode="External"/><Relationship Id="rId55" Type="http://schemas.openxmlformats.org/officeDocument/2006/relationships/hyperlink" Target="https://www.sec.gov/Archives/edgar/data/1017303/000121465922015376/ex10_1.htm" TargetMode="External"/><Relationship Id="rId57" Type="http://schemas.openxmlformats.org/officeDocument/2006/relationships/hyperlink" Target="https://www.sec.gov/Archives/edgar/data/1017303/0000950135-96-002813.txt" TargetMode="External"/><Relationship Id="rId59" Type="http://schemas.openxmlformats.org/officeDocument/2006/relationships/hyperlink" Target="https://www.sec.gov/Archives/edgar/data/1017303/0000914039-98-000134.txt" TargetMode="External"/><Relationship Id="rId61" Type="http://schemas.openxmlformats.org/officeDocument/2006/relationships/hyperlink" Target="https://www.sec.gov/Archives/edgar/data/1017303/000091403902000121/y58940ex10-8.txt" TargetMode="External"/><Relationship Id="rId62" Type="http://schemas.openxmlformats.org/officeDocument/2006/relationships/hyperlink" Target="https://www.sec.gov/Archives/edgar/data/1017303/000101730312000026/exhibit1016.htm" TargetMode="External"/><Relationship Id="rId64" Type="http://schemas.openxmlformats.org/officeDocument/2006/relationships/hyperlink" Target="https://www.sec.gov/Archives/edgar/data/1017303/000101730316000085/exhibit1013.htm" TargetMode="External"/><Relationship Id="rId65" Type="http://schemas.openxmlformats.org/officeDocument/2006/relationships/hyperlink" Target="https://www.sec.gov/Archives/edgar/data/1017303/000101730320000006/exhibit101.htm" TargetMode="External"/><Relationship Id="rId67" Type="http://schemas.openxmlformats.org/officeDocument/2006/relationships/hyperlink" Target="https://www.sec.gov/Archives/edgar/data/1017303/000095012305003228/y06777exv10w13.txt" TargetMode="External"/><Relationship Id="rId68" Type="http://schemas.openxmlformats.org/officeDocument/2006/relationships/hyperlink" Target="https://www.sec.gov/Archives/edgar/data/1017303/000101730310000006/exhibit1019.htm" TargetMode="External"/><Relationship Id="rId70" Type="http://schemas.openxmlformats.org/officeDocument/2006/relationships/hyperlink" Target="https://www.sec.gov/Archives/edgar/data/1017303/000101730315000047/exhibit102.htm" TargetMode="External"/><Relationship Id="rId71" Type="http://schemas.openxmlformats.org/officeDocument/2006/relationships/hyperlink" Target="https://www.sec.gov/Archives/edgar/data/1017303/000095012307003917/y31948exv10w14.txt" TargetMode="External"/><Relationship Id="rId73" Type="http://schemas.openxmlformats.org/officeDocument/2006/relationships/hyperlink" Target="https://www.sec.gov/Archives/edgar/data/1017303/000101730317000014/exhibit1020.htm" TargetMode="External"/><Relationship Id="rId74" Type="http://schemas.openxmlformats.org/officeDocument/2006/relationships/hyperlink" Target="https://www.sec.gov/Archives/edgar/data/1017303/000101730321000042/exhbit101.htm" TargetMode="External"/><Relationship Id="rId76" Type="http://schemas.openxmlformats.org/officeDocument/2006/relationships/hyperlink" Target="https://www.sec.gov/Archives/edgar/data/1017303/000101730320000037/exhibit102.htm" TargetMode="External"/><Relationship Id="rId77" Type="http://schemas.openxmlformats.org/officeDocument/2006/relationships/hyperlink" Target="https://www.sec.gov/Archives/edgar/data/1017303/000101730321000061/exihibit991.htm" TargetMode="External"/><Relationship Id="rId79" Type="http://schemas.openxmlformats.org/officeDocument/2006/relationships/hyperlink" Target="https://www.sec.gov/Archives/edgar/data/1017303/000121465922009128/ex10_1.htm" TargetMode="External"/><Relationship Id="rId80" Type="http://schemas.openxmlformats.org/officeDocument/2006/relationships/hyperlink" Target="https://www.sec.gov/Archives/edgar/data/1017303/000121465922009128/ex10_2.htm" TargetMode="External"/><Relationship Id="rId82" Type="http://schemas.openxmlformats.org/officeDocument/2006/relationships/hyperlink" Target="https://www.sec.gov/Archives/edgar/data/1017303/000101730321000020/ex10_24.htm" TargetMode="External"/><Relationship Id="rId83" Type="http://schemas.openxmlformats.org/officeDocument/2006/relationships/hyperlink" Target="https://www.sec.gov/Archives/edgar/data/1017303/000101730321000020/ex10_25.htm" TargetMode="External"/><Relationship Id="rId85" Type="http://schemas.openxmlformats.org/officeDocument/2006/relationships/hyperlink" Target="https://www.sec.gov/Archives/edgar/data/1017303/000121465922004610/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2023-03-28T05:32:58Z</dcterms:created>
  <dcterms:modified xsi:type="dcterms:W3CDTF">2023-03-28T05:32:58Z</dcterms:modified>
</cp:coreProperties>
</file>