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4" w:lineRule="exact"/>
        <w:rPr>
          <w:sz w:val="24"/>
          <w:szCs w:val="24"/>
          <w:color w:val="auto"/>
        </w:rPr>
      </w:pPr>
    </w:p>
    <w:p>
      <w:pPr>
        <w:ind w:left="820" w:right="1400"/>
        <w:spacing w:after="0" w:line="422" w:lineRule="auto"/>
        <w:rPr>
          <w:sz w:val="20"/>
          <w:szCs w:val="20"/>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_______________ to _______________.</w:t>
      </w:r>
    </w:p>
    <w:p>
      <w:pPr>
        <w:jc w:val="center"/>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0-21121</w:t>
      </w:r>
    </w:p>
    <w:p>
      <w:pPr>
        <w:ind w:left="25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-12065</wp:posOffset>
            </wp:positionV>
            <wp:extent cx="302704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704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06-1456680</w:t>
            </w:r>
          </w:p>
        </w:tc>
      </w:tr>
      <w:tr>
        <w:trPr>
          <w:trHeight w:val="234"/>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26"/>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One Hamden Center, 2319 Whitney Avenue, Suite 3B, Hamden, CT</w:t>
            </w:r>
          </w:p>
        </w:tc>
        <w:tc>
          <w:tcPr>
            <w:tcW w:w="5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06518</w:t>
            </w:r>
          </w:p>
        </w:tc>
      </w:tr>
      <w:tr>
        <w:trPr>
          <w:trHeight w:val="234"/>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8"/>
        </w:trPr>
        <w:tc>
          <w:tcPr>
            <w:tcW w:w="3700" w:type="dxa"/>
            <w:vAlign w:val="bottom"/>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Pr>
          <w:p>
            <w:pPr>
              <w:jc w:val="center"/>
              <w:ind w:left="730"/>
              <w:spacing w:after="0" w:line="198"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TACT</w:t>
            </w:r>
          </w:p>
        </w:tc>
        <w:tc>
          <w:tcPr>
            <w:tcW w:w="40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44"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78" w:right="239" w:bottom="1440" w:gutter="0" w:footer="0" w:header="0"/>
        </w:sectPr>
      </w:pPr>
    </w:p>
    <w:p>
      <w:pPr>
        <w:spacing w:after="0" w:line="138"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15" w:lineRule="auto"/>
        <w:rPr>
          <w:sz w:val="20"/>
          <w:szCs w:val="20"/>
          <w:color w:val="auto"/>
        </w:rPr>
      </w:pPr>
      <w:r>
        <w:rPr>
          <w:rFonts w:ascii="Times New Roman" w:cs="Times New Roman" w:eastAsia="Times New Roman" w:hAnsi="Times New Roman"/>
          <w:sz w:val="17"/>
          <w:szCs w:val="17"/>
          <w:color w:val="auto"/>
        </w:rPr>
        <w:t>Smaller reporting company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5" w:lineRule="exact"/>
        <w:rPr>
          <w:sz w:val="24"/>
          <w:szCs w:val="24"/>
          <w:color w:val="auto"/>
        </w:rPr>
      </w:pPr>
    </w:p>
    <w:p>
      <w:pPr>
        <w:sectPr>
          <w:pgSz w:w="11900" w:h="16838" w:orient="portrait"/>
          <w:cols w:equalWidth="0" w:num="3">
            <w:col w:w="5800" w:space="720"/>
            <w:col w:w="1960" w:space="100"/>
            <w:col w:w="2840"/>
          </w:cols>
          <w:pgMar w:left="240" w:top="178" w:right="239" w:bottom="1440" w:gutter="0" w:footer="0" w:header="0"/>
          <w:type w:val="continuous"/>
        </w:sectPr>
      </w:pPr>
    </w:p>
    <w:p>
      <w:pPr>
        <w:ind w:right="2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2020"/>
        <w:spacing w:after="0" w:line="3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2019, the number of shares outstanding of the Company’s common stock, $0.01 par value, was 7,470,248.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00" w:type="dxa"/>
            <w:vAlign w:val="bottom"/>
            <w:gridSpan w:val="12"/>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82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8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5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580" w:type="dxa"/>
            <w:vAlign w:val="bottom"/>
            <w:tcBorders>
              <w:top w:val="single" w:sz="8" w:color="auto"/>
            </w:tcBorders>
          </w:tcPr>
          <w:p>
            <w:pPr>
              <w:spacing w:after="0"/>
              <w:rPr>
                <w:sz w:val="24"/>
                <w:szCs w:val="24"/>
                <w:color w:val="auto"/>
              </w:rPr>
            </w:pPr>
          </w:p>
        </w:tc>
        <w:tc>
          <w:tcPr>
            <w:tcW w:w="4600" w:type="dxa"/>
            <w:vAlign w:val="bottom"/>
            <w:gridSpan w:val="8"/>
          </w:tcPr>
          <w:p>
            <w:pPr>
              <w:spacing w:after="0"/>
              <w:rPr>
                <w:sz w:val="24"/>
                <w:szCs w:val="24"/>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419"/>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82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2019 and December 31, 2018</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 for the three and nine months ended September 30, 2019 and 2018</w:t>
              </w:r>
            </w:hyperlink>
          </w:p>
        </w:tc>
        <w:tc>
          <w:tcPr>
            <w:tcW w:w="130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nine months ended September 30, 2019 and 2018</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nine months ended September 30, 2019 and 2018</w:t>
              </w:r>
            </w:hyperlink>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 of Changes in Shareholders' Equity for the three and nine months ended September 30, 2019</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83"/>
        </w:trPr>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and 2018</w:t>
              </w:r>
            </w:hyperlink>
          </w:p>
        </w:tc>
        <w:tc>
          <w:tcPr>
            <w:tcW w:w="8600" w:type="dxa"/>
            <w:vAlign w:val="bottom"/>
            <w:tcBorders>
              <w:top w:val="single" w:sz="8" w:color="0000EE"/>
            </w:tcBorders>
            <w:gridSpan w:val="16"/>
          </w:tcPr>
          <w:p>
            <w:pPr>
              <w:spacing w:after="0"/>
              <w:rPr>
                <w:sz w:val="15"/>
                <w:szCs w:val="15"/>
                <w:color w:val="auto"/>
              </w:rPr>
            </w:pPr>
          </w:p>
        </w:tc>
        <w:tc>
          <w:tcPr>
            <w:tcW w:w="2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2"/>
          </w:tcPr>
          <w:p>
            <w:pPr>
              <w:spacing w:after="0"/>
              <w:rPr>
                <w:sz w:val="24"/>
                <w:szCs w:val="24"/>
                <w:color w:val="auto"/>
              </w:rPr>
            </w:pPr>
          </w:p>
        </w:tc>
        <w:tc>
          <w:tcPr>
            <w:tcW w:w="312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Controls and Procedures</w:t>
              </w:r>
            </w:hyperlink>
          </w:p>
        </w:tc>
        <w:tc>
          <w:tcPr>
            <w:tcW w:w="778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26"/>
        </w:trPr>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82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4"/>
                <w:szCs w:val="24"/>
                <w:color w:val="auto"/>
              </w:rPr>
            </w:pPr>
          </w:p>
        </w:tc>
        <w:tc>
          <w:tcPr>
            <w:tcW w:w="82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Unregistered Sales of Equity Securities and Use of Proceeds</w:t>
              </w:r>
            </w:hyperlink>
          </w:p>
        </w:tc>
        <w:tc>
          <w:tcPr>
            <w:tcW w:w="520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Default Upon Senior Securities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Mine Safety Disclosures</w:t>
              </w:r>
            </w:hyperlink>
          </w:p>
        </w:tc>
        <w:tc>
          <w:tcPr>
            <w:tcW w:w="480" w:type="dxa"/>
            <w:vAlign w:val="bottom"/>
            <w:tcBorders>
              <w:top w:val="single" w:sz="8" w:color="0000EE"/>
            </w:tcBorders>
          </w:tcPr>
          <w:p>
            <w:pPr>
              <w:spacing w:after="0"/>
              <w:rPr>
                <w:sz w:val="24"/>
                <w:szCs w:val="24"/>
                <w:color w:val="auto"/>
              </w:rPr>
            </w:pPr>
          </w:p>
        </w:tc>
        <w:tc>
          <w:tcPr>
            <w:tcW w:w="730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Exhibits</w:t>
              </w:r>
            </w:hyperlink>
          </w:p>
        </w:tc>
        <w:tc>
          <w:tcPr>
            <w:tcW w:w="824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9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SIGNATURES</w:t>
              </w:r>
            </w:hyperlink>
          </w:p>
        </w:tc>
        <w:tc>
          <w:tcPr>
            <w:tcW w:w="9320" w:type="dxa"/>
            <w:vAlign w:val="bottom"/>
            <w:gridSpan w:val="20"/>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537"/>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13"/>
          </w:tcPr>
          <w:p>
            <w:pPr>
              <w:jc w:val="center"/>
              <w:ind w:left="4291"/>
              <w:spacing w:after="0"/>
              <w:rPr>
                <w:sz w:val="20"/>
                <w:szCs w:val="20"/>
                <w:color w:val="auto"/>
              </w:rPr>
            </w:pPr>
            <w:r>
              <w:rPr>
                <w:rFonts w:ascii="Times New Roman" w:cs="Times New Roman" w:eastAsia="Times New Roman" w:hAnsi="Times New Roman"/>
                <w:sz w:val="14"/>
                <w:szCs w:val="14"/>
                <w:color w:val="auto"/>
                <w:w w:val="85"/>
              </w:rPr>
              <w:t>2</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
        </w:trPr>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Pr>
          <w:p>
            <w:pPr>
              <w:jc w:val="center"/>
              <w:ind w:left="17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84"/>
        </w:trPr>
        <w:tc>
          <w:tcPr>
            <w:tcW w:w="760" w:type="dxa"/>
            <w:vAlign w:val="bottom"/>
            <w:gridSpan w:val="2"/>
            <w:vMerge w:val="continue"/>
          </w:tcPr>
          <w:p>
            <w:pPr>
              <w:spacing w:after="0"/>
              <w:rPr>
                <w:sz w:val="16"/>
                <w:szCs w:val="16"/>
                <w:color w:val="auto"/>
              </w:rPr>
            </w:pPr>
          </w:p>
        </w:tc>
        <w:tc>
          <w:tcPr>
            <w:tcW w:w="8060" w:type="dxa"/>
            <w:vAlign w:val="bottom"/>
          </w:tcPr>
          <w:p>
            <w:pPr>
              <w:spacing w:after="0"/>
              <w:rPr>
                <w:sz w:val="16"/>
                <w:szCs w:val="16"/>
                <w:color w:val="auto"/>
              </w:rPr>
            </w:pPr>
          </w:p>
        </w:tc>
        <w:tc>
          <w:tcPr>
            <w:tcW w:w="2600" w:type="dxa"/>
            <w:vAlign w:val="bottom"/>
            <w:gridSpan w:val="5"/>
          </w:tcPr>
          <w:p>
            <w:pPr>
              <w:jc w:val="right"/>
              <w:ind w:right="70"/>
              <w:spacing w:after="0" w:line="184" w:lineRule="exact"/>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0" w:type="dxa"/>
            <w:vAlign w:val="bottom"/>
          </w:tcPr>
          <w:p>
            <w:pPr>
              <w:spacing w:after="0"/>
              <w:rPr>
                <w:sz w:val="1"/>
                <w:szCs w:val="1"/>
                <w:color w:val="auto"/>
              </w:rPr>
            </w:pPr>
          </w:p>
        </w:tc>
      </w:tr>
      <w:tr>
        <w:trPr>
          <w:trHeight w:val="221"/>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1,207</w:t>
            </w:r>
          </w:p>
        </w:tc>
        <w:tc>
          <w:tcPr>
            <w:tcW w:w="360" w:type="dxa"/>
            <w:vAlign w:val="bottom"/>
            <w:gridSpan w:val="2"/>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8,350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 receivable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1,006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12,700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795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1,251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25,309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Fixed assets, net of accumulated depreciation of $21,007 and $20,518, respectively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2,578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3,055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8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2,621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2,311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Intangible assets, net of accumulated amortization of $3,677 and $3,487, respectively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910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11,506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36,815</w:t>
            </w:r>
          </w:p>
        </w:tc>
        <w:tc>
          <w:tcPr>
            <w:tcW w:w="36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34,956</w:t>
            </w:r>
          </w:p>
        </w:tc>
        <w:tc>
          <w:tcPr>
            <w:tcW w:w="0" w:type="dxa"/>
            <w:vAlign w:val="bottom"/>
          </w:tcPr>
          <w:p>
            <w:pPr>
              <w:spacing w:after="0"/>
              <w:rPr>
                <w:sz w:val="1"/>
                <w:szCs w:val="1"/>
                <w:color w:val="auto"/>
              </w:rPr>
            </w:pPr>
          </w:p>
        </w:tc>
      </w:tr>
      <w:tr>
        <w:trPr>
          <w:trHeight w:val="21"/>
        </w:trPr>
        <w:tc>
          <w:tcPr>
            <w:tcW w:w="882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2,698</w:t>
            </w:r>
          </w:p>
        </w:tc>
        <w:tc>
          <w:tcPr>
            <w:tcW w:w="36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2,696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932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517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6,843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6,632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Lease liability,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2,329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2,689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9,532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$0.01 par value, 20,000,000 shares authorized; 11,515,090 and 11,463,141 shares issued,</w:t>
            </w:r>
          </w:p>
        </w:tc>
        <w:tc>
          <w:tcPr>
            <w:tcW w:w="24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respectively; 7,470,248 and 7,418,299 shares outstanding, respectively</w:t>
            </w: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32,474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26,820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Treasury stock, at cost, 4,044,842 shares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(32,110)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27,283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36,815</w:t>
            </w:r>
          </w:p>
        </w:tc>
        <w:tc>
          <w:tcPr>
            <w:tcW w:w="36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34,956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8"/>
                <w:szCs w:val="18"/>
                <w:i w:val="1"/>
                <w:iCs w:val="1"/>
                <w:color w:val="auto"/>
                <w:w w:val="98"/>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11,686</w:t>
            </w:r>
          </w:p>
        </w:tc>
        <w:tc>
          <w:tcPr>
            <w:tcW w:w="400" w:type="dxa"/>
            <w:vAlign w:val="bottom"/>
            <w:gridSpan w:val="3"/>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15,838</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34,586</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6,140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17,250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21,975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5,546</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8,004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17,336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20,857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Engineering, design and product development</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1,048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3,328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1,947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5,890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2,239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6,720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5,234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15,938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15,171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312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1,398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and other expense:</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Interest, net</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(143)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384</w:t>
            </w:r>
          </w:p>
        </w:tc>
        <w:tc>
          <w:tcPr>
            <w:tcW w:w="40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2,574</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1,316</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1"/>
        </w:trPr>
        <w:tc>
          <w:tcPr>
            <w:tcW w:w="48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per common share: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0.05</w:t>
            </w:r>
          </w:p>
        </w:tc>
        <w:tc>
          <w:tcPr>
            <w:tcW w:w="400" w:type="dxa"/>
            <w:vAlign w:val="bottom"/>
            <w:gridSpan w:val="3"/>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0.35</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0.18</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0.05</w:t>
            </w:r>
          </w:p>
        </w:tc>
        <w:tc>
          <w:tcPr>
            <w:tcW w:w="40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0.17</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Shares used in per-share calculation: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7,470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7,464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CONDENSED CONSOLIDATED STATEMENTS OF COMPREHENSIVE INCOME (unaudited)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w w:val="94"/>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204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gridSpan w:val="2"/>
            <w:shd w:val="clear" w:color="auto" w:fill="CCEEFF"/>
          </w:tcPr>
          <w:p>
            <w:pPr>
              <w:jc w:val="right"/>
              <w:ind w:right="651"/>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384</w:t>
            </w:r>
          </w:p>
        </w:tc>
        <w:tc>
          <w:tcPr>
            <w:tcW w:w="800" w:type="dxa"/>
            <w:vAlign w:val="bottom"/>
            <w:gridSpan w:val="2"/>
            <w:shd w:val="clear" w:color="auto" w:fill="CCEEFF"/>
          </w:tcPr>
          <w:p>
            <w:pPr>
              <w:jc w:val="right"/>
              <w:ind w:right="512"/>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2,574</w:t>
            </w:r>
          </w:p>
        </w:tc>
        <w:tc>
          <w:tcPr>
            <w:tcW w:w="500" w:type="dxa"/>
            <w:vAlign w:val="bottom"/>
            <w:gridSpan w:val="2"/>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1,316</w:t>
            </w:r>
          </w:p>
        </w:tc>
        <w:tc>
          <w:tcPr>
            <w:tcW w:w="360" w:type="dxa"/>
            <w:vAlign w:val="bottom"/>
            <w:gridSpan w:val="2"/>
            <w:shd w:val="clear" w:color="auto" w:fill="CCEEFF"/>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1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September 30,</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36"/>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169"/>
        </w:trPr>
        <w:tc>
          <w:tcPr>
            <w:tcW w:w="748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gridSpan w:val="2"/>
            <w:shd w:val="clear" w:color="auto" w:fill="CCEEFF"/>
          </w:tcPr>
          <w:p>
            <w:pPr>
              <w:jc w:val="right"/>
              <w:ind w:right="75"/>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1,316</w:t>
            </w:r>
          </w:p>
        </w:tc>
        <w:tc>
          <w:tcPr>
            <w:tcW w:w="360" w:type="dxa"/>
            <w:vAlign w:val="bottom"/>
            <w:gridSpan w:val="2"/>
            <w:shd w:val="clear" w:color="auto" w:fill="CCEEFF"/>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559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Foreign currency transaction losses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Times New Roman" w:cs="Times New Roman" w:eastAsia="Times New Roman" w:hAnsi="Times New Roman"/>
                <w:sz w:val="18"/>
                <w:szCs w:val="18"/>
                <w:color w:val="auto"/>
              </w:rPr>
              <w:t>Prepaid income taxes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Other current and long term assets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(576)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(853)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Accrued liabilities and other liabilities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848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Capital expenditures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Additions to capitalized software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Issuance of note receivable</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(2,100)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Payment of dividends on common stock</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Purchases of common stock for treasury</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Proceeds from stock option exercises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Withholding taxes paid on stock issuances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(2,225)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(3,484)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4,691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Supplemental schedule of non-cash investing activities: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5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CONDENSED CONSOLIDATED STATEMENTS OF CHANGES IN SHAREHOLDERS' EQUITY (unaudited)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Equity beginning balance</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27,431</w:t>
            </w:r>
          </w:p>
        </w:tc>
        <w:tc>
          <w:tcPr>
            <w:tcW w:w="36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24,737</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27,567</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beginning and end of period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32,301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31,533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32,129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559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Issuance of shares from exercise of stock options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40" w:type="dxa"/>
            <w:vAlign w:val="bottom"/>
          </w:tcPr>
          <w:p>
            <w:pPr>
              <w:ind w:left="640"/>
              <w:spacing w:after="0" w:line="184" w:lineRule="exact"/>
              <w:rPr>
                <w:sz w:val="20"/>
                <w:szCs w:val="20"/>
                <w:color w:val="auto"/>
              </w:rPr>
            </w:pPr>
            <w:r>
              <w:rPr>
                <w:rFonts w:ascii="Times New Roman" w:cs="Times New Roman" w:eastAsia="Times New Roman" w:hAnsi="Times New Roman"/>
                <w:sz w:val="18"/>
                <w:szCs w:val="18"/>
                <w:color w:val="auto"/>
              </w:rPr>
              <w:t>Relinquishment of stock awards and deferred stock units to pay for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withholding taxes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32,474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31,841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32,474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27,108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27,515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Dividends declared and paid on common stock</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(672)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26,820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27,219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26,820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(32,110)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(32,110)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(32,110)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(32,110)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5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Equity 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27,283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27,283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26,965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share information</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Issuance of shares from stock awards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73,398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Relinquishment of stock awards to pay withholding taxes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21,449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156,410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Dividends per share of common stock</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0.09</w:t>
            </w:r>
          </w:p>
        </w:tc>
        <w:tc>
          <w:tcPr>
            <w:tcW w:w="36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0.27</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TRANSACT TECHNOLOGIES INCORPORATED NOTES TO CONDENSED CONSOLIDATED FINANCIAL STATEMENTS </w:t>
      </w:r>
      <w:r>
        <w:rPr>
          <w:rFonts w:ascii="Times New Roman" w:cs="Times New Roman" w:eastAsia="Times New Roman" w:hAnsi="Times New Roman"/>
          <w:sz w:val="18"/>
          <w:szCs w:val="18"/>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accompanying unaudited financial statements of TransAct Technologies Incorporated (“TransAct”, the “Company”, “we”, “us”, or “our”)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2018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2018 included in our Annual Report on Form 10-K.</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exchange rate as of the date the transaction was recognized, with the resulting translation gain or loss recorded in “Accumulated other comprehensive income (loss), net of tax”, in the Condensed Consolidated Balance Sheets and Condensed Consolidated Statements of Changes in Shareholders’ Equity. Transaction gains and losses are included in “Other, net” in the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2019 are not necessarily indicative of the results to be expected for the full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 We have reclassified sales of labels and other recurring revenue items related to restaurant solutions, which includes extended warranty and service contracts, and technical support services, previously included in TSG to Restaurant Solutions for all periods presented in the tables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6"/>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7"/>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ind w:right="53"/>
              <w:spacing w:after="0" w:line="184"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United States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International</w:t>
            </w:r>
          </w:p>
        </w:tc>
        <w:tc>
          <w:tcPr>
            <w:tcW w:w="2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International</w:t>
            </w: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1,481</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1,933</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5,074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8,267</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655</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451</w:t>
            </w:r>
          </w:p>
        </w:tc>
      </w:tr>
      <w:tr>
        <w:trPr>
          <w:trHeight w:val="210"/>
        </w:trPr>
        <w:tc>
          <w:tcPr>
            <w:tcW w:w="20" w:type="dxa"/>
            <w:vAlign w:val="bottom"/>
          </w:tcPr>
          <w:p>
            <w:pPr>
              <w:spacing w:after="0"/>
              <w:rPr>
                <w:sz w:val="18"/>
                <w:szCs w:val="18"/>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2,756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3,051</w:t>
            </w:r>
          </w:p>
        </w:tc>
      </w:tr>
      <w:tr>
        <w:trPr>
          <w:trHeight w:val="243"/>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Total 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8,871</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11,686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12,667</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15,838</w:t>
            </w: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ind w:right="53"/>
              <w:spacing w:after="0" w:line="184"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International</w:t>
            </w:r>
          </w:p>
        </w:tc>
        <w:tc>
          <w:tcPr>
            <w:tcW w:w="2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International</w:t>
            </w: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3,825</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3,936</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5,901</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16,188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7,190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21,274</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1,771</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1,062</w:t>
            </w:r>
          </w:p>
        </w:tc>
      </w:tr>
      <w:tr>
        <w:trPr>
          <w:trHeight w:val="210"/>
        </w:trPr>
        <w:tc>
          <w:tcPr>
            <w:tcW w:w="20" w:type="dxa"/>
            <w:vAlign w:val="bottom"/>
          </w:tcPr>
          <w:p>
            <w:pPr>
              <w:spacing w:after="0"/>
              <w:rPr>
                <w:sz w:val="18"/>
                <w:szCs w:val="18"/>
                <w:color w:val="auto"/>
              </w:rPr>
            </w:pPr>
          </w:p>
        </w:tc>
        <w:tc>
          <w:tcPr>
            <w:tcW w:w="3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6,947</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7,827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8,888</w:t>
            </w:r>
          </w:p>
        </w:tc>
      </w:tr>
      <w:tr>
        <w:trPr>
          <w:trHeight w:val="243"/>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Total 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26,593</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7,993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34,586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34,195</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42,832</w:t>
            </w:r>
          </w:p>
        </w:tc>
      </w:tr>
      <w:tr>
        <w:trPr>
          <w:trHeight w:val="52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contract liabilities consist of customer pre-payments and deferred revenue. Customer prepayments are reported as “Accrued Liabilities” in current liabilities in the Condensed Consolidated Balance Sheets. Customer prepayments represent customer payments made in advance of performance obligations in instances where credit has not been extended and are recognized as revenue when the performance obligation is complete. Deferred revenue is reported separately in current liabilities and non-current liabilities and consists of our extended warranty contracts, technical support for our restaurant solution terminals, prepaid subscription revenue for our BOHA! software, EPICENTRAL™ maintenance contracts and testing service contracts, and is recognized as revenue as (or when) we perform under the contract. We do not have any contract asset balances as of September 30, 2019 or December 31, 2018. For the first nine months of 2019, we recognized revenue of $489 thousand related to our contract liabilities at December 31, 2018. Total contract liabilities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Customer pre-payments</w:t>
            </w: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69</w:t>
            </w:r>
          </w:p>
        </w:tc>
        <w:tc>
          <w:tcPr>
            <w:tcW w:w="920" w:type="dxa"/>
            <w:vAlign w:val="bottom"/>
            <w:gridSpan w:val="2"/>
            <w:shd w:val="clear" w:color="auto" w:fill="CCEEFF"/>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517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190</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776</w:t>
            </w:r>
          </w:p>
        </w:tc>
        <w:tc>
          <w:tcPr>
            <w:tcW w:w="920" w:type="dxa"/>
            <w:vAlign w:val="bottom"/>
            <w:gridSpan w:val="2"/>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a good or service has not been delivered to our customer. As of September 30, 2019, the aggregate amount of the transaction price allocated to remaining performance obligations was $4.3 million. The Company expects to recognize revenue on $4.1 million of its remaining performance obligations within the next 12 months, $0.1 million within the next 24 months and the balance of these remaining performance obligations within the next 36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 receivable</w:t>
      </w:r>
    </w:p>
    <w:p>
      <w:pPr>
        <w:spacing w:after="0" w:line="20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note receivable balance relates to a loan given to a third party and repayment is expected to occur in 12 months or less. The note receivable has an interest rate of 4.5% and is due in February 2020. Notes receivable are stated at unpaid balances and interest income is recognized on the accrual method. As of September 30, 2019, we have no allowances for loan losses, unamortized deferred loan fees or unearned discounts.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Inventories, net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inventories, net were: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Raw materials and purchased component parts</w:t>
            </w: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6,898</w:t>
            </w:r>
          </w:p>
        </w:tc>
        <w:tc>
          <w:tcPr>
            <w:tcW w:w="360" w:type="dxa"/>
            <w:vAlign w:val="bottom"/>
            <w:gridSpan w:val="2"/>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5,796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12,700</w:t>
            </w:r>
          </w:p>
        </w:tc>
        <w:tc>
          <w:tcPr>
            <w:tcW w:w="36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product warranty liability</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generally provide warranties on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accrued product warranty liability during the nine months ended September 30, 2019 and 2018:</w:t>
      </w:r>
    </w:p>
    <w:p>
      <w:pPr>
        <w:spacing w:after="0" w:line="19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-1905</wp:posOffset>
            </wp:positionV>
            <wp:extent cx="16554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ind w:left="9200"/>
        <w:spacing w:after="0"/>
        <w:tabs>
          <w:tab w:leader="none" w:pos="105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6554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Warranties issued</w:t>
            </w:r>
          </w:p>
        </w:tc>
        <w:tc>
          <w:tcPr>
            <w:tcW w:w="44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233</w:t>
            </w: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Warranty settlements</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(190)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221</w:t>
            </w:r>
          </w:p>
        </w:tc>
        <w:tc>
          <w:tcPr>
            <w:tcW w:w="560" w:type="dxa"/>
            <w:vAlign w:val="bottom"/>
            <w:gridSpan w:val="2"/>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295</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$176 thousand of the accrued product warranty liability was classified as current in "Accrued liabilities" in the Condensed Consolidated Balance Sheets and the remaining $45 thousand was classified as non-current in "Other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Credit Facility</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maintain a credit facility (the “TD Bank Credit Facility”) with TD Bank N.A. (“TD Bank”), which provides for a $20 million revolving credit line. The TD Bank Credit Facility imposes certain quarterly financial covenants on us and restricts, among other things, our ability to incur additional indebtedness and the creation of other liens. We were not in compliance with one of our financial covenants of the TD Bank Credit Facility at September 30, 2019. On November 6, 2019, we obtained a waiver from TD Bank for compliance with this financial covenant, which pertains to operating cash flow to total debt service (the “OCF”) at September 30, 2019 and amended the definition of interest expense to exclude fees paid on unused borrowings under the revolving credit line, which is used to calculate total debt service in the OCF. Following the waiver, we had borrowings available under the TD Bank Credit Facility of $20 million.</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ended the third quarter of 2019 with $1.2 million in cash and cash equivalents, of which $0.2 million was held by our U.K. subsidiary, and no debt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reconciliation of basic weighted average shares outstanding and diluted weighted average shares outstanding: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8"/>
                <w:szCs w:val="18"/>
                <w:i w:val="1"/>
                <w:iCs w:val="1"/>
                <w:color w:val="auto"/>
                <w:w w:val="98"/>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384</w:t>
            </w:r>
          </w:p>
        </w:tc>
        <w:tc>
          <w:tcPr>
            <w:tcW w:w="880" w:type="dxa"/>
            <w:vAlign w:val="bottom"/>
            <w:gridSpan w:val="3"/>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2,574</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1,316</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7,470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7,464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Add: Dilutive effect of outstanding options and restricted stock units as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by the treasury stock method</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Diluted: Weighted average common and common equivalent shares outstanding</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7,753</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7,658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per common share: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0.05</w:t>
            </w:r>
          </w:p>
        </w:tc>
        <w:tc>
          <w:tcPr>
            <w:tcW w:w="880" w:type="dxa"/>
            <w:vAlign w:val="bottom"/>
            <w:gridSpan w:val="3"/>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0.35</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0.18</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494"/>
        </w:trPr>
        <w:tc>
          <w:tcPr>
            <w:tcW w:w="5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both"/>
        <w:spacing w:after="0" w:line="241"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as the inclusion of these stock awards in the computation of diluted earnings would be anti-dilutive. For the three months ended September 30, 2019 and 2018, there were 326 thousand and 147 thousand, respectively, of potentially dilutive shares consisting of stock awards that were excluded from the calculation of earnings per diluted share. For the nine months ended September 30, 2019 and 2018, there were 462 thousand and 149 thousand, respectively, of potentially dilutive shares consisting of stock awards that were excluded from the calculation of earnings per diluted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three months ended September 30, 2019, our Board of Directors declared a quarterly cash dividend of $0.09 per share, totaling $672 thousand, which was paid on September 16, 2019 to common shareholders of record at the close of business on August 20, 2019. For the three months ended September 30, 2018, dividends declared and paid totaled $665 thousand, or $0.09 per share. Dividends declared and paid totaled $2.0 million, or $0.27 per share for both the nine months ended September 30, 2019 and 2018.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was codified in, and is referred to in this Quarterly Report as, ASC 842, became effective for reporting periods beginning after December 15, 2018. The adoption requires a modified retrospective transition approach,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has elected to adopt the standard using the effective date, January 1, 2019, as its date of initial application. Consequently, financial information for prior periods will not be updated, and the disclosures required under the new standard will not be provided for dates and periods before January 1, 2019.</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elected certain practical expedients available under ASC 842 upon adoption. We have applied the practical expedient which allows prospective transition to ASC 842 on January 1, 2019. Under this transition practical expedient, we did not reassess lease classification, embedded leases or initial direct costs. We have applied the practical expedient for short-term leases. We have lease agreements that include lease and non-lease components, and we have not elected the practical expedients to combine these components for any of our leases. The adoption of ASC 842 had no effect on our Consolidated Statement of Income or Consolidated Statement of Cash Flows. Upon adoption of ASC 842, we recorded a $3.7 million right-of-use asset and a $3.9 million lease liability. The adoption of the new standard had no impact on retained earnings.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and certain other equipment under operating leases and we have no financing leases. We determine if an arrangement contains a lease at inception. Our leases are included in Right of use assets and Lease liabilities in our Condensed Consolidated Balance Sheet.</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assets exclude lease incentives. Our leases have remaining lease terms of one year to eight years, some of which include options to extend. The majority of our leases with options to extend provide for extensions of up to five years with the ability to terminate the lease within one year.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300"/>
        <w:spacing w:after="0" w:line="250" w:lineRule="auto"/>
        <w:rPr>
          <w:sz w:val="20"/>
          <w:szCs w:val="20"/>
          <w:color w:val="auto"/>
        </w:rPr>
      </w:pPr>
      <w:r>
        <w:rPr>
          <w:rFonts w:ascii="Times New Roman" w:cs="Times New Roman" w:eastAsia="Times New Roman" w:hAnsi="Times New Roman"/>
          <w:sz w:val="18"/>
          <w:szCs w:val="18"/>
          <w:color w:val="auto"/>
        </w:rPr>
        <w:t>Operating lease expense for the three and nine months ending September 30, 2019 was $256 thousand and $764 thousand, respectively, and were included within Cost of sales, Engineering, design and product development expense, Selling and marketing expense, and General and administrative expense. Operating costs include short-term lease costs which were immaterial during the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represents supplemental disclosure for the statement of cash flows related to operating leases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cash flows from leases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419"/>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our leases as of September 30, 2019: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60" w:type="dxa"/>
            <w:vAlign w:val="bottom"/>
            <w:shd w:val="clear" w:color="auto" w:fill="CCEEFF"/>
          </w:tcPr>
          <w:p>
            <w:pPr>
              <w:ind w:left="1880"/>
              <w:spacing w:after="0" w:line="202"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5"/>
              </w:rPr>
              <w:t>3.7%</w:t>
            </w:r>
          </w:p>
        </w:tc>
        <w:tc>
          <w:tcPr>
            <w:tcW w:w="0" w:type="dxa"/>
            <w:vAlign w:val="bottom"/>
          </w:tcPr>
          <w:p>
            <w:pPr>
              <w:spacing w:after="0"/>
              <w:rPr>
                <w:sz w:val="1"/>
                <w:szCs w:val="1"/>
                <w:color w:val="auto"/>
              </w:rPr>
            </w:pPr>
          </w:p>
        </w:tc>
      </w:tr>
      <w:tr>
        <w:trPr>
          <w:trHeight w:val="387"/>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September 30, 2019 are as follows (in thousands):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Total undiscounted lease payments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tcBorders>
              <w:bottom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Total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adoption of ASC 842, rental commitments on an undiscounted basis were approximately $4.3 million at December 31, 2018 under non-cancelable operating leases and were payable as follows: $1.0 million in 2019; $1.0 million in 2020; $0.7 million in 2021; $0.4 million in 2022, $0.3 million in 2023 and $0.9 million thereafter.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recorded an income tax benefit for the third quarter of 2019 of $143 thousand at an effective tax rate of -59.3 %, compared to an income tax provision during the third quarter of 2018 of $581 thousand at an effective tax rate of 18.4%. For the nine months ended September 30, 2019, we recorded an income tax benefit of $54 thousand at an effective tax rate of -4.3%, compared to an income tax provision during the nine months ended September 30, 2018 of $1.1 million at an effective tax rate of 19.2%. The effective tax rate for the both the third quarter of 2019 and nine months ended September 30, 2019 was unusually low and a benefit as it included the foreign-derived intangible income (“FDII”) deduction under the Tax Cuts and Jobs Act (the “Tax Reform Act”) as well as near breakeven pre-tax income in the second and third quarters of 2019. The FDII deduction was not included in the effective tax rate for the third quarter of 2018 or nine months ended September 30, 2018, as the interpretive guidance for the deduction was not yet released.</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certain U.S. state and foreign jurisdictions. We have substantially concluded all U.S. federal, state and local income tax, and foreign tax regulatory examination matters through 2015. However, our federal tax returns for the years 2016 through 2018 remain open to examination. Various state and foreign tax jurisdiction tax years remain open to examination as well, though we believe that any additional assessment would be immaterial to the Condensed Consolidated Financial Statements.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2019, we had $79 thousand of total gross unrecognized tax benefits that, if recognized, would favorably affect the effective income tax rate in any future periods. During the third quarter of 2019, we recognized $25 thousand of previously unrecognized tax benefits as the statute of limitations on the use of our 2015 R&amp;D credits expired during the third quarter of 2019.</w:t>
      </w:r>
    </w:p>
    <w:p>
      <w:pPr>
        <w:spacing w:after="0" w:line="16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income tax provision. As of September 30, 2019, we had $15 thousand of accrued interest and penalties related to uncertain tax positions. The Company maintains a valuation allowance against certain deferred tax assets to reduce the future income tax benefits to expected realizable amounts.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Statement-Reporting Comprehensive Income (Topic 220): Reclassification of Certain Tax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Accumulated Other Comprehensive income,” </w:t>
      </w:r>
      <w:r>
        <w:rPr>
          <w:rFonts w:ascii="Times New Roman" w:cs="Times New Roman" w:eastAsia="Times New Roman" w:hAnsi="Times New Roman"/>
          <w:sz w:val="18"/>
          <w:szCs w:val="18"/>
          <w:color w:val="auto"/>
        </w:rPr>
        <w:t>which provides a new standard that permits entities to make a one-time reclassification from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comprehensive loss (“AOCL”) to retained earnings for the stranded tax effects resulting from the newly enacted corporate tax rates under the Tax Reform Act. We adopted ASU 2018-02 on January 1, 2019 and elected not to reclassify the income tax effects of the Tax Reform Act from AOCL to retained earnings. We continue to release disproportionate income tax effects from AOCL based on the aggregate portfolio approach. The adoption of ASU 2018-02 did not have an impact on our Condensed Consolidated Financial Statements.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Certain statements included in this Quarterly Report on Form 10-Q for the period ended September 30, 2019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Section 21E of the Securities Exchange Act of 1934, as amended (the “Exchange Act”) and the Private Securities Litigation Reform Act of 1995.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Annual Report on Form 10-K for the year ended December 31, 2018. Actual results may differ materially from those discussed in, or implied by, the forward-looking statements. The forward-looking statements speak only as of the date of this Report and we assume no duty to update them. As used in this Report, unless the context otherwise requires, references to “we”, “us”, “our”, the “Company” and “TransAct” refer to the consolidated operations of TransAct Technologies Incorporated, and its consolidated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TransAct is a global leader in developing and selling software-driven technology and printing solutions for high growth markets including restaurant solutions, point of sale (“POS”) automation and banking, casino and gaming, lottery, and oil and gas. Our world-class products are designed from the ground up based on market and customer requirements and are sold under the BOHA!™, AccuDate™, Epic®, EPICENTRAL™, Ithaca®, and Printrex® brand names. Known and respected worldwide for innovative designs and real-world service reliability, our thermal and inkjet printers and terminals generate top-quality labels, coupons and transaction records such as receipts, tickets and other documents, as well as printed logging and plotting of data. In March 2019, we launched a new line of products for the restaurant solutions market, the BOHA! branded suite of cloud-based applications and companion hardware solutions. The new BOHA! products are an all-in-one solution to help restaurants and food service operators of any size automate back-of-house operations. We sell our products to original equipment manufacturers (“OEMs”), value-added resellers, select distributors, as well as directly to end-users. Our product distribution spans across the Americas, Europe, the Middle East, Africa, Asia, Australia, New Zealand, Latin America, the Caribbean Islands and the South Pacific. We also offer world-class service, support, spare parts, accessories and printing supplies to our growing worldwide base of products currently in use by our customers.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Times New Roman" w:cs="Times New Roman" w:eastAsia="Times New Roman" w:hAnsi="Times New Roman"/>
          <w:sz w:val="18"/>
          <w:szCs w:val="18"/>
          <w:u w:val="single" w:color="auto"/>
          <w:color w:val="auto"/>
        </w:rPr>
        <w:t>www.transactsupplies.com</w:t>
      </w:r>
      <w:r>
        <w:rPr>
          <w:rFonts w:ascii="Times New Roman" w:cs="Times New Roman" w:eastAsia="Times New Roman" w:hAnsi="Times New Roman"/>
          <w:sz w:val="18"/>
          <w:szCs w:val="18"/>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March 2019, TransAct announced the launch of its BOHA! SaaS-based software and hardware ecosystem, and in May 2019, at the National Restaurant Association show in Chicago TransAct announced the debut of BOHA! Timer, its latest addition to the BOHA!™ ecosystem. BOHA! is a comprehensive ecosystem of cloud-based SaaS apps and hardware designed to help restaurant and food service companies automate their back-of-house operations. BOHA! represents the first single-vendor solution to allow customers to choose from any combination of applications for Inventory Management, Temperature Monitoring of Food and Equipment, Food Safety Labeling, Food Recalls, Checklists &amp; Procedures, Equipment Service Management, Timers and Delivery Management.</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2019, TransAct announced that it secured commitments from 10 distinct restaurant or foodservice operators representing a broad mix of customers to deploy BOHA! solutions in their operations, and that it expects to roll out approximately 240 BOHA! Terminals over the balance of 2019 relating to these commitments.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June 2019, TransAct announced an agreement with a large, international foodservice brand that includes the deployment of BOHA! hardware and software across an initial 1,000 locations that will roll out by the end of 2019. Based on additional expansions of this customer’s stores and a successful roll out of BOHA!, the potential for additional deployments of BOHA! hardware and software could include 2,000 to 3,000 more locations over the next two to three years.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June 2019, TransAct also announced that the Company’s Epic Edge and Epic 950 ticket-in/ticket-out printers are installed in all of the more than 3,150 gaming machines at the new Encore Boston Harbor in Everett, Massachusetts, with more than 60% of the installed printers represented by TransAct’s next-generation Epic Edge.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July 2019, TransAct announced that it secured a new agreement with a large U.S. foodservice provider for the deployment of BOHA! terminals and one of the BOHA! SaaS-based apps at more than 400 locations by 2021 year end. TransAct expects approximately 175 customer locations will be live with the BOHA! hardware and software solutions by 2019 year end with an additional approximately 250 locations expected to go live over the following two years.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18"/>
          <w:szCs w:val="18"/>
          <w:color w:val="auto"/>
        </w:rPr>
        <w:t>In July 2019, TransAct also announced its first ever agreement to deploy the Company’s BOHA! solution in the Asia-Pacific market as well as the first BOHA! agreement with an operator in the casino and gaming industry. The new agreement, with a leading Macau casino resort, will include 100 BOHA! terminals and one of the BOHA! SaaS based apps. We completed the sale during the third quarter of 2019.</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September 2019, TransAct announced a new agreement with a regional foodservice operator to deploy the BOHA! Terminal and one of the Company’s BOHA! SaaS-based apps across 45 locations in the U.S. TransAct expects approximately 30 customer locations to go live with the BOHA! Terminal, the BOHA! Labeling SaaS-based app and TransAct Enterprise Management System (TEMS) over the next 12 months, with an additional 15 locations to follow over time. This new BOHA! customer will also purchase TransAct labels, which are specifically designed to work with the thermal printers featured in the BOHA! Terminal.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 and Estimates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 complete description of our accounting policies, see Part II, Item 7, “Management’s Discussion and Analysis of Financial Condition and Results of Operations – Critical Accounting Policies and Estimates,” of our Annual Report on Form 10-K for the year ended December 31, 2018. We have reviewed those policies and determined that they remain our critical accounting policies for the nine months ended September 30, 2019.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September 30, 2019 compared to three months ended September 30, 2018</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three months ended September 30, 2019 and 2018 were as follows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5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(419)</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5,074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8,267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(3,193)</w:t>
            </w:r>
          </w:p>
        </w:tc>
        <w:tc>
          <w:tcPr>
            <w:tcW w:w="1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(560)</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2,756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11,686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15,838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(4,152)</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 *</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3,171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20.0%</w:t>
            </w:r>
          </w:p>
        </w:tc>
        <w:tc>
          <w:tcPr>
            <w:tcW w:w="420" w:type="dxa"/>
            <w:vAlign w:val="bottom"/>
            <w:gridSpan w:val="2"/>
            <w:shd w:val="clear" w:color="auto" w:fill="CCEEFF"/>
          </w:tcPr>
          <w:p>
            <w:pPr>
              <w:jc w:val="right"/>
              <w:ind w:right="15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(356)</w:t>
            </w:r>
          </w:p>
        </w:tc>
        <w:tc>
          <w:tcPr>
            <w:tcW w:w="1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1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sales for the third quarter of 2019 decreased $4.2 million, or 26%, from the same period in 2018. Printer, terminal and other hardware sales volume decreased 37% to approximately 27,000 units for the third quarter of 2019 driven primarily by a 39% decrease in unit volume from the casino and gaming market and, to a lesser extent, an 88% decrease in the lottery market and 23% decrease in the POS automation and banking market. These decreases were partially offset by a 21% increase in terminal and hardware volume sales in our restaurant solutions market. The average selling price of our printers, terminals and other hardware increased 3% during the third quarter of 2019 compared to the third quarter of 2018 due primarily to a lower level of lottery printer sales and POS automation and banking printer sales, which sell at a lower price than our other products.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860"/>
        <w:spacing w:after="0" w:line="282" w:lineRule="auto"/>
        <w:rPr>
          <w:sz w:val="20"/>
          <w:szCs w:val="20"/>
          <w:color w:val="auto"/>
        </w:rPr>
      </w:pPr>
      <w:r>
        <w:rPr>
          <w:rFonts w:ascii="Times New Roman" w:cs="Times New Roman" w:eastAsia="Times New Roman" w:hAnsi="Times New Roman"/>
          <w:sz w:val="18"/>
          <w:szCs w:val="18"/>
          <w:color w:val="auto"/>
        </w:rPr>
        <w:t>International sales for the third quarter of 2019 decreased $0.4 million, or 11%, from the same period in 2018 due to a 12% decrease in sales in the international casino and gaming market and a 44% decrease in sales in the international Printrex market.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Solutions. </w:t>
      </w:r>
      <w:r>
        <w:rPr>
          <w:rFonts w:ascii="Times New Roman" w:cs="Times New Roman" w:eastAsia="Times New Roman" w:hAnsi="Times New Roman"/>
          <w:sz w:val="18"/>
          <w:szCs w:val="18"/>
          <w:color w:val="auto"/>
        </w:rPr>
        <w:t>Revenue from the restaurant solutions market includes sales of terminals that combine hardware and software in a device that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operating system, touchscreen and one or two thermal print mechanisms that print easy-to-read food rotation labels, grab and go labels for prepared foods, and “enjoy by” date labels. These terminals help food service establishments and restaurants (including fine dining, casual dining, fast casual and quick-serve restaurants, convenience stores and hospitality establishments) effectively manage food safety and grab-and-go initiatives, as well as automate and manage back-of-the-house operations. Hardware revenue includes sales of these terminals as well as other associated hardware including handheld devices, tablets, temperature probes and temperature sensors. In addition to sales of hardware, revenue includes sales of cloud-based software applications, labels and other recurring revenue items such extended warranty and service contracts, and technical support services. In 2019, we launched our BOHA! solution, which combines our latest generation terminal, cloud-based software applications and hardware into a unique solution to automate the back-of-house operations in restaurants and food service operations. Note that we have reclassified sales of labels and other recurring revenue items, which includes extended warranty and service contracts, and technical support services, previously included in TSG to Restaurant Solutions for all periods presented in this Report. Sales of our worldwide restaurant solutions products for the three months ended September 30, 2019 and 2018 were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5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1,730</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30.5%</w:t>
            </w:r>
          </w:p>
        </w:tc>
      </w:tr>
      <w:tr>
        <w:trPr>
          <w:trHeight w:val="210"/>
        </w:trPr>
        <w:tc>
          <w:tcPr>
            <w:tcW w:w="20" w:type="dxa"/>
            <w:vAlign w:val="bottom"/>
          </w:tcPr>
          <w:p>
            <w:pPr>
              <w:spacing w:after="0"/>
              <w:rPr>
                <w:sz w:val="18"/>
                <w:szCs w:val="18"/>
                <w:color w:val="auto"/>
              </w:rPr>
            </w:pPr>
          </w:p>
        </w:tc>
        <w:tc>
          <w:tcPr>
            <w:tcW w:w="3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66</w:t>
            </w:r>
          </w:p>
        </w:tc>
        <w:tc>
          <w:tcPr>
            <w:tcW w:w="1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42.6%</w:t>
            </w:r>
          </w:p>
        </w:tc>
      </w:tr>
      <w:tr>
        <w:trPr>
          <w:trHeight w:val="24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470</w:t>
            </w:r>
          </w:p>
        </w:tc>
        <w:tc>
          <w:tcPr>
            <w:tcW w:w="14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31.7%</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5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Hardware</w:t>
            </w: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r>
      <w:tr>
        <w:trPr>
          <w:trHeight w:val="184"/>
        </w:trPr>
        <w:tc>
          <w:tcPr>
            <w:tcW w:w="20" w:type="dxa"/>
            <w:vAlign w:val="bottom"/>
          </w:tcPr>
          <w:p>
            <w:pPr>
              <w:spacing w:after="0"/>
              <w:rPr>
                <w:sz w:val="16"/>
                <w:szCs w:val="16"/>
                <w:color w:val="auto"/>
              </w:rPr>
            </w:pPr>
          </w:p>
        </w:tc>
        <w:tc>
          <w:tcPr>
            <w:tcW w:w="3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Software, labels and other recurring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4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470</w:t>
            </w:r>
          </w:p>
        </w:tc>
        <w:tc>
          <w:tcPr>
            <w:tcW w:w="14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31.7%</w:t>
            </w:r>
          </w:p>
        </w:tc>
      </w:tr>
    </w:tbl>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increase in restaurant solutions sales in the third quarter of 2019 compared to the third quarter of 2018 was driven primarily by sales of our BOHA! software, labels and other recurring revenue. Sales of BOHA! software recognized on a SaaS subscription basis, labels and other recurring revenue increased by 267%, including an over 250% increase in label sales and a ten-fold increase in software sales (though off of a low base in the third quarter of 2018) in the third quarter of 2019 compared to the third quarter of 2018. Hardware sales increased by 2% in the third quarter of 2019 compared to the third quarter of 2018. On a unit basis, however, Hardware sales increased by 21%, as we shipped our first BOHA! solution sale to a casino operator located in the Asia-Pacific market. We consciously decided to lower the average selling price on our BOHA! terminals to encourage customers to adopt our total BOHA! solution, which includes hardware as well as recurring software subscription revenue, service and label sales.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 automation and banking. </w:t>
      </w:r>
      <w:r>
        <w:rPr>
          <w:rFonts w:ascii="Times New Roman" w:cs="Times New Roman" w:eastAsia="Times New Roman" w:hAnsi="Times New Roman"/>
          <w:sz w:val="18"/>
          <w:szCs w:val="18"/>
          <w:color w:val="auto"/>
        </w:rPr>
        <w:t>Revenue from the POS automation and banking market includes sales of thermal printers used primarily by quick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located either at the checkout counter or within self-service kiosks to print receipts for consumers or to print on linerless labels. In addition, revenue includes sales of inkjet printers used by banks, credit unions and other financial institutions to print deposit or withdrawal receipts and/or validate checks at bank teller stations. As of December 31, 2018, we exited the banking market, but will continue to fulfill orders from legacy customers until our inventory is exhausted. Sales of our worldwide POS automation and banking products for the three months ended September 30, 2019 and 2018 were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5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1,910</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(21.8%)</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(13.0%)</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(419)</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(21.7%)</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both domestic and international POS automation and banking product revenue for the third quarter of 2019 compared to the third quarter of 2018 was primarily driven by a 26% decrease in sales of our Ithaca® 9000 printer, largely to McDonald’s. We expect sales of our Ithaca® 9000 printer to McDonald’s to be lower for the full year 2019 compared to the full year 2018.</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Casino and gaming. </w:t>
      </w:r>
      <w:r>
        <w:rPr>
          <w:rFonts w:ascii="Times New Roman" w:cs="Times New Roman" w:eastAsia="Times New Roman" w:hAnsi="Times New Roman"/>
          <w:sz w:val="18"/>
          <w:szCs w:val="18"/>
          <w:color w:val="auto"/>
        </w:rPr>
        <w:t>Revenue from the casino and gaming market includes sales of thermal ticket printers used in slot machines, video lottery terminals,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Sales of our worldwide casino and gaming products for the three months ended September 30, 2019 and 2018 were as follows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5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2,849</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5,733</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(50.3%)</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2,225</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(309)</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(12.2%)</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8,267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(3,193)</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(38.6%)</w:t>
            </w:r>
          </w:p>
        </w:tc>
      </w:tr>
    </w:tbl>
    <w:p>
      <w:pPr>
        <w:spacing w:after="0" w:line="18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decrease in domestic sales of our casino and gaming products was due to a 50% decline in domestic sales of our thermal casino printers in the third quarter of 2019 compared to the third quarter of 2018, driven primarily by a large order of replacement printers from a domestic casino operator during the third quarter of 2018 that did not reoccur in the third quarter of 2019, as well as decreased sales to our OEMs. Additionally, we experienced a decrease in domestic sales of an off-premise gaming printer to an OEM, which we do not expect to reoccur in 2019. These decreases were partially offset by slightly higher revenue from recurring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annual software maintenance fees during the third quarter of 2019 compared to the third quarter of 2018. We did not complete any new installations of our EPICENTRAL™ software systems in the third quarter of 2019 or 2018. Sales of EPICENTRAL™ are project based, and as a result, may fluctuate significantly quarter-to-quarter and year-to-year.</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decrease in international sales of our casino and gaming products in the third quarter of 2019 compared to the third quarter of 2018 was due to a 20% decrease in sales of our thermal casino printers due primarily to lower sales to a large OEM in Europe. The decrease was partially offset by 37% higher international sales of our off-premise gaming printers during the third quarter of 2019 compared to the third quarter of 2018, primarily to an OEM in Europe for sports betting, as well as stronger sales in Australia.</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Lottery. </w:t>
      </w:r>
      <w:r>
        <w:rPr>
          <w:rFonts w:ascii="Times New Roman" w:cs="Times New Roman" w:eastAsia="Times New Roman" w:hAnsi="Times New Roman"/>
          <w:sz w:val="18"/>
          <w:szCs w:val="18"/>
          <w:color w:val="auto"/>
        </w:rPr>
        <w:t>Revenue from the lottery market includes sales of thermal on-line and other lottery printers primarily to International Game Technology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(“IGT”) and, to a lesser extent, other lottery system companies for various lottery applications. Sales of our worldwide lottery printers for the three months ended September 30, 2019 and 2018 were as follows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5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(85.5%)</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8"/>
                <w:szCs w:val="18"/>
                <w:color w:val="auto"/>
              </w:rPr>
            </w:pPr>
          </w:p>
        </w:tc>
        <w:tc>
          <w:tcPr>
            <w:tcW w:w="1820" w:type="dxa"/>
            <w:vAlign w:val="bottom"/>
            <w:gridSpan w:val="3"/>
          </w:tcPr>
          <w:p>
            <w:pPr>
              <w:jc w:val="right"/>
              <w:ind w:right="9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9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0.0%</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(560)</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(85.5%)</w:t>
            </w:r>
          </w:p>
        </w:tc>
      </w:tr>
    </w:tbl>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 We expect lottery printer sales to be significantly lower for the full year 2019 compared to the full year 2018, as we have shifted our focus away from the lottery market to our higher value, technology-enabled restaurant solutions and casino and gaming products and we expect IGT to order printers only on an as-needed basis during the full year 2019 and beyond.</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Printrex. </w:t>
      </w:r>
      <w:r>
        <w:rPr>
          <w:rFonts w:ascii="Times New Roman" w:cs="Times New Roman" w:eastAsia="Times New Roman" w:hAnsi="Times New Roman"/>
          <w:sz w:val="18"/>
          <w:szCs w:val="18"/>
          <w:color w:val="auto"/>
        </w:rPr>
        <w:t>Printrex branded printers are sold into markets that include wide format, desktop and rack mounted and vehicle mounted black/white thermal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Prior to 2019, revenue in this market also included sales of vehicle mounted printers used to print schematics and certain other critical information in emergency services vehicles and other mobile printing applications. We exited this market at the end of 2018 and do not expect any future sales. Sales of our worldwide Printrex printers for the three months ended September 30, 2019 and 2018 were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5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(29.9%)</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(43.5%)</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(34.4%)</w:t>
            </w:r>
          </w:p>
        </w:tc>
      </w:tr>
      <w:tr>
        <w:trPr>
          <w:trHeight w:val="524"/>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7" w:right="239" w:bottom="1440" w:gutter="0" w:footer="0" w:header="0"/>
        </w:sectPr>
      </w:pPr>
    </w:p>
    <w:bookmarkStart w:id="16" w:name="page17"/>
    <w:bookmarkEnd w:id="16"/>
    <w:p>
      <w:pPr>
        <w:jc w:val="both"/>
        <w:spacing w:after="0" w:line="242" w:lineRule="auto"/>
        <w:rPr>
          <w:sz w:val="20"/>
          <w:szCs w:val="20"/>
          <w:color w:val="auto"/>
        </w:rPr>
      </w:pPr>
      <w:r>
        <w:rPr>
          <w:rFonts w:ascii="Times New Roman" w:cs="Times New Roman" w:eastAsia="Times New Roman" w:hAnsi="Times New Roman"/>
          <w:sz w:val="18"/>
          <w:szCs w:val="18"/>
          <w:color w:val="auto"/>
        </w:rPr>
        <w:t>The decrease in sales of Printrex printers for the third quarter of 2019 compared to the third quarter of 2018 resulted from a 43% decrease in domestic and international sales in the oil and gas market, as sales for the third quarter of 2018 were unusually high. This decrease was partially offset by higher sales from the international medical and mobile market which we exited at the end of 2018 but will continue to fulfill orders from legacy customers until our inventory is exhausted. We expect sales for the remainder of 2019 to be relatively consistent with the first nine months of 2019, as we have shifted our focus away from the Printrex market to our higher value, technology-enabled restaurant solutions and casino and gaming products.</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TSG. </w:t>
      </w:r>
      <w:r>
        <w:rPr>
          <w:rFonts w:ascii="Times New Roman" w:cs="Times New Roman" w:eastAsia="Times New Roman" w:hAnsi="Times New Roman"/>
          <w:sz w:val="18"/>
          <w:szCs w:val="18"/>
          <w:color w:val="auto"/>
        </w:rPr>
        <w:t>Revenue generated by our TSG includes sales of consumable products (inkjet cartridges, ribbons, receipt paper, color thermal paper, and other printing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supplies), replacement parts, maintenance and repair services, testing services, refurbished printers, and shipping and handling charges. Note that TSG sales exclude the sales of labels, extended warranty and service contracts, and technical support services related to our Restaurant Solutions market. These sales, which we previously included in TSG, have been reclassified to Restaurant Solutions for all periods presented in this Report. Sales in our worldwide TSG market for the three months ended September 30, 2019 and 2018 were as follows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2018</w:t>
            </w:r>
          </w:p>
        </w:tc>
        <w:tc>
          <w:tcPr>
            <w:tcW w:w="5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2,490</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2,739</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(14.7%)</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w:t>
            </w:r>
          </w:p>
        </w:tc>
      </w:tr>
    </w:tbl>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decrease in domestic revenue from TSG for the third quarter of 2019 as compared to the prior year period was due primarily to lower sales of replacement parts including lower sales of lottery printer spare parts to IGT. This decrease was partially offset by increased service revenue of 48% resulting largely from increased repairs of POS printers for McDonald’s. Based on our backlog of orders and contractual commitments for replacement parts, primarily from IGT, for our installed base of lottery printers as well as declining sales of consumables for our legacy products, we expect total TSG sales to decrease for the full year 2019 compared to 2018.</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Internationally, TSG revenue decreased in the third quarter of 2019 compared to the third quarter of 2018 due primarily to a decline of international consumable product sales of 77% and, to a lesser extent, a 6% decline in international sales of replacement parts and accessories.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for the three months ended September 30, 2019 and 2018 is summarized below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5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5,546</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8,004</w:t>
            </w:r>
          </w:p>
        </w:tc>
        <w:tc>
          <w:tcPr>
            <w:tcW w:w="1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50.5%</w:t>
            </w:r>
          </w:p>
        </w:tc>
      </w:tr>
    </w:tbl>
    <w:p>
      <w:pPr>
        <w:spacing w:after="0" w:line="18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support of our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print system and BOHA! software solutions. For the third quarter of 2019, gross profit decreased $2.5 million, or 31%, due primarily to a 26% decline in sales during the third quarter of 2019 compared to the third quarter of 2018. Gross margin decreased 300 basis points in the third quarter of 2019 compared to the record high margin of 50.5% in the third quarter of 2018 on lower sales of casino printers and lottery spare parts which carry higher margins than our other products. Although both sales and gross margin decreased during the third quarter of 2019 compared to the third quarter of 2018, we expect full year gross margin for 2019 to be consistent with the full year 2018, as our sales mix shifts towards higher-value, technology-driven solutions, as well as lower sales of POS printers and lottery printers, which carry lower margins than our other products.</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Engineering, Design and Product Development. </w:t>
      </w:r>
      <w:r>
        <w:rPr>
          <w:rFonts w:ascii="Times New Roman" w:cs="Times New Roman" w:eastAsia="Times New Roman" w:hAnsi="Times New Roman"/>
          <w:sz w:val="18"/>
          <w:szCs w:val="18"/>
          <w:color w:val="auto"/>
        </w:rPr>
        <w:t>Engineering, design and product development expense information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2019 and 2018 is 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5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1,048</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1,106</w:t>
            </w:r>
          </w:p>
        </w:tc>
        <w:tc>
          <w:tcPr>
            <w:tcW w:w="1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53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gridSpan w:val="2"/>
          </w:tcPr>
          <w:p>
            <w:pPr>
              <w:jc w:val="right"/>
              <w:ind w:right="830"/>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both"/>
        <w:spacing w:after="0" w:line="242" w:lineRule="auto"/>
        <w:rPr>
          <w:sz w:val="20"/>
          <w:szCs w:val="20"/>
          <w:color w:val="auto"/>
        </w:rPr>
      </w:pPr>
      <w:r>
        <w:rPr>
          <w:rFonts w:ascii="Times New Roman" w:cs="Times New Roman" w:eastAsia="Times New Roman" w:hAnsi="Times New Roman"/>
          <w:sz w:val="18"/>
          <w:szCs w:val="18"/>
          <w:color w:val="auto"/>
        </w:rPr>
        <w:t>Engineering, design and product development expenses primarily includes salary and payroll related expenses for our hardware and software engineering staff, depreciation and design expenses (including prototype printer expenses, outside design, development and testing services, supplies and contract software development expenses). Such expenses decreased $58 thousand, or 5% in the third quarter of 2019 compared to the third quarter of 2018, primarily due to lower expenses related to product development for the restaurant solutions and casino and gaming markets. We expect engineering, design and product development expenses for the full year 2019 to be slightly lower compared to the full year 2018 due to lower product development costs.</w:t>
      </w:r>
    </w:p>
    <w:p>
      <w:pPr>
        <w:spacing w:after="0" w:line="168"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Selling and Marketing. </w:t>
      </w:r>
      <w:r>
        <w:rPr>
          <w:rFonts w:ascii="Times New Roman" w:cs="Times New Roman" w:eastAsia="Times New Roman" w:hAnsi="Times New Roman"/>
          <w:sz w:val="18"/>
          <w:szCs w:val="18"/>
          <w:color w:val="auto"/>
        </w:rPr>
        <w:t>Selling and marketing expense information for the three months ended September 30, 2019 and 2018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5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1,947</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1,798</w:t>
            </w:r>
          </w:p>
        </w:tc>
        <w:tc>
          <w:tcPr>
            <w:tcW w:w="18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11.4%</w:t>
            </w:r>
          </w:p>
        </w:tc>
      </w:tr>
    </w:tbl>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$149 thousand, or 8%, for the third quarter of 2019 compared to the third quarter of 2018. During the third quarter of 2019, we incurred higher compensation expenses related to the hiring of additional outside and technical sales and marketing staff as well as higher promotional marketing expenses to support the expected growth in our restaurant solutions market. We expect selling and marketing expense to increase significantly in the full year 2019 compared to the full year 2018 due to the full-year impact of hiring additional sales staff during 2018 and 2019, as well as investments to support our new suite of BOHA! software and hardware solutions.</w:t>
      </w:r>
    </w:p>
    <w:p>
      <w:pPr>
        <w:spacing w:after="0" w:line="16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Operating Expenses - General and Administrative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 information for the three months ended September 30, 2019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is 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5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2,239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1,888</w:t>
            </w:r>
          </w:p>
        </w:tc>
        <w:tc>
          <w:tcPr>
            <w:tcW w:w="18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11.9%</w:t>
            </w:r>
          </w:p>
        </w:tc>
      </w:tr>
    </w:tbl>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General and administrative expenses primarily include salaries, incentive compensation, and other payroll related expenses for our executive, accounting, human resources and information technology staff, expenses for our corporate headquarters, professional and legal expenses, telecommunication expenses, and other expenses related to being a publicly-traded company. General and administrative expenses increased $351 thousand, or 19%, for the third quarter of 2019 compared to the third quarter of 2018 due primarily to higher professional and legal expenses and higher recruiting expenses for the new sales and marketing staff to support the restaurant solutions market. We expect general and administrative expense to be higher in the full year 2019 compared to the full year 2018 due to additional investment to support restaurant solutions.</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color w:val="auto"/>
        </w:rPr>
        <w:t>Operating income information for the three months ended September 30, 2019 and 2018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5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3,212</w:t>
            </w:r>
          </w:p>
        </w:tc>
        <w:tc>
          <w:tcPr>
            <w:tcW w:w="1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(90.3%)</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20.3%</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operating income decreased $2.9 million, or 90%, in the third quarter of 2019 compared to the third quarter of 2018, and our operating margin decreased to 2.7% of net sales due to a decline in sales of 26% and a 300 basis point decline in gross margin during the third quarter of 2019 compared to the prior year period. Additionally, operating expenses increased 9% during the third quarter of 2019 compared to the third quarter of 2018.</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no net interest income or expense in the third quarter of 2019 compared to $7 thousand of net interest expense in the third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We expect that net interest expense will be slightly lower in the full year 2019 compared to the full year 2018, as interest income earned on the note receivable will largely offset interest expense incurred on unused borrowings under our revolving credit line.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We recorded other expense of $71 thousand in the third quarter of 2019 compared to $50 thousand in the third quarter of 2018 due to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exchange losses recorded by our U.K. entity in the third quarter of 2019. Going forward, we may continue to experience more foreign exchange gains or losses depending on the level of sales to Europe through our U.K. subsidiary and the change in exchange rates of the Euro and Pound Sterling against the U.S. dollar.</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benefit for the third quarter of 2019 of $143 thousand at an effective tax rate of -59.3%, compared to an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provision during the third quarter of 2018 of $581 thousand at an effective tax rate of 18.4%. The effective tax rate for the third quarter of 2019 was unusually low and a benefit as it included the foreign-derived intangible income (“FDII”) deduction under the Tax Cuts and Jobs Act as well as near breakeven pre-tax income in the second and third quarters of 2019. The FDII deduction was not included in the effective tax rate for the third quarter of 2018 as the interpretive guidance for the deduction was not yet released. We expect our effective tax rate to be a benefit for the full year 2019 due to the impact of the FDII deduction and R&amp;D tax credits on our taxable income.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reported net income for the third quarter of 2019 of $384 thousand, or $0.05 per diluted share, compared to $2.6 million, or $0.33 per diluted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for the third quarter of 2018.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Nine months ended September 30, 2019 compared to nine months ended September 30, 2018</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nine months ended September 30, 2019 and 2018 were as follows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3,936</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28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(1,466)</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16,188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21,274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(5,086)</w:t>
            </w:r>
          </w:p>
        </w:tc>
        <w:tc>
          <w:tcPr>
            <w:tcW w:w="1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28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(845)</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w:t>
            </w:r>
          </w:p>
        </w:tc>
        <w:tc>
          <w:tcPr>
            <w:tcW w:w="1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7,827</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8,888</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(1,061)</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34,586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42,832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(8,246)</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 *</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7,993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8,637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420" w:type="dxa"/>
            <w:vAlign w:val="bottom"/>
            <w:gridSpan w:val="2"/>
            <w:shd w:val="clear" w:color="auto" w:fill="CCEEFF"/>
          </w:tcPr>
          <w:p>
            <w:pPr>
              <w:jc w:val="right"/>
              <w:ind w:right="15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(644)</w:t>
            </w:r>
          </w:p>
        </w:tc>
        <w:tc>
          <w:tcPr>
            <w:tcW w:w="1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1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sales for the first nine months of 2019 decreased $8.2 million, or 19%, from the same period in 2018. Printer, terminal and other hardware sales volume decreased by 26% to approximately 83,000 units in the first nine months of 2019 driven by decreases across all our markets. These volume decreases were primarily due to a 24% decrease in unit volume from the casino and gaming market and, to a lesser extent, a 26% and 54% unit decrease in our POS automation and banking market and lottery market, respectively. The average selling price of our printers, terminals and other hardware increased 2% during the first nine months of 2019 compared to the first nine months of 2018.</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International sales decreased $0.6 million, or 8%, primarily driven by an 11% decrease of international casino and gaming sales. This decrease was partially offset by a 24% increase from our international TSG market and a 41% increase from our international restaurant solutions market during the first nine months of 2019 compared to the first nine months of 2018.</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solutions. </w:t>
      </w:r>
      <w:r>
        <w:rPr>
          <w:rFonts w:ascii="Times New Roman" w:cs="Times New Roman" w:eastAsia="Times New Roman" w:hAnsi="Times New Roman"/>
          <w:sz w:val="18"/>
          <w:szCs w:val="18"/>
          <w:color w:val="auto"/>
        </w:rPr>
        <w:t>Sales of our worldwide restaurant solutions products for the nine months ended September 30, 2019 and 2018 were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 except percentages). Note that we have reclassified sales of labels and other recurring revenue items, which includes extended warranty and service contracts, and technical support services previously included in TSG to Restaurant Solutions for all periods presented in this Report.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3,825</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210"/>
        </w:trPr>
        <w:tc>
          <w:tcPr>
            <w:tcW w:w="20" w:type="dxa"/>
            <w:vAlign w:val="bottom"/>
          </w:tcPr>
          <w:p>
            <w:pPr>
              <w:spacing w:after="0"/>
              <w:rPr>
                <w:sz w:val="18"/>
                <w:szCs w:val="18"/>
                <w:color w:val="auto"/>
              </w:rPr>
            </w:pPr>
          </w:p>
        </w:tc>
        <w:tc>
          <w:tcPr>
            <w:tcW w:w="3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135</w:t>
            </w:r>
          </w:p>
        </w:tc>
        <w:tc>
          <w:tcPr>
            <w:tcW w:w="1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41.3%</w:t>
            </w:r>
          </w:p>
        </w:tc>
      </w:tr>
      <w:tr>
        <w:trPr>
          <w:trHeight w:val="24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351</w:t>
            </w:r>
          </w:p>
        </w:tc>
        <w:tc>
          <w:tcPr>
            <w:tcW w:w="14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Hardware</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3,040</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184"/>
        </w:trPr>
        <w:tc>
          <w:tcPr>
            <w:tcW w:w="20" w:type="dxa"/>
            <w:vAlign w:val="bottom"/>
          </w:tcPr>
          <w:p>
            <w:pPr>
              <w:spacing w:after="0"/>
              <w:rPr>
                <w:sz w:val="16"/>
                <w:szCs w:val="16"/>
                <w:color w:val="auto"/>
              </w:rPr>
            </w:pPr>
          </w:p>
        </w:tc>
        <w:tc>
          <w:tcPr>
            <w:tcW w:w="32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Software, labels and other recurring</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3,936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351</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r>
    </w:tbl>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increase in restaurant solutions terminal sales in the first nine months of 2019 compared to the first nine months of 2018 was driven by sales of our BOHA! software, labels and other recurring revenue. Sales of BOHA! software recognized on a SaaS subscription basis, labels and other recurring revenue increased by 291%, including a 241% increase in label sales and a twenty-fold increase in software sales (though off a low base in the first nine months of 2018). Hardware sales declined by 16% on lower sales of our AccuDate 9700 terminal to our former U.S. distributor and lower sales of our BOHA! terminal to three large corporate customers, in support of large-scale, multi-quarter rollouts of the terminal in the first nine months of last year that did not reoccur in 2019. This decrease was partially offset by increased sales of our BOHA! terminal to a convenience store supplier and increased sales of our AccuDate Pro terminal.</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restaurant solutions sales increased during the first nine months of 2019 compared to the first nine months of 2018 due to increased sales of the AccuDate 9700 terminal through a European distributor and sales of our BOHA! solutions to a casino operator in Asia.</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 automation and banking. </w:t>
      </w:r>
      <w:r>
        <w:rPr>
          <w:rFonts w:ascii="Times New Roman" w:cs="Times New Roman" w:eastAsia="Times New Roman" w:hAnsi="Times New Roman"/>
          <w:sz w:val="18"/>
          <w:szCs w:val="18"/>
          <w:color w:val="auto"/>
        </w:rPr>
        <w:t>Sales of our worldwide POS automation and banking products for the nine months ended September 30, 2019 and 2018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follows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4,392</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5,765</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(23.8%)</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(68.4%)</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4,435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5,901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(1,466)</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(24.8%)</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domestic POS automation and banking sales in the first nine months of 2019 compared to the first nine months of 2018 was primarily driven by a 25% decrease in domestic sales of our Ithaca® 9000 printer, as sales to McDonald’s decreased during the first nine months of 2019 compared to the same period in 2018.</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International POS automation and banking sales decreased due to lower sales of our Ithaca® 9000 printer to our Canadian distributor for McDonald’s during the first nine months of 2019 compared to the first nine months of 2018.</w:t>
      </w:r>
    </w:p>
    <w:p>
      <w:pPr>
        <w:spacing w:after="0" w:line="1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Casino and gaming. </w:t>
      </w:r>
      <w:r>
        <w:rPr>
          <w:rFonts w:ascii="Times New Roman" w:cs="Times New Roman" w:eastAsia="Times New Roman" w:hAnsi="Times New Roman"/>
          <w:sz w:val="18"/>
          <w:szCs w:val="18"/>
          <w:color w:val="auto"/>
        </w:rPr>
        <w:t>Sales of our worldwide casino and gaming products for the nine months ended September 30, 2019 and 2018 were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9,765</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14,084</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(30.7%)</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6,423</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7,190</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(767)</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16,188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21,274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(5,086)</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w:t>
            </w:r>
          </w:p>
        </w:tc>
      </w:tr>
    </w:tbl>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decrease in domestic sales of our casino and gaming products for the first nine months of 2019 compared to the first nine months of 2018 was due primarily to a 24% decrease in domestic sales of our thermal casino printer, driven primarily by a large order from a domestic casino operator for replacement printers during 2018 that did not reoccur in 2019, as well as lower sales to our domestic OEMs. Additionally, domestic sales of our off-premise gaming printers decreased 95% during the first nine months of 2019 compared to the first nine months of 2018 due to sales to an OEM in the 2018 period that we do not expect to reoccur in 2019. Domestic EPICENTRAL™ software sales decreased 38%, as we had no new installations during the first nine months of 2019 compared to one new installation during the same period for 2018.</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international sales in the first nine months of 2019 compared to the first nine months of 2018 was due to a 9% decline in international sales of our thermal casino printer due to lower European sales and a 19% decline in international sales of our off-premise gaming printers to Europe, Australia and Asia. Sales of our off-premise gaming printers are largely project-oriented and therefore may fluctuate significantly from quarter-to-quarter and year-to-year.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Lottery. </w:t>
      </w:r>
      <w:r>
        <w:rPr>
          <w:rFonts w:ascii="Times New Roman" w:cs="Times New Roman" w:eastAsia="Times New Roman" w:hAnsi="Times New Roman"/>
          <w:sz w:val="18"/>
          <w:szCs w:val="18"/>
          <w:color w:val="auto"/>
        </w:rPr>
        <w:t>Sales of our worldwide lottery printers for the nine months ended September 30, 2019 and 2018 were as follows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1,724</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(46.4%)</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(95.7%)</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(845)</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(47.7%)</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Printrex.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ales of our worldwide Printrex printers for the nine months ended September 30, 2019 and 2018 were as follows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(20.1%)</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sales of Printrex printers during the first nine months of 2019 compared to the first nine months of 2018 resulted from a 16% decrease in domestic and international sales in the oil and gas market. This decrease was partially offset by higher sales from the international medical and mobile market during the first nine months of 2019 compared to the first nine months of 2018.</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TSG. </w:t>
      </w:r>
      <w:r>
        <w:rPr>
          <w:rFonts w:ascii="Times New Roman" w:cs="Times New Roman" w:eastAsia="Times New Roman" w:hAnsi="Times New Roman"/>
          <w:sz w:val="18"/>
          <w:szCs w:val="18"/>
          <w:color w:val="auto"/>
        </w:rPr>
        <w:t>Sales in our worldwide TSG market for the nine months ended September 30, 2019 and 2018 were as follows (in thousands, except percentages). Note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we have reclassified sales of labels, extended warranty and service contracts, and technical support services related to our Restaurant Solutions market, which were previously included in TSG, to Restaurant Solutions for all periods presented in this Report.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6,947</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8,180</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(15.1%)</w:t>
            </w:r>
          </w:p>
        </w:tc>
      </w:tr>
      <w:tr>
        <w:trPr>
          <w:trHeight w:val="210"/>
        </w:trPr>
        <w:tc>
          <w:tcPr>
            <w:tcW w:w="20" w:type="dxa"/>
            <w:vAlign w:val="bottom"/>
          </w:tcPr>
          <w:p>
            <w:pPr>
              <w:spacing w:after="0"/>
              <w:rPr>
                <w:sz w:val="18"/>
                <w:szCs w:val="18"/>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172</w:t>
            </w:r>
          </w:p>
        </w:tc>
        <w:tc>
          <w:tcPr>
            <w:tcW w:w="1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24.3%</w:t>
            </w: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7,827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8,888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(1,061)</w:t>
            </w:r>
          </w:p>
        </w:tc>
        <w:tc>
          <w:tcPr>
            <w:tcW w:w="14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(11.9%)</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domestic revenue from TSG for the first nine months of 2019 as compared to the first nine months of 2018 was due primarily to 37% lower sales of replacement parts due to lower sales of lottery printer spare parts to IGT. This decrease was partially offset by increased service revenue of 31% during the first nine months of 2019 compared to the first nine months of 2018.</w:t>
      </w:r>
    </w:p>
    <w:p>
      <w:pPr>
        <w:spacing w:after="0" w:line="15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Internationally, TSG revenue increased during the first nine months of 2019 compared to the first nine months of 2018 primarily due to a 38% increase in sales of replacement parts and accessories to international casino and gaming customers. This increase was partially offset by a 41% decrease of international consumable sales during the first nine months of 2019 compared to the first nine months of 2018.</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for the nine months ended September 30, 2019 and 2018 is summarized below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17,336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20,857</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50.1%</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48.7%</w:t>
            </w:r>
          </w:p>
        </w:tc>
      </w:tr>
    </w:tbl>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Gross profit decreased $3.5 million, or 17%, in the first nine months of 2019 compared to the first nine months of 2018 due largely to a 19% decline in sales during the first nine months of 2019 compared to the same period in the prior year, partially offset by a 140 basis point increase in gross margin during the first nine months of 2019 compared to the first nine months of 2018. The increased gross margin reflects lower manufacturing overhead spending and a favorable shift in sales mix towards higher-value, technology-driven solutions, as well as lower sales of POS printers and lottery printers, which carry lower margins than our other products.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Engineering, Design and Product Development. </w:t>
      </w:r>
      <w:r>
        <w:rPr>
          <w:rFonts w:ascii="Times New Roman" w:cs="Times New Roman" w:eastAsia="Times New Roman" w:hAnsi="Times New Roman"/>
          <w:sz w:val="18"/>
          <w:szCs w:val="18"/>
          <w:color w:val="auto"/>
        </w:rPr>
        <w:t>Engineering, design and product development expense information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2019 and 2018 is 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3,328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3,510</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8.2%</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Engineering, design and product development expenses decreased $182 thousand, or 5%, in the first nine months of 2019 compared to the first nine months of 2018 primarily due to lower expenses related to product development for the restaurant solutions and casino and gaming markets.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Selling and Marketing. </w:t>
      </w:r>
      <w:r>
        <w:rPr>
          <w:rFonts w:ascii="Times New Roman" w:cs="Times New Roman" w:eastAsia="Times New Roman" w:hAnsi="Times New Roman"/>
          <w:sz w:val="18"/>
          <w:szCs w:val="18"/>
          <w:color w:val="auto"/>
        </w:rPr>
        <w:t>Selling and marketing expense information for the nine months ended September 30, 2019 and 2018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5,890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5,450</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12.7%</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and marketing expenses increased $440 thousand, or 8%, during the first nine months of 2019 compared to the first nine months of 2018 due primarily to higher compensation expenses related to the hiring of additional outside sales, technical sales and marketing staff and higher promotional marketing expenses for our restaurant solutions market.</w:t>
      </w:r>
    </w:p>
    <w:p>
      <w:pPr>
        <w:spacing w:after="0" w:line="15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Operating Expenses - General and Administrative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 information for the nine months ended September 30, 2019 and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6,720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6,211</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14.5%</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$509 thousand, or 8%, in the first nine months of 2019 compared to the first nine months of 2018 due primarily to higher professional and legal expenses. These increases were partially offset by lower recruiting and employee termination expenses incurred during the first nine months of 2019 compared to the first nine months of 2018.</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color w:val="auto"/>
        </w:rPr>
        <w:t>Operating income information for the nine months ended September 30, 2019 and 2018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- 2018</w:t>
            </w: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5,686</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13.3%</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operating income decreased $4.3 million, or 75%, during the first nine months of 2019 compared to the first nine months of 2018 due to a decrease in sales of 19% and a 5% increase in operating expenses, partially offset by a 140 basis point increase of gross margin during the first nine months of 2019 compared to the first nine months of 2018.</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net interest expense of $13 thousand in the first nine months of 2019 compared to $21 thousand in the first nine months of 2018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earned on the note receivable during the third quarter of 2019 partially offsetting interest expense.</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We recorded other expense of $123 thousand in the first nine months of 2019 compared to $137 thousand in the first nine months of 2018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foreign exchange losses recorded by our U.K. entity in the first nine months of 2019 compared to the first nine months of 2018.</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benefit for the first nine months of 2019 of $54 thousand at an effective tax rate of -4.3%, compared to an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provision during the first nine months of 2019 of $1.1 million at an effective tax rate of 19.2%. The effective tax rate for the nine months ended 2019 was unusually low and a benefit due to the inclusion of the FDII deduction and the impact of lower pre-tax income. The FDII deduction was not included in the effective tax rate for the first nine months of 2018 as the interpretive guidance for the deduction was not yet released.</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reported net income during the first nine months of 2019 of $1.3 million, or $0.17 per diluted share, compared to $4.5 million, or $0.57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share, for the first nine months of 2018.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the first nine months of 2019, our cash and cash equivalents balance decreased $3.5 million, or 74%, from December 31, 2018. We ended the third quarter of 2019 with $1.2 million in cash and cash equivalents, of which $0.2 million was held by our U.K. subsidiary, and no debt outstanding.</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following significant factors affected our cash provided by operating activities of $0.8 million for the first nine months of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$3.5 million for the first nine months of 2018: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2019:</w:t>
      </w:r>
    </w:p>
    <w:p>
      <w:pPr>
        <w:spacing w:after="0" w:line="1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net income of $1.3 million.</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and amortization of $0.7 million, and share-based compensation expense of $0.6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$0.4 million, or 5%, due to sales for the third quarter 2019 occurring late in the quarter.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by less than 1% due to the utilization of inventory on hand to fulfill sales.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and long term assets increased $0.6 million, or 81% due primarily to an advanced payment of royalty fees to a technology partner for restaurant solutions.</w:t>
      </w:r>
    </w:p>
    <w:p>
      <w:pPr>
        <w:ind w:left="980" w:right="2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$0.9 million, or 24%, due to the utilization of inventory on hand to fulfill sales requiring a lower level of inventory purchases during the third quarter of 2019.</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$0.1 million, or 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2018:</w:t>
      </w:r>
    </w:p>
    <w:p>
      <w:pPr>
        <w:spacing w:after="0" w:line="1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net income of $4.5 million.</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and amortization of $0.7 million, and share-based compensation expense of $0.5 million.</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$0.8 million, or 7%, due to a large volume of sales made late in the third quarter of 2018 that were collected during the fourth quarter of 2018.</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$4.2 million, or 47%, due to the buildup of inventory on hand to support future anticipated sales in the casino and gaming and restaurant solutions markets.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income taxes decreased $0.5 million during the first nine months of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$2.5 million, or 65%, due to increased inventory purchases made during the third quarter of 2018.</w:t>
      </w:r>
    </w:p>
    <w:p>
      <w:pPr>
        <w:spacing w:after="0" w:line="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$0.3 million, or 8%, due primarily to the payment of 2017 annual bonuses in March 2018, partially offset by increased deferred revenue.</w:t>
      </w:r>
    </w:p>
    <w:p>
      <w:pPr>
        <w:spacing w:after="0" w:line="1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including capitalized software costs, were $1.1 million and $1.2 million for the first nine months of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respectively. Expenditures for the first nine months of 2019 were primarily for new product tooling equipment and, to a lesser extent, computer and networking equipment. Expenditures for the first nine months of 2018 were primarily for computer and networking equipment and furniture and fixtures purchases related to investments made in our U.K. facility to support the build-out of our internal sales infrastructure to sell directly to slot machine manufacturers and end user casino and gaming customers. To a lesser extent, expenditures in the first nine months of 2018 included computer and networking equipment for our U.S. operations and leasehold improvements made at our Las Vegas facility. Additionally, during the third quarter of 2019, we loaned $1 million to an unrelated party that we expect to be repaid within the next 12 months.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and capitalized software development costs for the full year 2019 are expected to be approximately $1.3 million, primarily for software development for our new restaurant solutions BOHA! products, new product tooling, new computer software and equipment purchases.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We used $2.2 million of cash from financing activities during the first nine months of 2019 to pay dividends of $2 million and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related to the relinquishment of shares to pay for withholding taxes on stock issued from our stock compensation plan. During the first nine months of 2018, we used $4 million of cash from financing activities to purchase $2 million of common stock for treasury, to pay dividends of $2 million to common shareholders, and $0.3 million related to the relinquishment of shares to pay for withholding taxes on stock issued from our stock compensation plan, partially offset by proceeds from stock option exercises of $0.2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and Borrowings</w:t>
      </w:r>
    </w:p>
    <w:p>
      <w:pPr>
        <w:spacing w:after="0" w:line="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We maintain a credit facility (the “TD Bank Credit Facility”) with TD Bank N.A. (“TD Bank”),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TD Bank Credit Facility imposes certain quarterly financial covenants on us and restricts, among other things, our ability to incur additional indebtedness and the creation of other liens. We were not in compliance with one of our financial covenants of the TD Bank Credit Facility at September 30, 2019. On November 6, 2019, we obtained a waiver from TD Bank for compliance with this financial covenant, which pertains to operating cash flow to total debt service (the “OCF”) at September 30, 2019, and amended the definition of interest expense to exclude fees paid on unused borrowings under the revolving credit line which is used to calculate total debt service in the OCF. The following table lists the financial covenants and the performance measurements at September 30,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Financial Covenant</w:t>
            </w:r>
          </w:p>
        </w:tc>
        <w:tc>
          <w:tcPr>
            <w:tcW w:w="120" w:type="dxa"/>
            <w:vAlign w:val="bottom"/>
          </w:tcPr>
          <w:p>
            <w:pPr>
              <w:spacing w:after="0"/>
              <w:rPr>
                <w:sz w:val="19"/>
                <w:szCs w:val="19"/>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Requirement/Restriction</w:t>
            </w:r>
          </w:p>
        </w:tc>
        <w:tc>
          <w:tcPr>
            <w:tcW w:w="120" w:type="dxa"/>
            <w:vAlign w:val="bottom"/>
          </w:tcPr>
          <w:p>
            <w:pPr>
              <w:spacing w:after="0"/>
              <w:rPr>
                <w:sz w:val="19"/>
                <w:szCs w:val="19"/>
                <w:color w:val="auto"/>
              </w:rPr>
            </w:pPr>
          </w:p>
        </w:tc>
        <w:tc>
          <w:tcPr>
            <w:tcW w:w="2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Calculation at September 30, 2019</w:t>
            </w:r>
          </w:p>
        </w:tc>
      </w:tr>
      <w:tr>
        <w:trPr>
          <w:trHeight w:val="203"/>
        </w:trPr>
        <w:tc>
          <w:tcPr>
            <w:tcW w:w="4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Operating cash flow / Total debt service</w:t>
            </w:r>
          </w:p>
        </w:tc>
        <w:tc>
          <w:tcPr>
            <w:tcW w:w="120" w:type="dxa"/>
            <w:vAlign w:val="bottom"/>
            <w:shd w:val="clear" w:color="auto" w:fill="CCEEFF"/>
          </w:tcPr>
          <w:p>
            <w:pPr>
              <w:spacing w:after="0"/>
              <w:rPr>
                <w:sz w:val="17"/>
                <w:szCs w:val="17"/>
                <w:color w:val="auto"/>
              </w:rPr>
            </w:pPr>
          </w:p>
        </w:tc>
        <w:tc>
          <w:tcPr>
            <w:tcW w:w="4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Minimum of 1.25 times</w:t>
            </w:r>
          </w:p>
        </w:tc>
        <w:tc>
          <w:tcPr>
            <w:tcW w:w="120" w:type="dxa"/>
            <w:vAlign w:val="bottom"/>
            <w:shd w:val="clear" w:color="auto" w:fill="CCEEFF"/>
          </w:tcPr>
          <w:p>
            <w:pPr>
              <w:spacing w:after="0"/>
              <w:rPr>
                <w:sz w:val="17"/>
                <w:szCs w:val="17"/>
                <w:color w:val="auto"/>
              </w:rPr>
            </w:pPr>
          </w:p>
        </w:tc>
        <w:tc>
          <w:tcPr>
            <w:tcW w:w="2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(21.1)</w:t>
            </w:r>
          </w:p>
        </w:tc>
      </w:tr>
      <w:tr>
        <w:trPr>
          <w:trHeight w:val="234"/>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Funded Debt / EBITDA</w:t>
            </w:r>
          </w:p>
        </w:tc>
        <w:tc>
          <w:tcPr>
            <w:tcW w:w="1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Maximum of 3.0 times</w:t>
            </w:r>
          </w:p>
        </w:tc>
        <w:tc>
          <w:tcPr>
            <w:tcW w:w="3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we had no outstanding borrowings under the TD Bank Credit facility. Following the waiver, we had borrowings available under the TD Bank Credit Facility of $20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Dividend Payments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$0.7 million or $0.09 per share in the third quarter of both 2019 and 2018. On October 31, 2019, our Board of Directors approved the fourth quarter 2019 dividend in the amount of $0.09 per share payable on or about December 16, 2019 to common shareholders of record at the close of business on November 20, 2019. We expect to pay approximately $2.7 million in cash dividends to our common shareholders during 2019. Dividends declared and paid totaled $2 million, or $0.27 per share, for both the nine months ended September 30,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March 1, 2018, our Board of Directors approved a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During the nine months ended September 30, 2019, we repurchased no shares of our common stock. During the nine months ended September 30, 2018, we repurchased 156,410 shares of our common stock for approximately $2 million at an average price per share of $12.78.</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Resource Sufficiency</w:t>
      </w:r>
    </w:p>
    <w:p>
      <w:pPr>
        <w:spacing w:after="0" w:line="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additions to capitalized software, and dividend payments, and meet our liquidity requirements through at least the next 12 months.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 Off-Balance Sheet Arrangements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disclosure of payments we have committed to make under our contractual obligations is set forth under Part II, Item 7, “Management's Discussion and Analysis of Financial Condition and Results of Operations—Contractual Obligations” of our Annual Report on Form 10-K for the year ended December 31, 2018. There have been no material changes in our contractual obligations since December 31, 2018.</w:t>
      </w:r>
    </w:p>
    <w:p>
      <w:pPr>
        <w:spacing w:after="0" w:line="1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disclosure of our exposure to market risk is set forth under Part II, Item 7A, “Quantitative and Qualitative Disclosures about Market Risk”, of our Annual Report on Form 10-K for the year ended December 31, 2018. There has been no material change in our exposure to market risk during the nine months ended September 30, 2019.</w:t>
      </w:r>
    </w:p>
    <w:p>
      <w:pPr>
        <w:spacing w:after="0" w:line="1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(our principal executive officer and principal financial officer, respectively), evaluated the effectiveness of our disclosure controls and procedures as of September 30, 2019.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of the Securities and Exchange Commission (the “SEC”).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the time that (i) our Annual Report on Form 10-K for the year ended December 31, 2018 was filed on March 18, 2019, (ii) our Quarterly Report on Form 10-Q for the quarter ended March 31, 2019 was filed on May 10, 2019, and (iii) our Quarterly Report on Form 10-Q for the quarter ended June 30, 2019 was filed on August 8, 2019, our management, including our CEO and CFO, concluded that our disclosure controls and procedures were effective as of December 31, 2018, March 31, 2019, and June 30, 2019, respectively. Subsequently, our management, including our CEO and CFO, reevaluated the effectiveness of our disclosure controls and procedures and concluded that our disclosure controls and procedures were not effective as of December 31, 2018, March 31, 2019, and June 30, 2019, and continue to not be effective as of September 30, 2019 due to material weaknesses in our internal control over financial reporting as described below.</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Notwithstanding these material weaknesses, our management, including our CEO and CFO, has concluded that our consolidated financial statements included in our Annual Report on Form 10-K for the year ended December 31, 2018 and our condensed consolidated financial statements included in our Quarterly Reports on Form 10-Q for the quarters ended March 31, 2019 and June 30, 2019, as previously filed with the SEC, and the condensed consolidated financial statements included in this Quarterly Report on Form 10-Q are fairly stated in all material respects in accordance with GAAP for each of the periods presented, and that they can still be relied upon.</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 amending our Annual Report on Form 10-K for the year ended December 31, 2018 to reflect the conclusion by management that our internal control over financial reporting and disclosure controls and procedures were not effective as of December 31, 2018.</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identified the following control deficiencies that constituted material weaknesses in our internal control over financial reporting as of September 30, 2019. We also determined that these material weaknesses existed as of December 31, 2018, March 31, 2019, and June 30, 2019.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8" w:lineRule="exact"/>
        <w:rPr>
          <w:sz w:val="20"/>
          <w:szCs w:val="20"/>
          <w:color w:val="auto"/>
        </w:rPr>
      </w:pPr>
    </w:p>
    <w:p>
      <w:pPr>
        <w:jc w:val="both"/>
        <w:ind w:left="660" w:hanging="377"/>
        <w:spacing w:after="0" w:line="250"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did not design and maintain effective controls over user access within the Company’s ERP system, Oracle,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(the “Access Control Weakness”).</w:t>
      </w:r>
    </w:p>
    <w:p>
      <w:pPr>
        <w:spacing w:after="0" w:line="176" w:lineRule="exact"/>
        <w:rPr>
          <w:rFonts w:ascii="Times New Roman" w:cs="Times New Roman" w:eastAsia="Times New Roman" w:hAnsi="Times New Roman"/>
          <w:sz w:val="16"/>
          <w:szCs w:val="16"/>
          <w:color w:val="auto"/>
        </w:rPr>
      </w:pPr>
    </w:p>
    <w:p>
      <w:pPr>
        <w:ind w:left="660" w:right="20" w:hanging="377"/>
        <w:spacing w:after="0" w:line="266"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did not design and maintain effective controls over the completeness and accuracy of information included in key spreadsheets supporting our accounting records (the “Spreadsheet Control Weakness”).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control deficiencies constituted material weaknesses, but did not result in a material misstatement to our consolidated financial statements for the year ended December 31, 2018 (or any of the condensed consolidated financial statements for the quarters included therein), or to the unaudited condensed consolidated financial statements for the quarter ended March 31, 2019, June 30, 2019, and September 30, 2019. However, if these material weaknesses are not remediated, a material misstatement of account balances or disclosures may not be prevented, and may go undetected, which could result in a material misstatement of future annual or interim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Material Weaknesses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commenced developing and implementing a plan to enhance the design and operating effectiveness of our internal control over financial reporting, which includes taking the following steps to remediate the identified control deficiencies and material weaknesses:</w:t>
      </w:r>
    </w:p>
    <w:p>
      <w:pPr>
        <w:spacing w:after="0" w:line="162" w:lineRule="exact"/>
        <w:rPr>
          <w:sz w:val="20"/>
          <w:szCs w:val="20"/>
          <w:color w:val="auto"/>
        </w:rPr>
      </w:pPr>
    </w:p>
    <w:p>
      <w:pPr>
        <w:jc w:val="both"/>
        <w:ind w:left="660" w:hanging="377"/>
        <w:spacing w:after="0" w:line="24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 address the Access Control Weakness, we are utilizing the services of an Oracle consulting firm and an accounting firm unrelated to PwC, to assist us in analyzing and reviewing Oracle access for all users. Upon completion of this analysis, we plan to modify the designated Oracle responsibilities for each employee for which a conflict has been identified to remove any Oracle transactional responsibilities that we believe are conflicting and reassign those responsibilities to a different employee to ensure proper segregation of duties. In addition, we plan to enhance and implement provisioning and user certification controls to ensure we maintain the appropriate segregation of duties within Oracle following the analysis.</w:t>
      </w:r>
    </w:p>
    <w:p>
      <w:pPr>
        <w:spacing w:after="0" w:line="184" w:lineRule="exact"/>
        <w:rPr>
          <w:rFonts w:ascii="Times New Roman" w:cs="Times New Roman" w:eastAsia="Times New Roman" w:hAnsi="Times New Roman"/>
          <w:sz w:val="16"/>
          <w:szCs w:val="16"/>
          <w:color w:val="auto"/>
        </w:rPr>
      </w:pPr>
    </w:p>
    <w:p>
      <w:pPr>
        <w:jc w:val="both"/>
        <w:ind w:left="660" w:hanging="377"/>
        <w:spacing w:after="0" w:line="24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 address the Spreadsheet Control Weakness, for each key spreadsheet using Oracle data, we plan to evaluate and determine (1) if a standard Oracle report exists containing the same information as the spreadsheet, and if so, we would utilize the standard Oracle report (without modification) instead of the spreadsheet to support our accounting records and (2) if a standard Oracle report cannot be used, we will implement a new key control whereby an employee performs a formal validation that the information from Oracle is completely and accurately transferred (automatically or manually) to a spreadsheet by verifying totals and other information on a test basis. For all other key spreadsheets, we plan to design and implement a new key control to validate completeness and accuracy of information supporting our accounting records.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steps will address the material weaknesses described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September 30, 2019 that has materially affected, or is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may, in the ordinary course of business, become a party to litigation involving collection matters, contract claims and other legal proceedings relating to the conduct of its business. As of September 30, 2019, we are unaware of any legal proceedings pending or threatened against the Company that management believes are likely to have a material adverse effect on our business, financial condition or results of operations.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Information regarding risk factors appears under Part I, Item 1A, “Risk Factors,” of our Annual Report on Form 10-K for the year ended December 31, 2018. There have been no material changes from the risk factors previously disclosed in that Annual Report on Form 10-K, except as amended and supplemented by the additional risk factors below. The risks described in our Annual Report on Form 10-K, and the additional risk factors below are not the only risks facing our Company. Additional risks and uncertainties not currently known to us or that we currently deem to be immaterial also may materially adversely affect our business, financial condition or future results.</w:t>
      </w:r>
    </w:p>
    <w:p>
      <w:pPr>
        <w:spacing w:after="0" w:line="1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anticipated withdrawal from the European Union may have a negative effect on global economic conditions, financial markets and our business, including our U.K. subsidiary.</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2016, the United Kingdom (“U.K.”) voted to depart from the European Union (“E.U.”), commonly known as “Brexit” and subsequently notified the European Council of its intention to leave the E.U. The U.K. is currently negotiating the terms of Brexit, the negotiation period of which has now been extended up to January 31, 2020, unless further extension is agreed to by the parties. We have taken certain actions in response to Brexit and in anticipation of E.U. legal requirements and the U.K.’s separation from the E.U. The potential impact from Brexit on us and on our results of operations is unclear. The actual effects of Brexit, which may be negative for our business, will depend upon many factors, including, but not limited to, the final results of the Brexit negotiations and whether the U.K. departs the E.U. with or without a withdrawal agreement. As of September 30, 2019, we do not, however, expect Brexit to have a material adverse impact on our consolidated results of operations as only 10% of our total revenues for both the three and nine months ended September 30, 2019 are attributable to our U.K. operations. However, we cannot predict the direction or outcome Brexit-related matters and negotiations may take, or the impact that Brexit may have on our European operations, including our U.K. subsidiary.</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have been identified, and if we are unable to implement and maintain effective internal control over financial reporting, or our independent registered public accounting firm is unable to provide an unqualified report thereon, we could be materially adversely affected.</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Material weaknesses in our internal control over financial reporting existed as of September 30, 2019 regarding our internal controls over user access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Additionally, we identified a material weakness in controls over key spreadsheets supporting our accounting records. Specifically, we did not design adequate controls to address the completeness and accuracy of information included in key spreadsheets. As a result of these material weaknesses, management concluded that our internal control over financial reporting was not effective as of December 31, 2018.</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Unless and until these material weaknesses have been remediated or should new material weaknesses arise or be discovered in the future, a material misstatement could occur and go undetected in our interim or annual consolidated financial statements. As a result, we may experience delays in fulfilling our reporting obligations or complying with the Securities Act of 1933, as amended, and the Securities Exchange Act of 1934, as amended, among other federal regulations, which could result in investigations and sanctions by regulatory authorities, including, but not limited to, the Securities and Exchange Commission (the “SEC”), and may result in defaults or accelerations under our credit facility in the event that we are unable to timely file reports with the SEC, to the extent that in such an event, we are unable to obtain waivers from our lender. Any of these results could adversely affect our business and the value of our common stock.</w:t>
      </w:r>
    </w:p>
    <w:p>
      <w:pPr>
        <w:spacing w:after="0" w:line="18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1, 2018, our Board of Directors approved the 2018 Stock Repurchase Program. Under the 2018 Stock Repurchase Program, we are authorized to repurchase up to $5 million of our outstanding shares of common stock from time to time in the open market through December 31, 2019 at prevailing market prices based on market conditions, share price and other factors. During the nine months ended September 30, 2019, we purchased no shares of our common stock. As of September 30, 2019, $3 million remains authorized for future repurchase under the 2018 Stock Repurchase Program. The following table summarizes the repurchase of our common stock in the three months ended September 30,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2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color w:val="auto"/>
                <w:w w:val="99"/>
              </w:rPr>
              <w:t>Total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left="110"/>
              <w:spacing w:after="0" w:line="202" w:lineRule="exact"/>
              <w:rPr>
                <w:sz w:val="20"/>
                <w:szCs w:val="20"/>
                <w:color w:val="auto"/>
              </w:rPr>
            </w:pPr>
            <w:r>
              <w:rPr>
                <w:rFonts w:ascii="Times New Roman" w:cs="Times New Roman" w:eastAsia="Times New Roman" w:hAnsi="Times New Roman"/>
                <w:sz w:val="18"/>
                <w:szCs w:val="18"/>
                <w:color w:val="auto"/>
                <w:w w:val="99"/>
              </w:rPr>
              <w:t>Shares Purchased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2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color w:val="auto"/>
                <w:w w:val="98"/>
              </w:rPr>
              <w:t>Number</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left="231"/>
              <w:spacing w:after="0" w:line="202" w:lineRule="exact"/>
              <w:rPr>
                <w:sz w:val="20"/>
                <w:szCs w:val="20"/>
                <w:color w:val="auto"/>
              </w:rPr>
            </w:pPr>
            <w:r>
              <w:rPr>
                <w:rFonts w:ascii="Times New Roman" w:cs="Times New Roman" w:eastAsia="Times New Roman" w:hAnsi="Times New Roman"/>
                <w:sz w:val="18"/>
                <w:szCs w:val="18"/>
                <w:color w:val="auto"/>
                <w:w w:val="95"/>
              </w:rPr>
              <w:t>Average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left="110"/>
              <w:spacing w:after="0" w:line="202" w:lineRule="exact"/>
              <w:rPr>
                <w:sz w:val="20"/>
                <w:szCs w:val="20"/>
                <w:color w:val="auto"/>
              </w:rPr>
            </w:pPr>
            <w:r>
              <w:rPr>
                <w:rFonts w:ascii="Times New Roman" w:cs="Times New Roman" w:eastAsia="Times New Roman" w:hAnsi="Times New Roman"/>
                <w:sz w:val="18"/>
                <w:szCs w:val="18"/>
                <w:color w:val="auto"/>
              </w:rPr>
              <w:t>as Part of Publicly</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w w:val="99"/>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2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color w:val="auto"/>
                <w:w w:val="97"/>
              </w:rPr>
              <w:t>of Shares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left="231"/>
              <w:spacing w:after="0" w:line="202" w:lineRule="exact"/>
              <w:rPr>
                <w:sz w:val="20"/>
                <w:szCs w:val="20"/>
                <w:color w:val="auto"/>
              </w:rPr>
            </w:pPr>
            <w:r>
              <w:rPr>
                <w:rFonts w:ascii="Times New Roman" w:cs="Times New Roman" w:eastAsia="Times New Roman" w:hAnsi="Times New Roman"/>
                <w:sz w:val="18"/>
                <w:szCs w:val="18"/>
                <w:color w:val="auto"/>
              </w:rPr>
              <w:t>Price Paid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left="110"/>
              <w:spacing w:after="0" w:line="202" w:lineRule="exact"/>
              <w:rPr>
                <w:sz w:val="20"/>
                <w:szCs w:val="20"/>
                <w:color w:val="auto"/>
              </w:rPr>
            </w:pPr>
            <w:r>
              <w:rPr>
                <w:rFonts w:ascii="Times New Roman" w:cs="Times New Roman" w:eastAsia="Times New Roman" w:hAnsi="Times New Roman"/>
                <w:sz w:val="18"/>
                <w:szCs w:val="18"/>
                <w:color w:val="auto"/>
                <w:w w:val="99"/>
              </w:rPr>
              <w:t>Announced Plans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rPr>
              <w:t>under the Stock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15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Purchased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per Share</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or Programs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Repurchase Program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July 1, 2019 - July 31, 2019</w:t>
            </w:r>
          </w:p>
        </w:tc>
        <w:tc>
          <w:tcPr>
            <w:tcW w:w="1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ind w:right="133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August 1, 2019 - August 31, 2019</w:t>
            </w:r>
          </w:p>
        </w:tc>
        <w:tc>
          <w:tcPr>
            <w:tcW w:w="1520" w:type="dxa"/>
            <w:vAlign w:val="bottom"/>
          </w:tcPr>
          <w:p>
            <w:pPr>
              <w:spacing w:after="0"/>
              <w:rPr>
                <w:sz w:val="17"/>
                <w:szCs w:val="17"/>
                <w:color w:val="auto"/>
              </w:rPr>
            </w:pPr>
          </w:p>
        </w:tc>
        <w:tc>
          <w:tcPr>
            <w:tcW w:w="4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8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September 1, 2019 - September 30,</w:t>
            </w:r>
          </w:p>
        </w:tc>
        <w:tc>
          <w:tcPr>
            <w:tcW w:w="1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5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7"/>
                <w:szCs w:val="17"/>
                <w:color w:val="auto"/>
              </w:rPr>
            </w:pPr>
          </w:p>
        </w:tc>
        <w:tc>
          <w:tcPr>
            <w:tcW w:w="4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331"/>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gridSpan w:val="2"/>
            <w:vMerge w:val="restart"/>
          </w:tcPr>
          <w:p>
            <w:pPr>
              <w:jc w:val="right"/>
              <w:ind w:right="711"/>
              <w:spacing w:after="0"/>
              <w:rPr>
                <w:sz w:val="20"/>
                <w:szCs w:val="20"/>
                <w:color w:val="auto"/>
              </w:rPr>
            </w:pPr>
            <w:r>
              <w:rPr>
                <w:rFonts w:ascii="Times New Roman" w:cs="Times New Roman" w:eastAsia="Times New Roman" w:hAnsi="Times New Roman"/>
                <w:sz w:val="14"/>
                <w:szCs w:val="14"/>
                <w:color w:val="auto"/>
              </w:rPr>
              <w:t>27</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7" w:name="page28"/>
    <w:bookmarkEnd w:id="2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 31.1</w:t>
              </w:r>
            </w:hyperlink>
          </w:p>
        </w:tc>
        <w:tc>
          <w:tcPr>
            <w:tcW w:w="460" w:type="dxa"/>
            <w:vAlign w:val="bottom"/>
          </w:tcPr>
          <w:p>
            <w:pPr>
              <w:spacing w:after="0"/>
              <w:rPr>
                <w:sz w:val="17"/>
                <w:szCs w:val="17"/>
                <w:color w:val="auto"/>
              </w:rPr>
            </w:pPr>
          </w:p>
        </w:tc>
        <w:tc>
          <w:tcPr>
            <w:tcW w:w="10040" w:type="dxa"/>
            <w:vAlign w:val="bottom"/>
            <w:gridSpan w:val="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Certification of Chief Executive Officer pursuant to Section 302 of the Sarbanes-Oxley Act of 2002.</w:t>
              </w:r>
            </w:hyperlink>
          </w:p>
        </w:tc>
      </w:tr>
      <w:tr>
        <w:trPr>
          <w:trHeight w:val="183"/>
        </w:trPr>
        <w:tc>
          <w:tcPr>
            <w:tcW w:w="920" w:type="dxa"/>
            <w:vAlign w:val="bottom"/>
            <w:tcBorders>
              <w:top w:val="single" w:sz="8" w:color="0000EE"/>
            </w:tcBorders>
            <w:gridSpan w:val="2"/>
          </w:tcPr>
          <w:p>
            <w:pPr>
              <w:spacing w:after="0" w:line="18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 31.2</w:t>
              </w:r>
            </w:hyperlink>
          </w:p>
        </w:tc>
        <w:tc>
          <w:tcPr>
            <w:tcW w:w="460" w:type="dxa"/>
            <w:vAlign w:val="bottom"/>
          </w:tcPr>
          <w:p>
            <w:pPr>
              <w:spacing w:after="0"/>
              <w:rPr>
                <w:sz w:val="15"/>
                <w:szCs w:val="15"/>
                <w:color w:val="auto"/>
              </w:rPr>
            </w:pPr>
          </w:p>
        </w:tc>
        <w:tc>
          <w:tcPr>
            <w:tcW w:w="7240" w:type="dxa"/>
            <w:vAlign w:val="bottom"/>
            <w:tcBorders>
              <w:top w:val="single" w:sz="8" w:color="0000EE"/>
            </w:tcBorders>
            <w:gridSpan w:val="2"/>
          </w:tcPr>
          <w:p>
            <w:pPr>
              <w:spacing w:after="0" w:line="18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Certification of Chief Financial Officer pursuant to Section 302 of the Sarbanes-Oxley Act of 2002.</w:t>
              </w:r>
            </w:hyperlink>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920" w:type="dxa"/>
            <w:vAlign w:val="bottom"/>
            <w:tcBorders>
              <w:top w:val="single" w:sz="8" w:color="0000EE"/>
            </w:tcBorders>
            <w:gridSpan w:val="2"/>
          </w:tcPr>
          <w:p>
            <w:pPr>
              <w:spacing w:after="0" w:line="18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Exhibit 32.1</w:t>
              </w:r>
            </w:hyperlink>
          </w:p>
        </w:tc>
        <w:tc>
          <w:tcPr>
            <w:tcW w:w="460" w:type="dxa"/>
            <w:vAlign w:val="bottom"/>
          </w:tcPr>
          <w:p>
            <w:pPr>
              <w:spacing w:after="0"/>
              <w:rPr>
                <w:sz w:val="15"/>
                <w:szCs w:val="15"/>
                <w:color w:val="auto"/>
              </w:rPr>
            </w:pPr>
          </w:p>
        </w:tc>
        <w:tc>
          <w:tcPr>
            <w:tcW w:w="7180" w:type="dxa"/>
            <w:vAlign w:val="bottom"/>
            <w:tcBorders>
              <w:top w:val="single" w:sz="8" w:color="0000EE"/>
            </w:tcBorders>
          </w:tcPr>
          <w:p>
            <w:pPr>
              <w:spacing w:after="0" w:line="18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Certification pursuant to 18 U.S.C. Section 1350 as adopted pursuant to section 906 of the Sarbanes</w:t>
              </w:r>
            </w:hyperlink>
          </w:p>
        </w:tc>
        <w:tc>
          <w:tcPr>
            <w:tcW w:w="2860" w:type="dxa"/>
            <w:vAlign w:val="bottom"/>
            <w:gridSpan w:val="3"/>
          </w:tcPr>
          <w:p>
            <w:pPr>
              <w:ind w:left="20"/>
              <w:spacing w:after="0" w:line="18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-Oxley Act of 2002.</w:t>
              </w:r>
            </w:hyperlink>
          </w:p>
        </w:tc>
      </w:tr>
      <w:tr>
        <w:trPr>
          <w:trHeight w:val="191"/>
        </w:trPr>
        <w:tc>
          <w:tcPr>
            <w:tcW w:w="900" w:type="dxa"/>
            <w:vAlign w:val="bottom"/>
            <w:tcBorders>
              <w:top w:val="single" w:sz="8" w:color="0000EE"/>
            </w:tcBorders>
          </w:tcPr>
          <w:p>
            <w:pPr>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40" w:type="dxa"/>
            <w:vAlign w:val="bottom"/>
            <w:tcBorders>
              <w:top w:val="single" w:sz="8" w:color="0000EE"/>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XBRL Instance Document.</w:t>
            </w:r>
          </w:p>
        </w:tc>
        <w:tc>
          <w:tcPr>
            <w:tcW w:w="1400" w:type="dxa"/>
            <w:vAlign w:val="bottom"/>
          </w:tcPr>
          <w:p>
            <w:pPr>
              <w:spacing w:after="0"/>
              <w:rPr>
                <w:sz w:val="16"/>
                <w:szCs w:val="16"/>
                <w:color w:val="auto"/>
              </w:rPr>
            </w:pPr>
          </w:p>
        </w:tc>
      </w:tr>
      <w:tr>
        <w:trPr>
          <w:trHeight w:val="203"/>
        </w:trPr>
        <w:tc>
          <w:tcPr>
            <w:tcW w:w="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03"/>
        </w:trPr>
        <w:tc>
          <w:tcPr>
            <w:tcW w:w="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46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03"/>
        </w:trPr>
        <w:tc>
          <w:tcPr>
            <w:tcW w:w="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46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03"/>
        </w:trPr>
        <w:tc>
          <w:tcPr>
            <w:tcW w:w="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46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17"/>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40" w:type="dxa"/>
            <w:vAlign w:val="bottom"/>
            <w:gridSpan w:val="2"/>
          </w:tcPr>
          <w:p>
            <w:pPr>
              <w:jc w:val="right"/>
              <w:ind w:right="2690"/>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
        </w:trPr>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7" w:right="2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18, 2019</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8890</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8890</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President, Chief Financial Officer, Treasurer and Secretary</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/s/ David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8890</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B. Peters</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2">
            <w:col w:w="4920" w:space="720"/>
            <w:col w:w="5780"/>
          </w:cols>
          <w:pgMar w:left="240" w:top="117" w:right="239" w:bottom="1440" w:gutter="0" w:footer="0" w:header="0"/>
          <w:type w:val="continuous"/>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 PURSUANT TO SECTION 302 OF THE</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TransAct Technologies Incorporated;</w:t>
      </w:r>
    </w:p>
    <w:p>
      <w:pPr>
        <w:spacing w:after="0" w:line="211"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right="16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quarter(the registrant's fourth fiscal quarter in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340"/>
          </w:cols>
          <w:pgMar w:left="240" w:top="117" w:right="319" w:bottom="1440" w:gutter="0" w:footer="0" w:header="0"/>
        </w:sectPr>
      </w:pPr>
    </w:p>
    <w:bookmarkStart w:id="30" w:name="page31"/>
    <w:bookmarkEnd w:id="30"/>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 PURSUANT TO SECTION 302 OF THE</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TransAct Technologies Incorporated;</w:t>
      </w:r>
    </w:p>
    <w:p>
      <w:pPr>
        <w:spacing w:after="0" w:line="211"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right="16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quarter(the registrant's fourth fiscal quarter in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531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Chief Financial Officer, Treasurer and Secretary</w:t>
      </w:r>
    </w:p>
    <w:p>
      <w:pPr>
        <w:sectPr>
          <w:pgSz w:w="11900" w:h="16838" w:orient="portrait"/>
          <w:cols w:equalWidth="0" w:num="1">
            <w:col w:w="11340"/>
          </w:cols>
          <w:pgMar w:left="240" w:top="117" w:right="31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TransAct Technologies Incorporated (the “Company”) on Form 10-Q for the period ending September 30, 2019,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63"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2019-12-28T01:37:21Z</dcterms:created>
  <dcterms:modified xsi:type="dcterms:W3CDTF">2019-12-28T01:37:21Z</dcterms:modified>
</cp:coreProperties>
</file>